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098238">
      <w:pPr>
        <w:rPr>
          <w:rFonts w:ascii="仿宋_GB2312" w:hAnsi="仿宋_GB2312" w:eastAsia="仿宋_GB2312" w:cs="仿宋_GB2312"/>
          <w:color w:val="auto"/>
          <w:sz w:val="36"/>
          <w:szCs w:val="36"/>
        </w:rPr>
      </w:pPr>
      <w:bookmarkStart w:id="0" w:name="_Hlk57884087"/>
    </w:p>
    <w:p w14:paraId="5525041E">
      <w:pPr>
        <w:rPr>
          <w:rFonts w:ascii="仿宋_GB2312" w:hAnsi="仿宋_GB2312" w:eastAsia="仿宋_GB2312" w:cs="仿宋_GB2312"/>
          <w:color w:val="auto"/>
          <w:sz w:val="36"/>
          <w:szCs w:val="36"/>
        </w:rPr>
      </w:pPr>
    </w:p>
    <w:p w14:paraId="75F0705F">
      <w:pPr>
        <w:rPr>
          <w:rFonts w:hint="eastAsia" w:ascii="仿宋_GB2312" w:hAnsi="仿宋_GB2312" w:eastAsia="仿宋_GB2312" w:cs="仿宋_GB2312"/>
          <w:color w:val="auto"/>
          <w:sz w:val="36"/>
          <w:szCs w:val="36"/>
        </w:rPr>
      </w:pPr>
    </w:p>
    <w:p w14:paraId="6E80CA2C">
      <w:pPr>
        <w:adjustRightInd w:val="0"/>
        <w:snapToGrid w:val="0"/>
        <w:jc w:val="center"/>
        <w:outlineLvl w:val="0"/>
        <w:rPr>
          <w:rFonts w:hint="eastAsia" w:ascii="方正小标宋_GBK" w:hAnsi="Times New Roman" w:eastAsia="方正小标宋_GBK" w:cs="Times New Roman"/>
          <w:bCs/>
          <w:color w:val="auto"/>
          <w:sz w:val="72"/>
          <w:szCs w:val="72"/>
        </w:rPr>
      </w:pPr>
      <w:r>
        <w:rPr>
          <w:rFonts w:hint="eastAsia" w:ascii="方正小标宋_GBK" w:hAnsi="Times New Roman" w:eastAsia="方正小标宋_GBK" w:cs="Times New Roman"/>
          <w:bCs/>
          <w:color w:val="auto"/>
          <w:sz w:val="72"/>
          <w:szCs w:val="72"/>
        </w:rPr>
        <w:t>建设项目环境影响报告表</w:t>
      </w:r>
    </w:p>
    <w:p w14:paraId="16C54665">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31C7527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ascii="华文仿宋" w:hAnsi="华文仿宋" w:eastAsia="华文仿宋" w:cs="华文仿宋"/>
          <w:color w:val="auto"/>
          <w:kern w:val="44"/>
          <w:sz w:val="44"/>
          <w:szCs w:val="44"/>
        </w:rPr>
      </w:pPr>
    </w:p>
    <w:p w14:paraId="2691FEE8">
      <w:pPr>
        <w:pStyle w:val="61"/>
        <w:rPr>
          <w:rFonts w:ascii="华文仿宋" w:hAnsi="华文仿宋" w:eastAsia="华文仿宋" w:cs="华文仿宋"/>
          <w:color w:val="auto"/>
          <w:kern w:val="44"/>
          <w:sz w:val="44"/>
          <w:szCs w:val="44"/>
        </w:rPr>
      </w:pPr>
    </w:p>
    <w:p w14:paraId="3C738AEC">
      <w:pPr>
        <w:rPr>
          <w:color w:val="auto"/>
        </w:rPr>
      </w:pPr>
    </w:p>
    <w:p w14:paraId="1BB20105">
      <w:pPr>
        <w:pStyle w:val="61"/>
        <w:rPr>
          <w:rFonts w:ascii="华文仿宋" w:hAnsi="华文仿宋" w:eastAsia="华文仿宋" w:cs="华文仿宋"/>
          <w:color w:val="auto"/>
          <w:kern w:val="44"/>
          <w:sz w:val="44"/>
          <w:szCs w:val="44"/>
        </w:rPr>
      </w:pPr>
    </w:p>
    <w:p w14:paraId="3F095049">
      <w:pPr>
        <w:rPr>
          <w:color w:val="auto"/>
        </w:rPr>
      </w:pPr>
    </w:p>
    <w:tbl>
      <w:tblPr>
        <w:tblStyle w:val="34"/>
        <w:tblW w:w="89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5"/>
        <w:gridCol w:w="1189"/>
        <w:gridCol w:w="5685"/>
      </w:tblGrid>
      <w:tr w14:paraId="7EF56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jc w:val="center"/>
        </w:trPr>
        <w:tc>
          <w:tcPr>
            <w:tcW w:w="2045" w:type="dxa"/>
            <w:tcBorders>
              <w:tl2br w:val="nil"/>
              <w:tr2bl w:val="nil"/>
            </w:tcBorders>
            <w:noWrap w:val="0"/>
            <w:vAlign w:val="center"/>
          </w:tcPr>
          <w:p w14:paraId="42F688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lang w:val="en-US" w:eastAsia="zh-CN"/>
              </w:rPr>
              <w:t>项目名称：</w:t>
            </w:r>
          </w:p>
        </w:tc>
        <w:tc>
          <w:tcPr>
            <w:tcW w:w="6874" w:type="dxa"/>
            <w:gridSpan w:val="2"/>
            <w:tcBorders>
              <w:tl2br w:val="nil"/>
              <w:tr2bl w:val="nil"/>
            </w:tcBorders>
            <w:noWrap w:val="0"/>
            <w:vAlign w:val="center"/>
          </w:tcPr>
          <w:p w14:paraId="0A40B1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color w:val="auto"/>
                <w:sz w:val="36"/>
                <w:szCs w:val="36"/>
                <w:lang w:val="en-US" w:eastAsia="zh-CN"/>
              </w:rPr>
            </w:pPr>
            <w:r>
              <w:rPr>
                <w:rFonts w:hint="eastAsia" w:ascii="仿宋" w:hAnsi="仿宋" w:eastAsia="仿宋" w:cs="仿宋"/>
                <w:color w:val="auto"/>
                <w:sz w:val="36"/>
                <w:szCs w:val="36"/>
                <w:u w:val="single"/>
                <w:lang w:val="en-US" w:eastAsia="zh-CN"/>
              </w:rPr>
              <w:t xml:space="preserve">赣州市晟阳餐饮公司年产 10 万吨宁都预制菜及工业化配餐服务项目（变更）                               </w:t>
            </w:r>
          </w:p>
        </w:tc>
      </w:tr>
      <w:tr w14:paraId="49112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3234" w:type="dxa"/>
            <w:gridSpan w:val="2"/>
            <w:tcBorders>
              <w:tl2br w:val="nil"/>
              <w:tr2bl w:val="nil"/>
            </w:tcBorders>
            <w:noWrap w:val="0"/>
            <w:vAlign w:val="center"/>
          </w:tcPr>
          <w:p w14:paraId="31E963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lang w:val="en-US" w:eastAsia="zh-CN"/>
              </w:rPr>
              <w:t>建设单位（盖章）：</w:t>
            </w:r>
          </w:p>
        </w:tc>
        <w:tc>
          <w:tcPr>
            <w:tcW w:w="5685" w:type="dxa"/>
            <w:tcBorders>
              <w:tl2br w:val="nil"/>
              <w:tr2bl w:val="nil"/>
            </w:tcBorders>
            <w:noWrap w:val="0"/>
            <w:vAlign w:val="center"/>
          </w:tcPr>
          <w:p w14:paraId="053F22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color w:val="auto"/>
                <w:sz w:val="36"/>
                <w:szCs w:val="36"/>
                <w:lang w:val="en-US" w:eastAsia="zh-CN"/>
              </w:rPr>
            </w:pPr>
            <w:r>
              <w:rPr>
                <w:rFonts w:hint="eastAsia" w:ascii="仿宋" w:hAnsi="仿宋" w:eastAsia="仿宋" w:cs="仿宋"/>
                <w:color w:val="auto"/>
                <w:sz w:val="36"/>
                <w:szCs w:val="36"/>
                <w:u w:val="single"/>
                <w:lang w:val="en-US" w:eastAsia="zh-CN"/>
              </w:rPr>
              <w:t xml:space="preserve">晟阳食品集团有限公司                        </w:t>
            </w:r>
          </w:p>
        </w:tc>
      </w:tr>
      <w:tr w14:paraId="5B7BE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045" w:type="dxa"/>
            <w:tcBorders>
              <w:tl2br w:val="nil"/>
              <w:tr2bl w:val="nil"/>
            </w:tcBorders>
            <w:noWrap w:val="0"/>
            <w:vAlign w:val="center"/>
          </w:tcPr>
          <w:p w14:paraId="4CD1B4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lang w:val="en-US" w:eastAsia="zh-CN"/>
              </w:rPr>
              <w:t>编制日期：</w:t>
            </w:r>
          </w:p>
        </w:tc>
        <w:tc>
          <w:tcPr>
            <w:tcW w:w="6874" w:type="dxa"/>
            <w:gridSpan w:val="2"/>
            <w:tcBorders>
              <w:tl2br w:val="nil"/>
              <w:tr2bl w:val="nil"/>
            </w:tcBorders>
            <w:noWrap w:val="0"/>
            <w:vAlign w:val="center"/>
          </w:tcPr>
          <w:p w14:paraId="093151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36"/>
                <w:szCs w:val="36"/>
                <w:u w:val="single"/>
                <w:lang w:val="en-US" w:eastAsia="zh-CN"/>
              </w:rPr>
            </w:pPr>
            <w:r>
              <w:rPr>
                <w:rFonts w:hint="eastAsia" w:ascii="仿宋" w:hAnsi="仿宋" w:eastAsia="仿宋" w:cs="仿宋"/>
                <w:color w:val="auto"/>
                <w:sz w:val="36"/>
                <w:szCs w:val="36"/>
                <w:u w:val="single"/>
                <w:lang w:val="en-US" w:eastAsia="zh-CN"/>
              </w:rPr>
              <w:t xml:space="preserve">          2024年10月                        </w:t>
            </w:r>
          </w:p>
        </w:tc>
      </w:tr>
    </w:tbl>
    <w:p w14:paraId="7BD2DA79">
      <w:pPr>
        <w:adjustRightInd w:val="0"/>
        <w:snapToGrid w:val="0"/>
        <w:spacing w:line="288" w:lineRule="auto"/>
        <w:ind w:firstLine="1040"/>
        <w:rPr>
          <w:rFonts w:ascii="仿宋_GB2312" w:eastAsia="仿宋_GB2312"/>
          <w:color w:val="auto"/>
          <w:sz w:val="36"/>
          <w:szCs w:val="36"/>
          <w:highlight w:val="none"/>
          <w:u w:val="single"/>
        </w:rPr>
      </w:pPr>
    </w:p>
    <w:p w14:paraId="45ABACC0">
      <w:pPr>
        <w:adjustRightInd w:val="0"/>
        <w:snapToGrid w:val="0"/>
        <w:spacing w:line="288" w:lineRule="auto"/>
        <w:ind w:firstLine="1040"/>
        <w:rPr>
          <w:rFonts w:ascii="仿宋_GB2312" w:eastAsia="仿宋_GB2312"/>
          <w:color w:val="auto"/>
          <w:sz w:val="36"/>
          <w:szCs w:val="36"/>
          <w:highlight w:val="none"/>
        </w:rPr>
      </w:pPr>
    </w:p>
    <w:p w14:paraId="7140BC93">
      <w:pPr>
        <w:adjustRightInd w:val="0"/>
        <w:snapToGrid w:val="0"/>
        <w:spacing w:line="288" w:lineRule="auto"/>
        <w:ind w:firstLine="1040"/>
        <w:rPr>
          <w:rFonts w:ascii="仿宋_GB2312" w:eastAsia="仿宋_GB2312"/>
          <w:color w:val="auto"/>
          <w:sz w:val="36"/>
          <w:szCs w:val="36"/>
          <w:highlight w:val="none"/>
        </w:rPr>
      </w:pPr>
    </w:p>
    <w:p w14:paraId="58E5A842">
      <w:pPr>
        <w:adjustRightInd w:val="0"/>
        <w:snapToGrid w:val="0"/>
        <w:spacing w:line="288" w:lineRule="auto"/>
        <w:ind w:firstLine="1040"/>
        <w:rPr>
          <w:rFonts w:hint="eastAsia" w:ascii="仿宋_GB2312" w:eastAsia="仿宋_GB2312"/>
          <w:color w:val="auto"/>
          <w:sz w:val="36"/>
          <w:szCs w:val="36"/>
          <w:highlight w:val="none"/>
        </w:rPr>
      </w:pPr>
    </w:p>
    <w:bookmarkEnd w:id="0"/>
    <w:p w14:paraId="7AC2A6C4">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09A4CED9">
      <w:pPr>
        <w:adjustRightInd w:val="0"/>
        <w:snapToGrid w:val="0"/>
        <w:spacing w:line="288" w:lineRule="auto"/>
        <w:rPr>
          <w:rFonts w:ascii="仿宋_GB2312" w:eastAsia="仿宋_GB2312"/>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7FDCEA74">
      <w:pPr>
        <w:pStyle w:val="10"/>
        <w:keepNext w:val="0"/>
        <w:keepLines w:val="0"/>
        <w:pageBreakBefore w:val="0"/>
        <w:widowControl/>
        <w:kinsoku/>
        <w:wordWrap/>
        <w:overflowPunct/>
        <w:topLinePunct w:val="0"/>
        <w:autoSpaceDE/>
        <w:autoSpaceDN/>
        <w:bidi w:val="0"/>
        <w:adjustRightInd/>
        <w:snapToGrid w:val="0"/>
        <w:ind w:firstLine="0" w:firstLineChars="0"/>
        <w:textAlignment w:val="auto"/>
        <w:rPr>
          <w:rFonts w:hint="default"/>
          <w:color w:val="auto"/>
          <w:highlight w:val="none"/>
          <w:lang w:val="en-US" w:eastAsia="zh-CN"/>
        </w:rPr>
      </w:pPr>
    </w:p>
    <w:p w14:paraId="2854B91D">
      <w:pPr>
        <w:pStyle w:val="29"/>
        <w:keepNext w:val="0"/>
        <w:keepLines w:val="0"/>
        <w:pageBreakBefore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snapToGrid w:val="0"/>
          <w:color w:val="auto"/>
          <w:sz w:val="30"/>
          <w:szCs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DCCDAEE">
      <w:pPr>
        <w:pStyle w:val="29"/>
        <w:jc w:val="center"/>
        <w:outlineLvl w:val="0"/>
        <w:rPr>
          <w:rFonts w:hint="eastAsia" w:ascii="黑体" w:hAnsi="黑体" w:eastAsia="黑体"/>
          <w:b/>
          <w:bCs/>
          <w:snapToGrid w:val="0"/>
          <w:color w:val="auto"/>
          <w:sz w:val="30"/>
          <w:szCs w:val="30"/>
          <w:highlight w:val="none"/>
        </w:rPr>
      </w:pPr>
      <w:bookmarkStart w:id="1" w:name="_Toc2474"/>
      <w:r>
        <w:rPr>
          <w:rFonts w:hint="eastAsia" w:ascii="黑体" w:hAnsi="黑体" w:eastAsia="黑体"/>
          <w:b/>
          <w:bCs/>
          <w:snapToGrid w:val="0"/>
          <w:color w:val="auto"/>
          <w:sz w:val="30"/>
          <w:szCs w:val="30"/>
          <w:highlight w:val="none"/>
        </w:rPr>
        <w:t>一、建设项目基本情况</w:t>
      </w:r>
      <w:bookmarkEnd w:id="1"/>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56"/>
        <w:gridCol w:w="1520"/>
        <w:gridCol w:w="2200"/>
        <w:gridCol w:w="7"/>
        <w:gridCol w:w="1700"/>
        <w:gridCol w:w="351"/>
        <w:gridCol w:w="2636"/>
      </w:tblGrid>
      <w:tr w14:paraId="63DAF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6" w:type="dxa"/>
            <w:gridSpan w:val="2"/>
            <w:noWrap w:val="0"/>
            <w:tcMar>
              <w:top w:w="16" w:type="dxa"/>
              <w:left w:w="16" w:type="dxa"/>
              <w:right w:w="16" w:type="dxa"/>
            </w:tcMar>
            <w:vAlign w:val="center"/>
          </w:tcPr>
          <w:p w14:paraId="70E2379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894" w:type="dxa"/>
            <w:gridSpan w:val="5"/>
            <w:noWrap w:val="0"/>
            <w:vAlign w:val="center"/>
          </w:tcPr>
          <w:p w14:paraId="448BCC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eastAsia="zh-CN"/>
              </w:rPr>
              <w:t xml:space="preserve">赣州市晟阳餐饮公司年产 </w:t>
            </w:r>
            <w:r>
              <w:rPr>
                <w:rFonts w:hint="default" w:ascii="Times New Roman" w:hAnsi="Times New Roman" w:cs="Times New Roman"/>
                <w:color w:val="auto"/>
                <w:sz w:val="24"/>
                <w:szCs w:val="24"/>
                <w:lang w:eastAsia="zh-CN"/>
              </w:rPr>
              <w:t>10</w:t>
            </w:r>
            <w:r>
              <w:rPr>
                <w:rFonts w:hint="eastAsia" w:ascii="宋体" w:hAnsi="宋体" w:cs="宋体"/>
                <w:color w:val="auto"/>
                <w:sz w:val="24"/>
                <w:szCs w:val="24"/>
                <w:lang w:eastAsia="zh-CN"/>
              </w:rPr>
              <w:t xml:space="preserve"> 万吨宁都预制菜及工业化配餐服务项目（变更）</w:t>
            </w:r>
          </w:p>
        </w:tc>
      </w:tr>
      <w:tr w14:paraId="51CCE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6" w:type="dxa"/>
            <w:gridSpan w:val="2"/>
            <w:noWrap w:val="0"/>
            <w:tcMar>
              <w:top w:w="16" w:type="dxa"/>
              <w:left w:w="16" w:type="dxa"/>
              <w:right w:w="16" w:type="dxa"/>
            </w:tcMar>
            <w:vAlign w:val="center"/>
          </w:tcPr>
          <w:p w14:paraId="0505641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6894" w:type="dxa"/>
            <w:gridSpan w:val="5"/>
            <w:noWrap w:val="0"/>
            <w:vAlign w:val="center"/>
          </w:tcPr>
          <w:p w14:paraId="6EA8C143">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kern w:val="0"/>
                <w:sz w:val="24"/>
                <w:szCs w:val="24"/>
                <w:lang w:val="en-US" w:eastAsia="zh-CN" w:bidi="ar"/>
              </w:rPr>
              <w:t>2205-360730-04-01-584544</w:t>
            </w:r>
          </w:p>
        </w:tc>
      </w:tr>
      <w:tr w14:paraId="03A83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6" w:type="dxa"/>
            <w:gridSpan w:val="2"/>
            <w:noWrap w:val="0"/>
            <w:tcMar>
              <w:top w:w="16" w:type="dxa"/>
              <w:left w:w="16" w:type="dxa"/>
              <w:right w:w="16" w:type="dxa"/>
            </w:tcMar>
            <w:vAlign w:val="center"/>
          </w:tcPr>
          <w:p w14:paraId="6FA7C9F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207" w:type="dxa"/>
            <w:gridSpan w:val="2"/>
            <w:noWrap w:val="0"/>
            <w:vAlign w:val="center"/>
          </w:tcPr>
          <w:p w14:paraId="0DC8B8A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杨文武</w:t>
            </w:r>
          </w:p>
        </w:tc>
        <w:tc>
          <w:tcPr>
            <w:tcW w:w="2051" w:type="dxa"/>
            <w:gridSpan w:val="2"/>
            <w:noWrap w:val="0"/>
            <w:vAlign w:val="center"/>
          </w:tcPr>
          <w:p w14:paraId="2E25B831">
            <w:pPr>
              <w:adjustRightInd w:val="0"/>
              <w:snapToGrid w:val="0"/>
              <w:jc w:val="center"/>
              <w:rPr>
                <w:rFonts w:hint="default" w:ascii="Times New Roman" w:hAnsi="Times New Roman" w:eastAsia="宋体" w:cs="Times New Roman"/>
                <w:color w:val="auto"/>
                <w:sz w:val="24"/>
                <w:szCs w:val="24"/>
                <w:highlight w:val="none"/>
              </w:rPr>
            </w:pPr>
            <w:r>
              <w:rPr>
                <w:color w:val="auto"/>
                <w:sz w:val="24"/>
                <w:highlight w:val="none"/>
              </w:rPr>
              <w:t>联系方式</w:t>
            </w:r>
          </w:p>
        </w:tc>
        <w:tc>
          <w:tcPr>
            <w:tcW w:w="2636" w:type="dxa"/>
            <w:noWrap w:val="0"/>
            <w:vAlign w:val="center"/>
          </w:tcPr>
          <w:p w14:paraId="6565EED9">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000000"/>
                <w:kern w:val="0"/>
                <w:sz w:val="24"/>
                <w:szCs w:val="24"/>
                <w:lang w:val="en-US" w:eastAsia="zh-CN" w:bidi="ar"/>
              </w:rPr>
              <w:t>15170169888</w:t>
            </w:r>
          </w:p>
        </w:tc>
      </w:tr>
      <w:tr w14:paraId="634F7B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6" w:type="dxa"/>
            <w:gridSpan w:val="2"/>
            <w:noWrap w:val="0"/>
            <w:tcMar>
              <w:top w:w="16" w:type="dxa"/>
              <w:left w:w="16" w:type="dxa"/>
              <w:right w:w="16" w:type="dxa"/>
            </w:tcMar>
            <w:vAlign w:val="center"/>
          </w:tcPr>
          <w:p w14:paraId="382555D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894" w:type="dxa"/>
            <w:gridSpan w:val="5"/>
            <w:noWrap w:val="0"/>
            <w:vAlign w:val="center"/>
          </w:tcPr>
          <w:p w14:paraId="6974F5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000000"/>
                <w:kern w:val="0"/>
                <w:sz w:val="24"/>
                <w:szCs w:val="24"/>
                <w:lang w:val="en-US" w:eastAsia="zh-CN" w:bidi="ar"/>
              </w:rPr>
              <w:t>江西省赣州市宁都县工业园区易富北路北侧宁都大道东侧</w:t>
            </w:r>
          </w:p>
        </w:tc>
      </w:tr>
      <w:tr w14:paraId="2122B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6" w:type="dxa"/>
            <w:gridSpan w:val="2"/>
            <w:noWrap w:val="0"/>
            <w:tcMar>
              <w:top w:w="16" w:type="dxa"/>
              <w:left w:w="16" w:type="dxa"/>
              <w:right w:w="16" w:type="dxa"/>
            </w:tcMar>
            <w:vAlign w:val="center"/>
          </w:tcPr>
          <w:p w14:paraId="5898D9E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6894" w:type="dxa"/>
            <w:gridSpan w:val="5"/>
            <w:noWrap w:val="0"/>
            <w:vAlign w:val="center"/>
          </w:tcPr>
          <w:p w14:paraId="349BBF5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000000"/>
                <w:sz w:val="24"/>
                <w:szCs w:val="24"/>
                <w:highlight w:val="none"/>
              </w:rPr>
              <w:t>E11</w:t>
            </w:r>
            <w:r>
              <w:rPr>
                <w:rFonts w:hint="default"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59</w:t>
            </w:r>
            <w:r>
              <w:rPr>
                <w:rFonts w:hint="default" w:ascii="Times New Roman" w:hAnsi="Times New Roman" w:eastAsia="宋体" w:cs="Times New Roman"/>
                <w:color w:val="000000"/>
                <w:sz w:val="24"/>
                <w:szCs w:val="24"/>
                <w:highlight w:val="none"/>
              </w:rPr>
              <w:t>′18.71</w:t>
            </w:r>
            <w:r>
              <w:rPr>
                <w:rFonts w:hint="eastAsia" w:ascii="Times New Roman" w:hAnsi="Times New Roman" w:eastAsia="宋体" w:cs="Times New Roman"/>
                <w:color w:val="000000"/>
                <w:sz w:val="24"/>
                <w:szCs w:val="24"/>
                <w:highlight w:val="none"/>
                <w:lang w:val="en-US" w:eastAsia="zh-CN"/>
              </w:rPr>
              <w:t>9</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N</w:t>
            </w:r>
            <w:r>
              <w:rPr>
                <w:rFonts w:hint="default" w:ascii="Times New Roman" w:hAnsi="Times New Roman" w:eastAsia="宋体" w:cs="Times New Roman"/>
                <w:color w:val="000000"/>
                <w:sz w:val="24"/>
                <w:szCs w:val="24"/>
                <w:highlight w:val="none"/>
              </w:rPr>
              <w:t>2</w:t>
            </w:r>
            <w:r>
              <w:rPr>
                <w:rFonts w:hint="default" w:ascii="Times New Roman" w:hAnsi="Times New Roman" w:eastAsia="宋体" w:cs="Times New Roman"/>
                <w:color w:val="000000"/>
                <w:sz w:val="24"/>
                <w:szCs w:val="24"/>
                <w:highlight w:val="none"/>
                <w:lang w:val="en-US" w:eastAsia="zh-CN"/>
              </w:rPr>
              <w:t>6</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24</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35.2</w:t>
            </w:r>
            <w:r>
              <w:rPr>
                <w:rFonts w:hint="eastAsia" w:ascii="Times New Roman" w:hAnsi="Times New Roman" w:eastAsia="宋体" w:cs="Times New Roman"/>
                <w:color w:val="000000"/>
                <w:sz w:val="24"/>
                <w:szCs w:val="24"/>
                <w:highlight w:val="none"/>
                <w:lang w:val="en-US" w:eastAsia="zh-CN"/>
              </w:rPr>
              <w:t>30</w:t>
            </w:r>
            <w:r>
              <w:rPr>
                <w:rFonts w:hint="default" w:ascii="Times New Roman" w:hAnsi="Times New Roman" w:eastAsia="宋体" w:cs="Times New Roman"/>
                <w:color w:val="000000"/>
                <w:sz w:val="24"/>
                <w:szCs w:val="24"/>
                <w:highlight w:val="none"/>
              </w:rPr>
              <w:t>″</w:t>
            </w:r>
          </w:p>
        </w:tc>
      </w:tr>
      <w:tr w14:paraId="3EC09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76" w:type="dxa"/>
            <w:gridSpan w:val="2"/>
            <w:noWrap w:val="0"/>
            <w:tcMar>
              <w:top w:w="16" w:type="dxa"/>
              <w:left w:w="16" w:type="dxa"/>
              <w:right w:w="16" w:type="dxa"/>
            </w:tcMar>
            <w:vAlign w:val="center"/>
          </w:tcPr>
          <w:p w14:paraId="70FD26A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11C7B33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200" w:type="dxa"/>
            <w:noWrap w:val="0"/>
            <w:vAlign w:val="center"/>
          </w:tcPr>
          <w:p w14:paraId="3F7B9D11">
            <w:pPr>
              <w:adjustRightInd w:val="0"/>
              <w:snapToGrid w:val="0"/>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C1439 其他方便食品制造</w:t>
            </w:r>
          </w:p>
        </w:tc>
        <w:tc>
          <w:tcPr>
            <w:tcW w:w="1707" w:type="dxa"/>
            <w:gridSpan w:val="2"/>
            <w:noWrap w:val="0"/>
            <w:vAlign w:val="center"/>
          </w:tcPr>
          <w:p w14:paraId="7D897F1A">
            <w:pPr>
              <w:adjustRightInd w:val="0"/>
              <w:snapToGrid w:val="0"/>
              <w:jc w:val="center"/>
              <w:rPr>
                <w:rFonts w:hint="default" w:ascii="Times New Roman" w:hAnsi="Times New Roman" w:eastAsia="宋体" w:cs="Times New Roman"/>
                <w:color w:val="auto"/>
                <w:sz w:val="24"/>
                <w:szCs w:val="24"/>
                <w:highlight w:val="none"/>
              </w:rPr>
            </w:pPr>
            <w:bookmarkStart w:id="2" w:name="_Hlk49843745"/>
            <w:r>
              <w:rPr>
                <w:rFonts w:hint="default" w:ascii="Times New Roman" w:hAnsi="Times New Roman" w:eastAsia="宋体" w:cs="Times New Roman"/>
                <w:color w:val="auto"/>
                <w:sz w:val="24"/>
                <w:szCs w:val="24"/>
                <w:highlight w:val="none"/>
              </w:rPr>
              <w:t>建设项目</w:t>
            </w:r>
          </w:p>
          <w:p w14:paraId="62F5BD9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2"/>
          </w:p>
        </w:tc>
        <w:tc>
          <w:tcPr>
            <w:tcW w:w="2987" w:type="dxa"/>
            <w:gridSpan w:val="2"/>
            <w:noWrap w:val="0"/>
            <w:vAlign w:val="center"/>
          </w:tcPr>
          <w:p w14:paraId="67CD0EAD">
            <w:pPr>
              <w:adjustRightInd w:val="0"/>
              <w:snapToGrid w:val="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十一</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食品</w:t>
            </w:r>
            <w:r>
              <w:rPr>
                <w:rFonts w:hint="eastAsia" w:ascii="Times New Roman" w:hAnsi="Times New Roman" w:eastAsia="宋体" w:cs="Times New Roman"/>
                <w:color w:val="auto"/>
                <w:sz w:val="24"/>
                <w:szCs w:val="24"/>
                <w:highlight w:val="none"/>
                <w:lang w:val="en-US" w:eastAsia="zh-CN"/>
              </w:rPr>
              <w:t>制造</w:t>
            </w:r>
            <w:r>
              <w:rPr>
                <w:rFonts w:hint="default" w:ascii="Times New Roman" w:hAnsi="Times New Roman" w:eastAsia="宋体" w:cs="Times New Roman"/>
                <w:color w:val="auto"/>
                <w:sz w:val="24"/>
                <w:szCs w:val="24"/>
                <w:highlight w:val="none"/>
                <w:lang w:val="en-US" w:eastAsia="zh-CN"/>
              </w:rPr>
              <w:t>业</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21 方便食品制造 143</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罐头食品制造 144；</w:t>
            </w:r>
          </w:p>
        </w:tc>
      </w:tr>
      <w:tr w14:paraId="05A07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76" w:type="dxa"/>
            <w:gridSpan w:val="2"/>
            <w:noWrap w:val="0"/>
            <w:tcMar>
              <w:top w:w="16" w:type="dxa"/>
              <w:left w:w="16" w:type="dxa"/>
              <w:right w:w="16" w:type="dxa"/>
            </w:tcMar>
            <w:vAlign w:val="center"/>
          </w:tcPr>
          <w:p w14:paraId="6849E65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200" w:type="dxa"/>
            <w:noWrap w:val="0"/>
            <w:vAlign w:val="center"/>
          </w:tcPr>
          <w:p w14:paraId="44CAA832">
            <w:pPr>
              <w:adjustRightInd w:val="0"/>
              <w:snapToGrid w:val="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sym w:font="Wingdings 2" w:char="0052"/>
            </w:r>
            <w:r>
              <w:rPr>
                <w:rFonts w:hint="eastAsia" w:ascii="Times New Roman" w:hAnsi="Times New Roman" w:eastAsia="宋体" w:cs="Times New Roman"/>
                <w:color w:val="auto"/>
                <w:sz w:val="24"/>
                <w:szCs w:val="24"/>
                <w:highlight w:val="none"/>
                <w:lang w:val="en-US" w:eastAsia="zh-CN"/>
              </w:rPr>
              <w:t>新建（迁建）</w:t>
            </w:r>
          </w:p>
          <w:p w14:paraId="522BA14D">
            <w:pPr>
              <w:adjustRightInd w:val="0"/>
              <w:snapToGrid w:val="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sym w:font="Wingdings 2" w:char="00A3"/>
            </w:r>
            <w:r>
              <w:rPr>
                <w:rFonts w:hint="eastAsia" w:ascii="Times New Roman" w:hAnsi="Times New Roman" w:eastAsia="宋体" w:cs="Times New Roman"/>
                <w:color w:val="auto"/>
                <w:sz w:val="24"/>
                <w:szCs w:val="24"/>
                <w:highlight w:val="none"/>
                <w:lang w:val="en-US" w:eastAsia="zh-CN"/>
              </w:rPr>
              <w:t>改建</w:t>
            </w:r>
          </w:p>
          <w:p w14:paraId="3F0A403D">
            <w:pPr>
              <w:adjustRightInd w:val="0"/>
              <w:snapToGrid w:val="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sym w:font="Wingdings 2" w:char="00A3"/>
            </w:r>
            <w:r>
              <w:rPr>
                <w:rFonts w:hint="eastAsia" w:ascii="Times New Roman" w:hAnsi="Times New Roman" w:eastAsia="宋体" w:cs="Times New Roman"/>
                <w:color w:val="auto"/>
                <w:sz w:val="24"/>
                <w:szCs w:val="24"/>
                <w:highlight w:val="none"/>
                <w:lang w:val="en-US" w:eastAsia="zh-CN"/>
              </w:rPr>
              <w:t>扩建</w:t>
            </w:r>
          </w:p>
          <w:p w14:paraId="434DADFA">
            <w:pPr>
              <w:adjustRightInd w:val="0"/>
              <w:snapToGrid w:val="0"/>
              <w:jc w:val="left"/>
              <w:rPr>
                <w:rFonts w:hint="default"/>
                <w:bCs/>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sym w:font="Wingdings 2" w:char="00A3"/>
            </w:r>
            <w:r>
              <w:rPr>
                <w:rFonts w:hint="eastAsia" w:ascii="Times New Roman" w:hAnsi="Times New Roman" w:eastAsia="宋体" w:cs="Times New Roman"/>
                <w:color w:val="auto"/>
                <w:sz w:val="24"/>
                <w:szCs w:val="24"/>
                <w:highlight w:val="none"/>
                <w:lang w:val="en-US" w:eastAsia="zh-CN"/>
              </w:rPr>
              <w:t>技术改造</w:t>
            </w:r>
          </w:p>
        </w:tc>
        <w:tc>
          <w:tcPr>
            <w:tcW w:w="1707" w:type="dxa"/>
            <w:gridSpan w:val="2"/>
            <w:noWrap w:val="0"/>
            <w:vAlign w:val="center"/>
          </w:tcPr>
          <w:p w14:paraId="7C4876F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7A847A3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7" w:type="dxa"/>
            <w:gridSpan w:val="2"/>
            <w:noWrap w:val="0"/>
            <w:vAlign w:val="center"/>
          </w:tcPr>
          <w:p w14:paraId="38EF85C6">
            <w:pPr>
              <w:adjustRightInd w:val="0"/>
              <w:snapToGrid w:val="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sym w:font="Wingdings 2" w:char="00A3"/>
            </w:r>
            <w:r>
              <w:rPr>
                <w:rFonts w:hint="eastAsia" w:ascii="Times New Roman" w:hAnsi="Times New Roman" w:eastAsia="宋体" w:cs="Times New Roman"/>
                <w:color w:val="auto"/>
                <w:sz w:val="24"/>
                <w:szCs w:val="24"/>
                <w:highlight w:val="none"/>
                <w:lang w:val="en-US" w:eastAsia="zh-CN"/>
              </w:rPr>
              <w:t>首次申报项目</w:t>
            </w:r>
          </w:p>
          <w:p w14:paraId="21636BB6">
            <w:pPr>
              <w:adjustRightInd w:val="0"/>
              <w:snapToGrid w:val="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sym w:font="Wingdings 2" w:char="00A3"/>
            </w:r>
            <w:r>
              <w:rPr>
                <w:rFonts w:hint="eastAsia" w:ascii="Times New Roman" w:hAnsi="Times New Roman" w:eastAsia="宋体" w:cs="Times New Roman"/>
                <w:color w:val="auto"/>
                <w:sz w:val="24"/>
                <w:szCs w:val="24"/>
                <w:highlight w:val="none"/>
                <w:lang w:val="en-US" w:eastAsia="zh-CN"/>
              </w:rPr>
              <w:t>不予批准后再次申报项目</w:t>
            </w:r>
          </w:p>
          <w:p w14:paraId="084507A3">
            <w:pPr>
              <w:adjustRightInd w:val="0"/>
              <w:snapToGrid w:val="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sym w:font="Wingdings 2" w:char="00A3"/>
            </w:r>
            <w:r>
              <w:rPr>
                <w:rFonts w:hint="eastAsia" w:ascii="Times New Roman" w:hAnsi="Times New Roman" w:eastAsia="宋体" w:cs="Times New Roman"/>
                <w:color w:val="auto"/>
                <w:sz w:val="24"/>
                <w:szCs w:val="24"/>
                <w:highlight w:val="none"/>
                <w:lang w:val="en-US" w:eastAsia="zh-CN"/>
              </w:rPr>
              <w:t>超五年重新审核项目</w:t>
            </w:r>
          </w:p>
          <w:p w14:paraId="6C1032DF">
            <w:pPr>
              <w:adjustRightInd w:val="0"/>
              <w:snapToGrid w:val="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sym w:font="Wingdings 2" w:char="0052"/>
            </w:r>
            <w:r>
              <w:rPr>
                <w:rFonts w:hint="eastAsia" w:ascii="Times New Roman" w:hAnsi="Times New Roman" w:eastAsia="宋体" w:cs="Times New Roman"/>
                <w:color w:val="auto"/>
                <w:sz w:val="24"/>
                <w:szCs w:val="24"/>
                <w:highlight w:val="none"/>
                <w:lang w:val="en-US" w:eastAsia="zh-CN"/>
              </w:rPr>
              <w:t>重大变动重新报批项目</w:t>
            </w:r>
          </w:p>
        </w:tc>
      </w:tr>
      <w:tr w14:paraId="662CE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76" w:type="dxa"/>
            <w:gridSpan w:val="2"/>
            <w:noWrap w:val="0"/>
            <w:tcMar>
              <w:top w:w="16" w:type="dxa"/>
              <w:left w:w="16" w:type="dxa"/>
              <w:right w:w="16" w:type="dxa"/>
            </w:tcMar>
            <w:vAlign w:val="center"/>
          </w:tcPr>
          <w:p w14:paraId="473A999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1040BE1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200" w:type="dxa"/>
            <w:noWrap w:val="0"/>
            <w:vAlign w:val="center"/>
          </w:tcPr>
          <w:p w14:paraId="243397A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宁都县行政审批局</w:t>
            </w:r>
          </w:p>
        </w:tc>
        <w:tc>
          <w:tcPr>
            <w:tcW w:w="1707" w:type="dxa"/>
            <w:gridSpan w:val="2"/>
            <w:noWrap w:val="0"/>
            <w:vAlign w:val="center"/>
          </w:tcPr>
          <w:p w14:paraId="601D38C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05A17B6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7" w:type="dxa"/>
            <w:gridSpan w:val="2"/>
            <w:noWrap w:val="0"/>
            <w:vAlign w:val="center"/>
          </w:tcPr>
          <w:p w14:paraId="22273E67">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kern w:val="0"/>
                <w:sz w:val="24"/>
                <w:szCs w:val="24"/>
                <w:lang w:val="en-US" w:eastAsia="zh-CN" w:bidi="ar"/>
              </w:rPr>
              <w:t>2205-360730-04-01-584544</w:t>
            </w:r>
          </w:p>
        </w:tc>
      </w:tr>
      <w:tr w14:paraId="03EBE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6" w:type="dxa"/>
            <w:gridSpan w:val="2"/>
            <w:noWrap w:val="0"/>
            <w:tcMar>
              <w:top w:w="16" w:type="dxa"/>
              <w:left w:w="16" w:type="dxa"/>
              <w:right w:w="16" w:type="dxa"/>
            </w:tcMar>
            <w:vAlign w:val="center"/>
          </w:tcPr>
          <w:p w14:paraId="14A4F06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200" w:type="dxa"/>
            <w:noWrap w:val="0"/>
            <w:vAlign w:val="center"/>
          </w:tcPr>
          <w:p w14:paraId="1462B334">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lang w:val="en-US" w:eastAsia="zh-CN"/>
              </w:rPr>
              <w:t>100000</w:t>
            </w:r>
          </w:p>
        </w:tc>
        <w:tc>
          <w:tcPr>
            <w:tcW w:w="1707" w:type="dxa"/>
            <w:gridSpan w:val="2"/>
            <w:noWrap w:val="0"/>
            <w:tcMar>
              <w:top w:w="16" w:type="dxa"/>
              <w:left w:w="16" w:type="dxa"/>
              <w:right w:w="16" w:type="dxa"/>
            </w:tcMar>
            <w:vAlign w:val="center"/>
          </w:tcPr>
          <w:p w14:paraId="2AFD7D5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7" w:type="dxa"/>
            <w:gridSpan w:val="2"/>
            <w:noWrap w:val="0"/>
            <w:vAlign w:val="center"/>
          </w:tcPr>
          <w:p w14:paraId="2698177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184</w:t>
            </w:r>
          </w:p>
        </w:tc>
      </w:tr>
      <w:tr w14:paraId="309AE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6" w:type="dxa"/>
            <w:gridSpan w:val="2"/>
            <w:noWrap w:val="0"/>
            <w:tcMar>
              <w:top w:w="16" w:type="dxa"/>
              <w:left w:w="16" w:type="dxa"/>
              <w:right w:w="16" w:type="dxa"/>
            </w:tcMar>
            <w:vAlign w:val="center"/>
          </w:tcPr>
          <w:p w14:paraId="0C467AEE">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200" w:type="dxa"/>
            <w:noWrap w:val="0"/>
            <w:vAlign w:val="center"/>
          </w:tcPr>
          <w:p w14:paraId="3652193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0.184</w:t>
            </w:r>
          </w:p>
        </w:tc>
        <w:tc>
          <w:tcPr>
            <w:tcW w:w="1707" w:type="dxa"/>
            <w:gridSpan w:val="2"/>
            <w:noWrap w:val="0"/>
            <w:tcMar>
              <w:top w:w="16" w:type="dxa"/>
              <w:left w:w="16" w:type="dxa"/>
              <w:right w:w="16" w:type="dxa"/>
            </w:tcMar>
            <w:vAlign w:val="center"/>
          </w:tcPr>
          <w:p w14:paraId="6FCB0F6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7" w:type="dxa"/>
            <w:gridSpan w:val="2"/>
            <w:noWrap w:val="0"/>
            <w:vAlign w:val="center"/>
          </w:tcPr>
          <w:p w14:paraId="3E1E328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个月</w:t>
            </w:r>
          </w:p>
        </w:tc>
      </w:tr>
      <w:tr w14:paraId="5B82D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1976" w:type="dxa"/>
            <w:gridSpan w:val="2"/>
            <w:noWrap w:val="0"/>
            <w:tcMar>
              <w:top w:w="16" w:type="dxa"/>
              <w:left w:w="16" w:type="dxa"/>
              <w:right w:w="16" w:type="dxa"/>
            </w:tcMar>
            <w:vAlign w:val="center"/>
          </w:tcPr>
          <w:p w14:paraId="65D9A6E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200" w:type="dxa"/>
            <w:noWrap w:val="0"/>
            <w:vAlign w:val="center"/>
          </w:tcPr>
          <w:p w14:paraId="1BC745AD">
            <w:pPr>
              <w:adjustRightInd w:val="0"/>
              <w:snapToGrid w:val="0"/>
              <w:rPr>
                <w:rFonts w:ascii="宋体" w:hAnsi="宋体" w:cs="宋体"/>
                <w:color w:val="auto"/>
                <w:highlight w:val="none"/>
              </w:rPr>
            </w:pPr>
            <w:r>
              <w:rPr>
                <w:rFonts w:hint="eastAsia" w:ascii="宋体" w:hAnsi="宋体" w:cs="宋体"/>
                <w:color w:val="auto"/>
                <w:highlight w:val="none"/>
              </w:rPr>
              <w:sym w:font="Wingdings 2" w:char="00A3"/>
            </w:r>
            <w:r>
              <w:rPr>
                <w:rFonts w:hint="eastAsia" w:ascii="宋体" w:hAnsi="宋体" w:cs="宋体"/>
                <w:color w:val="auto"/>
                <w:highlight w:val="none"/>
              </w:rPr>
              <w:t>否</w:t>
            </w:r>
          </w:p>
          <w:p w14:paraId="7E1CDFD9">
            <w:pPr>
              <w:adjustRightInd w:val="0"/>
              <w:snapToGrid w:val="0"/>
              <w:rPr>
                <w:rFonts w:hint="default" w:ascii="Times New Roman" w:hAnsi="Times New Roman" w:eastAsia="宋体" w:cs="Times New Roman"/>
                <w:color w:val="auto"/>
                <w:sz w:val="24"/>
                <w:szCs w:val="24"/>
                <w:highlight w:val="none"/>
                <w:lang w:val="en-US" w:eastAsia="zh-CN"/>
              </w:rPr>
            </w:pPr>
            <w:r>
              <w:rPr>
                <w:rFonts w:hint="eastAsia" w:ascii="宋体" w:hAnsi="宋体" w:cs="宋体"/>
                <w:color w:val="auto"/>
                <w:highlight w:val="none"/>
              </w:rPr>
              <w:sym w:font="Wingdings 2" w:char="0052"/>
            </w:r>
            <w:r>
              <w:rPr>
                <w:rFonts w:hint="eastAsia" w:ascii="宋体" w:hAnsi="宋体" w:cs="宋体"/>
                <w:color w:val="auto"/>
                <w:highlight w:val="none"/>
              </w:rPr>
              <w:t>是：</w:t>
            </w:r>
            <w:r>
              <w:rPr>
                <w:rFonts w:hint="default" w:ascii="Times New Roman" w:hAnsi="Times New Roman" w:cs="Times New Roman"/>
                <w:color w:val="auto"/>
                <w:highlight w:val="none"/>
                <w:u w:val="single"/>
                <w:lang w:val="en-US" w:eastAsia="zh-CN"/>
              </w:rPr>
              <w:t>目前中央厨房、肉类车间、果蔬车间、1号和3号预制菜车间已建成并投入生产</w:t>
            </w:r>
          </w:p>
        </w:tc>
        <w:tc>
          <w:tcPr>
            <w:tcW w:w="1707" w:type="dxa"/>
            <w:gridSpan w:val="2"/>
            <w:noWrap w:val="0"/>
            <w:tcMar>
              <w:top w:w="16" w:type="dxa"/>
              <w:left w:w="16" w:type="dxa"/>
              <w:right w:w="16" w:type="dxa"/>
            </w:tcMar>
            <w:vAlign w:val="center"/>
          </w:tcPr>
          <w:p w14:paraId="53A4662B">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422738DE">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w:t>
            </w:r>
            <w:r>
              <w:rPr>
                <w:rFonts w:hint="eastAsia" w:ascii="Times New Roman" w:hAnsi="Times New Roman" w:eastAsia="宋体" w:cs="Times New Roman"/>
                <w:color w:val="auto"/>
                <w:spacing w:val="-6"/>
                <w:sz w:val="24"/>
                <w:szCs w:val="24"/>
                <w:highlight w:val="none"/>
                <w:lang w:val="en-US" w:eastAsia="zh-CN"/>
              </w:rPr>
              <w:t>m</w:t>
            </w:r>
            <w:r>
              <w:rPr>
                <w:rFonts w:hint="default" w:ascii="Times New Roman" w:hAnsi="Times New Roman" w:eastAsia="宋体" w:cs="Times New Roman"/>
                <w:color w:val="auto"/>
                <w:spacing w:val="-6"/>
                <w:sz w:val="24"/>
                <w:szCs w:val="24"/>
                <w:highlight w:val="none"/>
                <w:vertAlign w:val="superscript"/>
                <w:lang w:val="en-US" w:eastAsia="zh-CN"/>
              </w:rPr>
              <w:t>2</w:t>
            </w:r>
            <w:r>
              <w:rPr>
                <w:rFonts w:hint="default" w:ascii="Times New Roman" w:hAnsi="Times New Roman" w:eastAsia="宋体" w:cs="Times New Roman"/>
                <w:color w:val="auto"/>
                <w:spacing w:val="-6"/>
                <w:sz w:val="24"/>
                <w:szCs w:val="24"/>
                <w:highlight w:val="none"/>
              </w:rPr>
              <w:t>）</w:t>
            </w:r>
          </w:p>
        </w:tc>
        <w:tc>
          <w:tcPr>
            <w:tcW w:w="2987" w:type="dxa"/>
            <w:gridSpan w:val="2"/>
            <w:noWrap w:val="0"/>
            <w:vAlign w:val="center"/>
          </w:tcPr>
          <w:p w14:paraId="37DA58EF">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i w:val="0"/>
                <w:iCs w:val="0"/>
                <w:caps w:val="0"/>
                <w:color w:val="333333"/>
                <w:spacing w:val="0"/>
                <w:sz w:val="24"/>
                <w:szCs w:val="24"/>
                <w:u w:val="none"/>
                <w:shd w:val="clear" w:fill="FFFFFF"/>
                <w:lang w:val="en-US" w:eastAsia="zh-CN"/>
              </w:rPr>
              <w:t>119120.2</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p>
        </w:tc>
      </w:tr>
      <w:tr w14:paraId="242DF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976" w:type="dxa"/>
            <w:gridSpan w:val="2"/>
            <w:noWrap w:val="0"/>
            <w:vAlign w:val="center"/>
          </w:tcPr>
          <w:p w14:paraId="109323A0">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lang w:val="en-US" w:eastAsia="zh-CN" w:bidi="ar-SA"/>
              </w:rPr>
              <w:t>专项评价设置情况</w:t>
            </w:r>
          </w:p>
        </w:tc>
        <w:tc>
          <w:tcPr>
            <w:tcW w:w="6894" w:type="dxa"/>
            <w:gridSpan w:val="5"/>
            <w:noWrap w:val="0"/>
            <w:vAlign w:val="center"/>
          </w:tcPr>
          <w:p w14:paraId="3678AF06">
            <w:pPr>
              <w:pStyle w:val="124"/>
              <w:bidi w:val="0"/>
              <w:rPr>
                <w:rFonts w:hint="default"/>
                <w:color w:val="auto"/>
                <w:lang w:val="en-US" w:eastAsia="zh-CN"/>
              </w:rPr>
            </w:pPr>
            <w:r>
              <w:rPr>
                <w:rFonts w:hint="eastAsia"/>
                <w:color w:val="auto"/>
                <w:lang w:val="en-US" w:eastAsia="zh-CN"/>
              </w:rPr>
              <w:t>根据《建设项目环境影响报告表编制技术指南（污染影响类）》（试行）中专项评价设置原则，本项目专项评价设置分析见表1-1。</w:t>
            </w:r>
          </w:p>
          <w:p w14:paraId="275325CF">
            <w:pPr>
              <w:widowControl w:val="0"/>
              <w:bidi w:val="0"/>
              <w:jc w:val="center"/>
              <w:rPr>
                <w:rFonts w:hint="default"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表1-1  污染影响类项目专项设置分析一览表</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2146"/>
              <w:gridCol w:w="2300"/>
              <w:gridCol w:w="854"/>
            </w:tblGrid>
            <w:tr w14:paraId="7F30A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tcBorders>
                    <w:tl2br w:val="nil"/>
                    <w:tr2bl w:val="nil"/>
                  </w:tcBorders>
                  <w:noWrap w:val="0"/>
                  <w:vAlign w:val="center"/>
                </w:tcPr>
                <w:p w14:paraId="01EE13C8">
                  <w:pPr>
                    <w:widowControl w:val="0"/>
                    <w:bidi w:val="0"/>
                    <w:spacing w:line="264"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专项评价类别</w:t>
                  </w:r>
                </w:p>
              </w:tc>
              <w:tc>
                <w:tcPr>
                  <w:tcW w:w="1608" w:type="pct"/>
                  <w:tcBorders>
                    <w:tl2br w:val="nil"/>
                    <w:tr2bl w:val="nil"/>
                  </w:tcBorders>
                  <w:noWrap w:val="0"/>
                  <w:vAlign w:val="center"/>
                </w:tcPr>
                <w:p w14:paraId="76288FFC">
                  <w:pPr>
                    <w:widowControl w:val="0"/>
                    <w:bidi w:val="0"/>
                    <w:spacing w:line="264"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设置原则</w:t>
                  </w:r>
                </w:p>
              </w:tc>
              <w:tc>
                <w:tcPr>
                  <w:tcW w:w="1723" w:type="pct"/>
                  <w:tcBorders>
                    <w:tl2br w:val="nil"/>
                    <w:tr2bl w:val="nil"/>
                  </w:tcBorders>
                  <w:noWrap w:val="0"/>
                  <w:vAlign w:val="center"/>
                </w:tcPr>
                <w:p w14:paraId="2F26D6E7">
                  <w:pPr>
                    <w:widowControl w:val="0"/>
                    <w:bidi w:val="0"/>
                    <w:spacing w:line="264"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w:t>
                  </w:r>
                </w:p>
              </w:tc>
              <w:tc>
                <w:tcPr>
                  <w:tcW w:w="638" w:type="pct"/>
                  <w:tcBorders>
                    <w:tl2br w:val="nil"/>
                    <w:tr2bl w:val="nil"/>
                  </w:tcBorders>
                  <w:noWrap w:val="0"/>
                  <w:vAlign w:val="center"/>
                </w:tcPr>
                <w:p w14:paraId="20A5C745">
                  <w:pPr>
                    <w:widowControl w:val="0"/>
                    <w:bidi w:val="0"/>
                    <w:spacing w:line="264"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是否设置</w:t>
                  </w:r>
                </w:p>
              </w:tc>
            </w:tr>
            <w:tr w14:paraId="2DC1F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tcBorders>
                    <w:tl2br w:val="nil"/>
                    <w:tr2bl w:val="nil"/>
                  </w:tcBorders>
                  <w:noWrap w:val="0"/>
                  <w:vAlign w:val="center"/>
                </w:tcPr>
                <w:p w14:paraId="2749C27F">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大气</w:t>
                  </w:r>
                </w:p>
              </w:tc>
              <w:tc>
                <w:tcPr>
                  <w:tcW w:w="1608" w:type="pct"/>
                  <w:tcBorders>
                    <w:tl2br w:val="nil"/>
                    <w:tr2bl w:val="nil"/>
                  </w:tcBorders>
                  <w:noWrap w:val="0"/>
                  <w:vAlign w:val="center"/>
                </w:tcPr>
                <w:p w14:paraId="577D98D5">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排放废气含有毒有害污染物</w:t>
                  </w:r>
                  <w:r>
                    <w:rPr>
                      <w:rFonts w:hint="default" w:ascii="Times New Roman" w:hAnsi="Times New Roman" w:eastAsia="宋体" w:cs="Times New Roman"/>
                      <w:color w:val="auto"/>
                      <w:kern w:val="2"/>
                      <w:sz w:val="21"/>
                      <w:szCs w:val="21"/>
                      <w:vertAlign w:val="superscript"/>
                      <w:lang w:val="en-US" w:eastAsia="zh-CN" w:bidi="ar-SA"/>
                    </w:rPr>
                    <w:t>1</w:t>
                  </w:r>
                  <w:r>
                    <w:rPr>
                      <w:rFonts w:hint="default" w:ascii="Times New Roman" w:hAnsi="Times New Roman" w:eastAsia="宋体" w:cs="Times New Roman"/>
                      <w:color w:val="auto"/>
                      <w:kern w:val="2"/>
                      <w:sz w:val="21"/>
                      <w:szCs w:val="21"/>
                      <w:lang w:val="en-US" w:eastAsia="zh-CN" w:bidi="ar-SA"/>
                    </w:rPr>
                    <w:t>、二噁英、苯并[a]芘、氰化物、氯气且厂界外500米范围内有环境空气保护目标</w:t>
                  </w:r>
                  <w:r>
                    <w:rPr>
                      <w:rFonts w:hint="eastAsia"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的建设项目</w:t>
                  </w:r>
                </w:p>
              </w:tc>
              <w:tc>
                <w:tcPr>
                  <w:tcW w:w="1723" w:type="pct"/>
                  <w:tcBorders>
                    <w:tl2br w:val="nil"/>
                    <w:tr2bl w:val="nil"/>
                  </w:tcBorders>
                  <w:noWrap w:val="0"/>
                  <w:vAlign w:val="center"/>
                </w:tcPr>
                <w:p w14:paraId="6AD08C7D">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本项目排放废气不含有毒有害污染物、二噁英、苯并[a]芘、氰化物、氯气</w:t>
                  </w:r>
                </w:p>
              </w:tc>
              <w:tc>
                <w:tcPr>
                  <w:tcW w:w="638" w:type="pct"/>
                  <w:tcBorders>
                    <w:tl2br w:val="nil"/>
                    <w:tr2bl w:val="nil"/>
                  </w:tcBorders>
                  <w:noWrap w:val="0"/>
                  <w:vAlign w:val="center"/>
                </w:tcPr>
                <w:p w14:paraId="3EC9B41B">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不设置</w:t>
                  </w:r>
                </w:p>
              </w:tc>
            </w:tr>
            <w:tr w14:paraId="55598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4" w:hRule="atLeast"/>
                <w:jc w:val="center"/>
              </w:trPr>
              <w:tc>
                <w:tcPr>
                  <w:tcW w:w="1029" w:type="pct"/>
                  <w:tcBorders>
                    <w:tl2br w:val="nil"/>
                    <w:tr2bl w:val="nil"/>
                  </w:tcBorders>
                  <w:noWrap w:val="0"/>
                  <w:vAlign w:val="center"/>
                </w:tcPr>
                <w:p w14:paraId="1690A320">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地表水</w:t>
                  </w:r>
                </w:p>
              </w:tc>
              <w:tc>
                <w:tcPr>
                  <w:tcW w:w="1608" w:type="pct"/>
                  <w:tcBorders>
                    <w:tl2br w:val="nil"/>
                    <w:tr2bl w:val="nil"/>
                  </w:tcBorders>
                  <w:noWrap w:val="0"/>
                  <w:vAlign w:val="center"/>
                </w:tcPr>
                <w:p w14:paraId="185FEC32">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新增工业废水直排建设项目（槽罐车外送污水处理厂的除外）；新增废水直排的污水集中处理厂</w:t>
                  </w:r>
                </w:p>
              </w:tc>
              <w:tc>
                <w:tcPr>
                  <w:tcW w:w="1723" w:type="pct"/>
                  <w:tcBorders>
                    <w:tl2br w:val="nil"/>
                    <w:tr2bl w:val="nil"/>
                  </w:tcBorders>
                  <w:noWrap w:val="0"/>
                  <w:vAlign w:val="center"/>
                </w:tcPr>
                <w:p w14:paraId="5A315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本项目废水主要分为生活污水、生产废水</w:t>
                  </w:r>
                  <w:r>
                    <w:rPr>
                      <w:rFonts w:hint="eastAsia" w:cs="Times New Roman"/>
                      <w:color w:val="000000"/>
                      <w:kern w:val="0"/>
                      <w:sz w:val="21"/>
                      <w:szCs w:val="21"/>
                      <w:lang w:val="en-US" w:eastAsia="zh-CN" w:bidi="ar"/>
                    </w:rPr>
                    <w:t>和纯水制备浓水</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纯水制备浓水可</w:t>
                  </w:r>
                  <w:r>
                    <w:rPr>
                      <w:rFonts w:hint="eastAsia" w:cs="Times New Roman"/>
                      <w:color w:val="auto"/>
                      <w:sz w:val="21"/>
                      <w:szCs w:val="21"/>
                      <w:highlight w:val="none"/>
                      <w:lang w:val="en-US" w:eastAsia="zh-CN"/>
                    </w:rPr>
                    <w:t>不经过污水处理站处理直接</w:t>
                  </w:r>
                  <w:r>
                    <w:rPr>
                      <w:rFonts w:hint="default" w:ascii="Times New Roman" w:hAnsi="Times New Roman" w:cs="Times New Roman"/>
                      <w:color w:val="auto"/>
                      <w:sz w:val="21"/>
                      <w:szCs w:val="21"/>
                      <w:highlight w:val="none"/>
                      <w:lang w:val="en-US" w:eastAsia="zh-CN"/>
                    </w:rPr>
                    <w:t>和</w:t>
                  </w:r>
                  <w:r>
                    <w:rPr>
                      <w:rFonts w:hint="eastAsia" w:ascii="Times New Roman" w:hAnsi="Times New Roman" w:cs="Times New Roman"/>
                      <w:color w:val="auto"/>
                      <w:sz w:val="21"/>
                      <w:szCs w:val="21"/>
                      <w:highlight w:val="none"/>
                      <w:lang w:val="en-US" w:eastAsia="zh-CN"/>
                    </w:rPr>
                    <w:t>污水处理站</w:t>
                  </w:r>
                  <w:r>
                    <w:rPr>
                      <w:rFonts w:hint="default" w:ascii="Times New Roman" w:hAnsi="Times New Roman" w:cs="Times New Roman"/>
                      <w:color w:val="auto"/>
                      <w:sz w:val="21"/>
                      <w:szCs w:val="21"/>
                      <w:highlight w:val="none"/>
                      <w:lang w:val="en-US" w:eastAsia="zh-CN"/>
                    </w:rPr>
                    <w:t>处理过的废水一起经总排口排入污水管网</w:t>
                  </w:r>
                  <w:r>
                    <w:rPr>
                      <w:rFonts w:hint="eastAsia" w:cs="Times New Roman"/>
                      <w:color w:val="000000"/>
                      <w:kern w:val="0"/>
                      <w:sz w:val="21"/>
                      <w:szCs w:val="21"/>
                      <w:lang w:val="en-US" w:eastAsia="zh-CN" w:bidi="ar"/>
                    </w:rPr>
                    <w:t>，</w:t>
                  </w:r>
                  <w:r>
                    <w:rPr>
                      <w:rFonts w:hint="eastAsia" w:ascii="Times New Roman" w:hAnsi="Times New Roman" w:eastAsia="宋体" w:cs="Times New Roman"/>
                      <w:b w:val="0"/>
                      <w:bCs/>
                      <w:color w:val="auto"/>
                      <w:kern w:val="2"/>
                      <w:sz w:val="21"/>
                      <w:szCs w:val="21"/>
                      <w:lang w:val="en-US" w:eastAsia="zh-CN" w:bidi="ar-SA"/>
                    </w:rPr>
                    <w:t>生活污水经化粪池处理后和生产废水一起进入自建污水处理站处理达标后通过污水管网进入宁都县第二污水处理厂处理达标后，最终排入梅江。</w:t>
                  </w:r>
                </w:p>
              </w:tc>
              <w:tc>
                <w:tcPr>
                  <w:tcW w:w="638" w:type="pct"/>
                  <w:tcBorders>
                    <w:tl2br w:val="nil"/>
                    <w:tr2bl w:val="nil"/>
                  </w:tcBorders>
                  <w:noWrap w:val="0"/>
                  <w:vAlign w:val="center"/>
                </w:tcPr>
                <w:p w14:paraId="209BBDDC">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不设置</w:t>
                  </w:r>
                </w:p>
              </w:tc>
            </w:tr>
            <w:tr w14:paraId="3469B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029" w:type="pct"/>
                  <w:tcBorders>
                    <w:tl2br w:val="nil"/>
                    <w:tr2bl w:val="nil"/>
                  </w:tcBorders>
                  <w:noWrap w:val="0"/>
                  <w:vAlign w:val="center"/>
                </w:tcPr>
                <w:p w14:paraId="24C96434">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环境风险</w:t>
                  </w:r>
                </w:p>
              </w:tc>
              <w:tc>
                <w:tcPr>
                  <w:tcW w:w="1608" w:type="pct"/>
                  <w:tcBorders>
                    <w:tl2br w:val="nil"/>
                    <w:tr2bl w:val="nil"/>
                  </w:tcBorders>
                  <w:noWrap w:val="0"/>
                  <w:vAlign w:val="center"/>
                </w:tcPr>
                <w:p w14:paraId="13157CBC">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有毒有害和易燃易爆危险物质存储量超过临界量</w:t>
                  </w:r>
                  <w:r>
                    <w:rPr>
                      <w:rFonts w:hint="eastAsia"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的建设项目</w:t>
                  </w:r>
                </w:p>
              </w:tc>
              <w:tc>
                <w:tcPr>
                  <w:tcW w:w="1723" w:type="pct"/>
                  <w:tcBorders>
                    <w:tl2br w:val="nil"/>
                    <w:tr2bl w:val="nil"/>
                  </w:tcBorders>
                  <w:noWrap w:val="0"/>
                  <w:vAlign w:val="center"/>
                </w:tcPr>
                <w:p w14:paraId="6554CFEE">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根据计算，本项目涉及的环境风险物质</w:t>
                  </w:r>
                  <w:r>
                    <w:rPr>
                      <w:rFonts w:hint="default" w:ascii="Times New Roman" w:hAnsi="Times New Roman" w:eastAsia="宋体" w:cs="Times New Roman"/>
                      <w:color w:val="auto"/>
                      <w:kern w:val="2"/>
                      <w:sz w:val="21"/>
                      <w:szCs w:val="21"/>
                      <w:lang w:val="en-US" w:eastAsia="zh-CN" w:bidi="ar-SA"/>
                    </w:rPr>
                    <w:t>存储量</w:t>
                  </w:r>
                  <w:r>
                    <w:rPr>
                      <w:rFonts w:hint="eastAsia" w:ascii="Times New Roman" w:hAnsi="Times New Roman" w:eastAsia="宋体" w:cs="Times New Roman"/>
                      <w:color w:val="auto"/>
                      <w:kern w:val="2"/>
                      <w:sz w:val="21"/>
                      <w:szCs w:val="21"/>
                      <w:lang w:val="en-US" w:eastAsia="zh-CN" w:bidi="ar-SA"/>
                    </w:rPr>
                    <w:t>均不超过临界量</w:t>
                  </w:r>
                </w:p>
              </w:tc>
              <w:tc>
                <w:tcPr>
                  <w:tcW w:w="638" w:type="pct"/>
                  <w:tcBorders>
                    <w:tl2br w:val="nil"/>
                    <w:tr2bl w:val="nil"/>
                  </w:tcBorders>
                  <w:noWrap w:val="0"/>
                  <w:vAlign w:val="center"/>
                </w:tcPr>
                <w:p w14:paraId="4D71AFE6">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不设置</w:t>
                  </w:r>
                </w:p>
              </w:tc>
            </w:tr>
            <w:tr w14:paraId="4DD74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tcBorders>
                    <w:tl2br w:val="nil"/>
                    <w:tr2bl w:val="nil"/>
                  </w:tcBorders>
                  <w:noWrap w:val="0"/>
                  <w:vAlign w:val="center"/>
                </w:tcPr>
                <w:p w14:paraId="651F8C3B">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生态</w:t>
                  </w:r>
                </w:p>
              </w:tc>
              <w:tc>
                <w:tcPr>
                  <w:tcW w:w="1608" w:type="pct"/>
                  <w:tcBorders>
                    <w:tl2br w:val="nil"/>
                    <w:tr2bl w:val="nil"/>
                  </w:tcBorders>
                  <w:noWrap w:val="0"/>
                  <w:vAlign w:val="center"/>
                </w:tcPr>
                <w:p w14:paraId="37289FBD">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取水口下游500米范围内有重要水生生物的自然产卵场、索饵场、越冬场和洄游通道的新增河道取水的污染类建设项目</w:t>
                  </w:r>
                </w:p>
              </w:tc>
              <w:tc>
                <w:tcPr>
                  <w:tcW w:w="1723" w:type="pct"/>
                  <w:tcBorders>
                    <w:tl2br w:val="nil"/>
                    <w:tr2bl w:val="nil"/>
                  </w:tcBorders>
                  <w:noWrap w:val="0"/>
                  <w:vAlign w:val="center"/>
                </w:tcPr>
                <w:p w14:paraId="22951C6B">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不属于</w:t>
                  </w:r>
                </w:p>
              </w:tc>
              <w:tc>
                <w:tcPr>
                  <w:tcW w:w="638" w:type="pct"/>
                  <w:tcBorders>
                    <w:tl2br w:val="nil"/>
                    <w:tr2bl w:val="nil"/>
                  </w:tcBorders>
                  <w:noWrap w:val="0"/>
                  <w:vAlign w:val="center"/>
                </w:tcPr>
                <w:p w14:paraId="1B41628A">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不设置</w:t>
                  </w:r>
                </w:p>
              </w:tc>
            </w:tr>
            <w:tr w14:paraId="6AACE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tcBorders>
                    <w:tl2br w:val="nil"/>
                    <w:tr2bl w:val="nil"/>
                  </w:tcBorders>
                  <w:noWrap w:val="0"/>
                  <w:vAlign w:val="center"/>
                </w:tcPr>
                <w:p w14:paraId="2D65C6FE">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海洋</w:t>
                  </w:r>
                </w:p>
              </w:tc>
              <w:tc>
                <w:tcPr>
                  <w:tcW w:w="1608" w:type="pct"/>
                  <w:tcBorders>
                    <w:tl2br w:val="nil"/>
                    <w:tr2bl w:val="nil"/>
                  </w:tcBorders>
                  <w:noWrap w:val="0"/>
                  <w:vAlign w:val="center"/>
                </w:tcPr>
                <w:p w14:paraId="10C2521B">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直接向海排放污染物的海洋工程建设项目</w:t>
                  </w:r>
                </w:p>
              </w:tc>
              <w:tc>
                <w:tcPr>
                  <w:tcW w:w="1723" w:type="pct"/>
                  <w:tcBorders>
                    <w:tl2br w:val="nil"/>
                    <w:tr2bl w:val="nil"/>
                  </w:tcBorders>
                  <w:noWrap w:val="0"/>
                  <w:vAlign w:val="center"/>
                </w:tcPr>
                <w:p w14:paraId="01D94A91">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不属于</w:t>
                  </w:r>
                </w:p>
              </w:tc>
              <w:tc>
                <w:tcPr>
                  <w:tcW w:w="638" w:type="pct"/>
                  <w:tcBorders>
                    <w:tl2br w:val="nil"/>
                    <w:tr2bl w:val="nil"/>
                  </w:tcBorders>
                  <w:noWrap w:val="0"/>
                  <w:vAlign w:val="center"/>
                </w:tcPr>
                <w:p w14:paraId="6264D18F">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不设置</w:t>
                  </w:r>
                </w:p>
              </w:tc>
            </w:tr>
            <w:tr w14:paraId="7D415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noWrap w:val="0"/>
                  <w:vAlign w:val="center"/>
                </w:tcPr>
                <w:p w14:paraId="49FEF78C">
                  <w:pPr>
                    <w:widowControl w:val="0"/>
                    <w:bidi w:val="0"/>
                    <w:snapToGrid/>
                    <w:spacing w:line="240" w:lineRule="auto"/>
                    <w:ind w:left="0" w:leftChars="0" w:right="0" w:right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注1.废气中有毒有害污染物指纳入《有毒有害大气污染物名录》的污染物（不包括无排放标准的污染物）。</w:t>
                  </w:r>
                </w:p>
                <w:p w14:paraId="68A41EA7">
                  <w:pPr>
                    <w:widowControl w:val="0"/>
                    <w:numPr>
                      <w:ilvl w:val="0"/>
                      <w:numId w:val="0"/>
                    </w:numPr>
                    <w:bidi w:val="0"/>
                    <w:snapToGrid/>
                    <w:spacing w:line="240" w:lineRule="auto"/>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2.环境空气保护目标指自然保护区、风景名胜区、居住区、文化区和农村地区中人群较集中的区域。</w:t>
                  </w:r>
                </w:p>
                <w:p w14:paraId="6AD1EB42">
                  <w:pPr>
                    <w:widowControl w:val="0"/>
                    <w:numPr>
                      <w:ilvl w:val="0"/>
                      <w:numId w:val="0"/>
                    </w:numPr>
                    <w:bidi w:val="0"/>
                    <w:snapToGrid/>
                    <w:spacing w:line="240" w:lineRule="auto"/>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3.临界量及其计算方法可参考《建设项目环境风险评价技术导则》（HJ169）附录 B、附录C</w:t>
                  </w:r>
                  <w:r>
                    <w:rPr>
                      <w:rFonts w:hint="eastAsia" w:cs="Times New Roman"/>
                      <w:color w:val="auto"/>
                      <w:kern w:val="2"/>
                      <w:sz w:val="21"/>
                      <w:szCs w:val="21"/>
                      <w:lang w:val="en-US" w:eastAsia="zh-CN" w:bidi="ar-SA"/>
                    </w:rPr>
                    <w:t>。</w:t>
                  </w:r>
                </w:p>
              </w:tc>
            </w:tr>
          </w:tbl>
          <w:p w14:paraId="390ECEE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color w:val="auto"/>
                <w:sz w:val="24"/>
                <w:szCs w:val="24"/>
                <w:lang w:val="en-US" w:eastAsia="zh-CN"/>
              </w:rPr>
              <w:t>根据表1-1分析，本项目不设置环境风险专项评价</w:t>
            </w:r>
          </w:p>
        </w:tc>
      </w:tr>
      <w:tr w14:paraId="3ED85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976" w:type="dxa"/>
            <w:gridSpan w:val="2"/>
            <w:noWrap w:val="0"/>
            <w:vAlign w:val="center"/>
          </w:tcPr>
          <w:p w14:paraId="4300B972">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6894" w:type="dxa"/>
            <w:gridSpan w:val="5"/>
            <w:noWrap w:val="0"/>
            <w:vAlign w:val="center"/>
          </w:tcPr>
          <w:p w14:paraId="66F505E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规划名称：《</w:t>
            </w:r>
            <w:r>
              <w:rPr>
                <w:rFonts w:hint="eastAsia" w:cs="Times New Roman"/>
                <w:color w:val="auto"/>
                <w:kern w:val="0"/>
                <w:sz w:val="24"/>
                <w:szCs w:val="24"/>
                <w:lang w:val="en-US" w:eastAsia="zh-CN"/>
              </w:rPr>
              <w:t>江西宁都工业园区扩区调区规划</w:t>
            </w:r>
            <w:r>
              <w:rPr>
                <w:rFonts w:hint="eastAsia" w:ascii="Times New Roman" w:hAnsi="Times New Roman" w:eastAsia="宋体" w:cs="Times New Roman"/>
                <w:color w:val="auto"/>
                <w:kern w:val="0"/>
                <w:sz w:val="24"/>
                <w:szCs w:val="24"/>
                <w:lang w:val="en-US" w:eastAsia="zh-CN"/>
              </w:rPr>
              <w:t xml:space="preserve">》 </w:t>
            </w:r>
          </w:p>
          <w:p w14:paraId="01B17B0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审查机关：</w:t>
            </w:r>
            <w:r>
              <w:rPr>
                <w:rFonts w:hint="eastAsia"/>
                <w:color w:val="auto"/>
                <w:sz w:val="24"/>
                <w:szCs w:val="24"/>
                <w:highlight w:val="none"/>
              </w:rPr>
              <w:t>江西省人民政府办公厅</w:t>
            </w:r>
            <w:r>
              <w:rPr>
                <w:rFonts w:hint="eastAsia" w:ascii="Times New Roman" w:hAnsi="Times New Roman" w:eastAsia="宋体" w:cs="Times New Roman"/>
                <w:color w:val="auto"/>
                <w:kern w:val="0"/>
                <w:sz w:val="24"/>
                <w:szCs w:val="24"/>
                <w:lang w:val="en-US" w:eastAsia="zh-CN"/>
              </w:rPr>
              <w:t xml:space="preserve"> </w:t>
            </w:r>
          </w:p>
          <w:p w14:paraId="40B35F8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审查文件名称及文号：</w:t>
            </w:r>
            <w:r>
              <w:rPr>
                <w:rFonts w:hint="eastAsia"/>
                <w:color w:val="auto"/>
                <w:sz w:val="24"/>
                <w:szCs w:val="24"/>
                <w:highlight w:val="none"/>
              </w:rPr>
              <w:t>《江西省人民政府办公厅关于同意弋阳工业园等三家省级开发区扩区和调整区位的函》（赣府厅字〔2016〕82号）批复同意宁都工业园区扩区和调整区位</w:t>
            </w:r>
          </w:p>
        </w:tc>
      </w:tr>
      <w:tr w14:paraId="786B6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976" w:type="dxa"/>
            <w:gridSpan w:val="2"/>
            <w:noWrap w:val="0"/>
            <w:vAlign w:val="center"/>
          </w:tcPr>
          <w:p w14:paraId="6EA6BEE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14:paraId="5FF78D80">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6894" w:type="dxa"/>
            <w:gridSpan w:val="5"/>
            <w:noWrap w:val="0"/>
            <w:vAlign w:val="center"/>
          </w:tcPr>
          <w:p w14:paraId="5FAB8D9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已开展并通过审查。</w:t>
            </w:r>
          </w:p>
          <w:p w14:paraId="7B91FA1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规划环评：《江西宁都工业园区扩区调区规划环境影响报告书》</w:t>
            </w:r>
          </w:p>
          <w:p w14:paraId="189DE42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规划环评审查机关：</w:t>
            </w:r>
            <w:r>
              <w:rPr>
                <w:rFonts w:hint="eastAsia" w:cs="Times New Roman"/>
                <w:color w:val="auto"/>
                <w:kern w:val="0"/>
                <w:sz w:val="24"/>
                <w:szCs w:val="24"/>
                <w:lang w:val="en-US" w:eastAsia="zh-CN"/>
              </w:rPr>
              <w:t>江西省环境保护厅</w:t>
            </w:r>
          </w:p>
          <w:p w14:paraId="25FCAEA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审查文件及文号：江西省环境保护厅《关于江西宁都工业园区扩区调区规划环境影响报告书审查意见的函》（赣环评函[2015]121 号）</w:t>
            </w:r>
          </w:p>
        </w:tc>
      </w:tr>
      <w:tr w14:paraId="663CE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976" w:type="dxa"/>
            <w:gridSpan w:val="2"/>
            <w:noWrap w:val="0"/>
            <w:vAlign w:val="center"/>
          </w:tcPr>
          <w:p w14:paraId="6F17DDB3">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w:t>
            </w:r>
          </w:p>
          <w:p w14:paraId="7FE4BE55">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影响评价符合性分析</w:t>
            </w:r>
          </w:p>
        </w:tc>
        <w:tc>
          <w:tcPr>
            <w:tcW w:w="6894" w:type="dxa"/>
            <w:gridSpan w:val="5"/>
            <w:noWrap w:val="0"/>
            <w:vAlign w:val="center"/>
          </w:tcPr>
          <w:p w14:paraId="2DB1282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1、与《江西宁都工业园区扩区调区规划》符合性分析</w:t>
            </w:r>
          </w:p>
          <w:p w14:paraId="0B3F690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根据《江西宁都工业园区扩区调区规划》，江西宁都工业园（又名水东工业园）于 2006 年经省政府批准为省级开发区，原核准面积为 200 公顷（校核面积 184.28 公顷），四至范围为：东至梅江镇庵边村，南至梅江河，西至梅江河，北至梅江镇庵边村，目前已初步形成绿色食品、轻纺服装、门业和电子信息等产业。江西宁都工业园区拟在保留现有水东工业园的基础上进行扩区，将宁都新中胜（新加坡）产业基地</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350</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公用地和该基地南部相邻地块 158.24 公顷作为新中胜工业园纳入江西宁都工业园区，新扩区域四至范围为：东至梅江河，南至竹笮乡竹笮村，西至石吉高速连接线，北至梅江河，规划面积 508.24 公顷。水东工业园规划范围保持不变，扩区后江西宁都工业园区总规划面积为 692.52 公顷。宁都工业园区主要发展绿色食品、轻纺服装、门业、矿业加工和电子信息等产业，规划期末生产生活能源以电为主。</w:t>
            </w:r>
          </w:p>
          <w:p w14:paraId="03DAB8E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w:t>
            </w:r>
            <w:r>
              <w:rPr>
                <w:rFonts w:hint="eastAsia" w:cs="Times New Roman"/>
                <w:color w:val="auto"/>
                <w:sz w:val="24"/>
                <w:szCs w:val="24"/>
                <w:lang w:val="en-US" w:eastAsia="zh-CN"/>
              </w:rPr>
              <w:t>江西</w:t>
            </w:r>
            <w:r>
              <w:rPr>
                <w:rFonts w:hint="default" w:ascii="Times New Roman" w:hAnsi="Times New Roman" w:eastAsia="宋体" w:cs="Times New Roman"/>
                <w:color w:val="auto"/>
                <w:sz w:val="24"/>
                <w:szCs w:val="24"/>
                <w:lang w:val="en-US" w:eastAsia="zh-CN"/>
              </w:rPr>
              <w:t>宁都工业园区，为预制菜和工业化配餐服务项目，属于江西宁都工业园</w:t>
            </w:r>
            <w:r>
              <w:rPr>
                <w:rFonts w:hint="eastAsia" w:cs="Times New Roman"/>
                <w:color w:val="auto"/>
                <w:sz w:val="24"/>
                <w:szCs w:val="24"/>
                <w:lang w:val="en-US" w:eastAsia="zh-CN"/>
              </w:rPr>
              <w:t>区</w:t>
            </w:r>
            <w:r>
              <w:rPr>
                <w:rFonts w:hint="default" w:ascii="Times New Roman" w:hAnsi="Times New Roman" w:eastAsia="宋体" w:cs="Times New Roman"/>
                <w:color w:val="auto"/>
                <w:sz w:val="24"/>
                <w:szCs w:val="24"/>
                <w:lang w:val="en-US" w:eastAsia="zh-CN"/>
              </w:rPr>
              <w:t>主导产业——绿色食品，符合江西宁都工业园</w:t>
            </w:r>
            <w:r>
              <w:rPr>
                <w:rFonts w:hint="eastAsia" w:cs="Times New Roman"/>
                <w:color w:val="auto"/>
                <w:sz w:val="24"/>
                <w:szCs w:val="24"/>
                <w:lang w:val="en-US" w:eastAsia="zh-CN"/>
              </w:rPr>
              <w:t>区</w:t>
            </w:r>
            <w:r>
              <w:rPr>
                <w:rFonts w:hint="default" w:ascii="Times New Roman" w:hAnsi="Times New Roman" w:eastAsia="宋体" w:cs="Times New Roman"/>
                <w:color w:val="auto"/>
                <w:sz w:val="24"/>
                <w:szCs w:val="24"/>
                <w:lang w:val="en-US" w:eastAsia="zh-CN"/>
              </w:rPr>
              <w:t>规划产业定位，因此，本项目与《江西宁都工业园区扩区调区规划》相符。</w:t>
            </w:r>
          </w:p>
          <w:p w14:paraId="58441E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、与《江西宁都工业园区扩区调区规划环境影响报告书》及审查意见符合性分析 </w:t>
            </w:r>
          </w:p>
          <w:p w14:paraId="424B7A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根据《江西宁都工业园区扩区调区规划环境影响报告书》及《江西省环境保护厅关于江西宁都工业园区扩区调区规划环境影响报告书审查意见的函》（赣环评函</w:t>
            </w:r>
            <w:r>
              <w:rPr>
                <w:rFonts w:hint="default" w:ascii="Times New Roman" w:hAnsi="Times New Roman" w:eastAsia="宋体" w:cs="Times New Roman"/>
                <w:color w:val="000000"/>
                <w:kern w:val="0"/>
                <w:sz w:val="24"/>
                <w:szCs w:val="24"/>
                <w:lang w:val="en-US" w:eastAsia="zh-CN" w:bidi="ar"/>
              </w:rPr>
              <w:t xml:space="preserve">[2015]121 </w:t>
            </w:r>
            <w:r>
              <w:rPr>
                <w:rFonts w:hint="eastAsia" w:ascii="宋体" w:hAnsi="宋体" w:eastAsia="宋体" w:cs="宋体"/>
                <w:color w:val="000000"/>
                <w:kern w:val="0"/>
                <w:sz w:val="24"/>
                <w:szCs w:val="24"/>
                <w:lang w:val="en-US" w:eastAsia="zh-CN" w:bidi="ar"/>
              </w:rPr>
              <w:t xml:space="preserve">号）：宁都工业园（又名水东工业园）主要发展绿色食品、轻纺服装、门业、矿业加工和电子信息等产业，规划期末生产生活能源以电为主。审查认为，江西宁都扩区调区的规划目标、产业定位和布局基本合理，规划实施存在一定的环境制约因素，在落实报告书及本审查意见提出的各项环境保护和风险防范措施，进一步优化调整规划、完善产业定位及产业布局，严格行业准入、限制具有重大危险源的企业入驻的前提下，规划实施具有环境合理性和可行性。 </w:t>
            </w:r>
          </w:p>
          <w:p w14:paraId="5B4872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工业园区内夹杂大量居民，各居民点及集镇环境空气功能要求、防护距离要求对园区内布局大气污染型产业形成制约。须按国家有关政策，做好规划建设涉及的居民搬迁和安置工作，园区居住用地应按照《关于严格执行城镇总体规划集约节约利用建设用地意见》（赣府厅发〔</w:t>
            </w:r>
            <w:r>
              <w:rPr>
                <w:rFonts w:hint="default" w:ascii="Times New Roman" w:hAnsi="Times New Roman" w:eastAsia="宋体" w:cs="Times New Roman"/>
                <w:color w:val="000000"/>
                <w:kern w:val="0"/>
                <w:sz w:val="24"/>
                <w:szCs w:val="24"/>
                <w:lang w:val="en-US" w:eastAsia="zh-CN" w:bidi="ar"/>
              </w:rPr>
              <w:t>2014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34 </w:t>
            </w:r>
            <w:r>
              <w:rPr>
                <w:rFonts w:hint="eastAsia" w:ascii="宋体" w:hAnsi="宋体" w:eastAsia="宋体" w:cs="宋体"/>
                <w:color w:val="000000"/>
                <w:kern w:val="0"/>
                <w:sz w:val="24"/>
                <w:szCs w:val="24"/>
                <w:lang w:val="en-US" w:eastAsia="zh-CN" w:bidi="ar"/>
              </w:rPr>
              <w:t xml:space="preserve">号）相关要求进行调整，将与规划配套无关的非生产用地安置在园区外。 </w:t>
            </w:r>
          </w:p>
          <w:p w14:paraId="69AA83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优化工业园发展的产业定位。在规划实施过程中，入驻企业布局应综合考虑产业之间的相容性和卫生防护距离要求，按照行业分类进入工业园相应片区，防止产生交叉污染。规划的电子信息、轻纺服装和门业制造等产业应严禁印刷线路板、鞣革、印染、电镀、油漆制造等项目的入驻。新中胜工业园紧邻梅江，西南面紧邻规划的居住用地，工业园应严格按照《关于加强高能耗高排放项目准入管理的实施意见》（赣府厅发</w:t>
            </w:r>
            <w:r>
              <w:rPr>
                <w:rFonts w:hint="default" w:ascii="Times New Roman" w:hAnsi="Times New Roman" w:eastAsia="宋体" w:cs="Times New Roman"/>
                <w:color w:val="000000"/>
                <w:kern w:val="0"/>
                <w:sz w:val="24"/>
                <w:szCs w:val="24"/>
                <w:lang w:val="en-US" w:eastAsia="zh-CN" w:bidi="ar"/>
              </w:rPr>
              <w:t xml:space="preserve">[2008]58 </w:t>
            </w:r>
            <w:r>
              <w:rPr>
                <w:rFonts w:hint="eastAsia" w:ascii="宋体" w:hAnsi="宋体" w:eastAsia="宋体" w:cs="宋体"/>
                <w:color w:val="000000"/>
                <w:kern w:val="0"/>
                <w:sz w:val="24"/>
                <w:szCs w:val="24"/>
                <w:lang w:val="en-US" w:eastAsia="zh-CN" w:bidi="ar"/>
              </w:rPr>
              <w:t xml:space="preserve">号）有关要求，在梅江近岸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公里范围内不得布设有色冶炼等高能耗高排放的工业项目；西南部地块不宜布置门业（含喷涂工序）、矿业加工等涉及大气污染项目。 </w:t>
            </w:r>
          </w:p>
          <w:p w14:paraId="0AB012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）在主干道和居住区之间设置绿化隔离带、注重园区生态环境及景观建设，完善生态补偿措施，积极实施生态工业园战略。按照国家政策要求，做好耕地占补平衡工作。 </w:t>
            </w:r>
          </w:p>
          <w:p w14:paraId="3A3EB8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宁都县应将污染物减排指标纳入该行政区经济社会发展规划，制定年度污染物减排计划并严格执行，全面推进污染治理工作，优化产业结构和能源结构，淘汰落后产能，克服污染排放总量控制指标的制约，以保证后续入园项目的顺利实施。 </w:t>
            </w:r>
          </w:p>
          <w:p w14:paraId="678832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）入园项目的设备、工艺、原料等必须符合清洁生产要求，并按照清洁生产和节能减排要求，进一步降低能耗、物耗水平，防止物料“跑、冒、滴、漏”、减少污染物排放量。 </w:t>
            </w:r>
          </w:p>
          <w:p w14:paraId="2D89E4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入园企业应采取有效措施，确保污染物达标排放，生产废水进行预处理达到污水处理厂接管标准要求后方可排入集中式污水处理厂处理。应对生产中的废气进行有效治理，采用低噪声设备并采取减振隔声措施，确保外排废气、噪声达到相应的标准。固体废物需妥善处理处置。 </w:t>
            </w:r>
          </w:p>
          <w:p w14:paraId="16826C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须高度重视环境安全，强化事故防范和应急措施。尽可能不采用污水管网跨（穿）越梅江的排水方式，以避免跨江管道破损导致事故废水直排梅江的水环境风险；建议水东工业园设立集中式污水处理厂收集处理生产废水和生活污水。园区应制订严格的区域性环境污染事故应急预案以纳入当地政府应急响应系统，并做好定期演练，一旦出现风险事故，必须立即启动应急预案，及时采取相应措施，控制并削减污染影响。 </w:t>
            </w:r>
          </w:p>
          <w:p w14:paraId="38C364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lang w:val="en-US" w:eastAsia="zh-CN"/>
              </w:rPr>
            </w:pPr>
            <w:r>
              <w:rPr>
                <w:rFonts w:hint="eastAsia" w:ascii="宋体" w:hAnsi="宋体" w:eastAsia="宋体" w:cs="宋体"/>
                <w:color w:val="000000"/>
                <w:kern w:val="0"/>
                <w:sz w:val="24"/>
                <w:szCs w:val="24"/>
                <w:lang w:val="en-US" w:eastAsia="zh-CN" w:bidi="ar"/>
              </w:rPr>
              <w:t>本项目位于宁都工业园区，不属于高污染、高能耗项目，不属于淘汰类、限制类项目，满足《江西省环境保护厅关于江西宁都工业园区扩区调区规划环境影响报告书审查意见的函》中宁都工业园产业定位要求。同时，本项目运营期产生的废水经自建污水处理站预处理后排入宁都县第二污水处理厂深度处理，废气、噪声治理之后能做到达标排放，固废可做到无害化处置，各污染均已得到妥善处理后达标排放。综上所述，本项目与《江西宁都工业园区扩区调区规划环境影响报告书》及审查意见相符。</w:t>
            </w:r>
          </w:p>
        </w:tc>
      </w:tr>
      <w:tr w14:paraId="3B551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56" w:type="dxa"/>
            <w:noWrap w:val="0"/>
            <w:vAlign w:val="center"/>
          </w:tcPr>
          <w:p w14:paraId="79D8B2FF">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lang w:val="en-US" w:eastAsia="zh-CN" w:bidi="ar-SA"/>
              </w:rPr>
              <w:t>其他符合性分析</w:t>
            </w:r>
          </w:p>
        </w:tc>
        <w:tc>
          <w:tcPr>
            <w:tcW w:w="8414" w:type="dxa"/>
            <w:gridSpan w:val="6"/>
            <w:noWrap w:val="0"/>
            <w:vAlign w:val="center"/>
          </w:tcPr>
          <w:p w14:paraId="150B8B7A">
            <w:pPr>
              <w:pStyle w:val="12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（一）环评类别判定</w:t>
            </w:r>
          </w:p>
          <w:p w14:paraId="0E583A2B">
            <w:pPr>
              <w:pStyle w:val="1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根据《中华人民共和国环境影响评价法》（201</w:t>
            </w:r>
            <w:r>
              <w:rPr>
                <w:rFonts w:hint="eastAsia" w:cs="Times New Roman"/>
                <w:color w:val="auto"/>
                <w:lang w:val="en-US" w:eastAsia="zh-CN"/>
              </w:rPr>
              <w:t>8年</w:t>
            </w:r>
            <w:r>
              <w:rPr>
                <w:rFonts w:hint="default" w:ascii="Times New Roman" w:hAnsi="Times New Roman" w:cs="Times New Roman"/>
                <w:color w:val="auto"/>
                <w:lang w:val="en-US" w:eastAsia="zh-CN"/>
              </w:rPr>
              <w:t>修订）、国务院682号《建设项目环境保护管理条例》和及其它法律法规的要求，本项目需进行环境影响评价，依据</w:t>
            </w:r>
            <w:r>
              <w:rPr>
                <w:rFonts w:hint="default" w:ascii="Times New Roman" w:hAnsi="Times New Roman" w:cs="Times New Roman"/>
                <w:color w:val="auto"/>
              </w:rPr>
              <w:t>《建设项目环境影响评价分类管理名录</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2021年版</w:t>
            </w:r>
            <w:r>
              <w:rPr>
                <w:rFonts w:hint="default" w:ascii="Times New Roman" w:hAnsi="Times New Roman" w:cs="Times New Roman"/>
                <w:color w:val="auto"/>
                <w:lang w:eastAsia="zh-CN"/>
              </w:rPr>
              <w:t>）</w:t>
            </w:r>
            <w:r>
              <w:rPr>
                <w:rFonts w:hint="default" w:ascii="Times New Roman" w:hAnsi="Times New Roman" w:cs="Times New Roman"/>
                <w:color w:val="auto"/>
              </w:rPr>
              <w:t>》（部令</w:t>
            </w:r>
            <w:r>
              <w:rPr>
                <w:rFonts w:hint="default" w:ascii="Times New Roman" w:hAnsi="Times New Roman" w:cs="Times New Roman"/>
                <w:color w:val="auto"/>
                <w:lang w:val="en-US" w:eastAsia="zh-CN"/>
              </w:rPr>
              <w:t>第16号</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本项目评价类别判定见表1-</w:t>
            </w:r>
            <w:r>
              <w:rPr>
                <w:rFonts w:hint="eastAsia" w:cs="Times New Roman"/>
                <w:color w:val="auto"/>
                <w:lang w:val="en-US" w:eastAsia="zh-CN"/>
              </w:rPr>
              <w:t>2</w:t>
            </w:r>
            <w:r>
              <w:rPr>
                <w:rFonts w:hint="default" w:ascii="Times New Roman" w:hAnsi="Times New Roman" w:cs="Times New Roman"/>
                <w:color w:val="auto"/>
                <w:lang w:val="en-US" w:eastAsia="zh-CN"/>
              </w:rPr>
              <w:t>。</w:t>
            </w:r>
          </w:p>
          <w:p w14:paraId="6892BA41">
            <w:pPr>
              <w:pStyle w:val="12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表1-</w:t>
            </w:r>
            <w:r>
              <w:rPr>
                <w:rFonts w:hint="eastAsia" w:cs="Times New Roman"/>
                <w:color w:val="auto"/>
                <w:lang w:val="en-US" w:eastAsia="zh-CN"/>
              </w:rPr>
              <w:t>2</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本项目评价类别判定</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546"/>
              <w:gridCol w:w="995"/>
              <w:gridCol w:w="2375"/>
              <w:gridCol w:w="1000"/>
              <w:gridCol w:w="1708"/>
            </w:tblGrid>
            <w:tr w14:paraId="78B3B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gridSpan w:val="2"/>
                  <w:tcBorders>
                    <w:tl2br w:val="single" w:color="auto" w:sz="4" w:space="0"/>
                  </w:tcBorders>
                  <w:noWrap w:val="0"/>
                  <w:vAlign w:val="center"/>
                </w:tcPr>
                <w:p w14:paraId="0DEAFB44">
                  <w:pPr>
                    <w:pStyle w:val="126"/>
                    <w:bidi w:val="0"/>
                    <w:jc w:val="righ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环评类别</w:t>
                  </w:r>
                </w:p>
                <w:p w14:paraId="593BC1F3">
                  <w:pPr>
                    <w:pStyle w:val="126"/>
                    <w:bidi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项目类别</w:t>
                  </w:r>
                </w:p>
              </w:tc>
              <w:tc>
                <w:tcPr>
                  <w:tcW w:w="607" w:type="pct"/>
                  <w:tcBorders>
                    <w:tl2br w:val="nil"/>
                    <w:tr2bl w:val="nil"/>
                  </w:tcBorders>
                  <w:noWrap w:val="0"/>
                  <w:vAlign w:val="center"/>
                </w:tcPr>
                <w:p w14:paraId="6E7656CA">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报告书</w:t>
                  </w:r>
                </w:p>
              </w:tc>
              <w:tc>
                <w:tcPr>
                  <w:tcW w:w="1449" w:type="pct"/>
                  <w:tcBorders>
                    <w:tl2br w:val="nil"/>
                    <w:tr2bl w:val="nil"/>
                  </w:tcBorders>
                  <w:noWrap w:val="0"/>
                  <w:vAlign w:val="center"/>
                </w:tcPr>
                <w:p w14:paraId="442AA280">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报告表</w:t>
                  </w:r>
                </w:p>
              </w:tc>
              <w:tc>
                <w:tcPr>
                  <w:tcW w:w="610" w:type="pct"/>
                  <w:tcBorders>
                    <w:tl2br w:val="nil"/>
                    <w:tr2bl w:val="nil"/>
                  </w:tcBorders>
                  <w:noWrap w:val="0"/>
                  <w:vAlign w:val="center"/>
                </w:tcPr>
                <w:p w14:paraId="6FD63444">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登记表</w:t>
                  </w:r>
                </w:p>
              </w:tc>
              <w:tc>
                <w:tcPr>
                  <w:tcW w:w="1042" w:type="pct"/>
                  <w:vMerge w:val="restart"/>
                  <w:tcBorders>
                    <w:tl2br w:val="nil"/>
                    <w:tr2bl w:val="nil"/>
                  </w:tcBorders>
                  <w:noWrap w:val="0"/>
                  <w:vAlign w:val="center"/>
                </w:tcPr>
                <w:p w14:paraId="659FB6F6">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本项目情况</w:t>
                  </w:r>
                </w:p>
              </w:tc>
            </w:tr>
            <w:tr w14:paraId="39EE8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7" w:type="pct"/>
                  <w:gridSpan w:val="5"/>
                  <w:tcBorders>
                    <w:tl2br w:val="nil"/>
                    <w:tr2bl w:val="nil"/>
                  </w:tcBorders>
                  <w:noWrap w:val="0"/>
                  <w:vAlign w:val="center"/>
                </w:tcPr>
                <w:p w14:paraId="43F5D83B">
                  <w:pPr>
                    <w:pStyle w:val="127"/>
                    <w:bidi w:val="0"/>
                    <w:jc w:val="both"/>
                    <w:rPr>
                      <w:rFonts w:hint="default" w:ascii="Times New Roman" w:hAnsi="Times New Roman" w:cs="Times New Roman"/>
                      <w:color w:val="auto"/>
                      <w:lang w:val="en-US" w:eastAsia="zh-CN"/>
                    </w:rPr>
                  </w:pPr>
                  <w:r>
                    <w:rPr>
                      <w:rFonts w:hint="eastAsia" w:cs="Times New Roman"/>
                      <w:b w:val="0"/>
                      <w:bCs w:val="0"/>
                      <w:color w:val="auto"/>
                      <w:lang w:val="en-US" w:eastAsia="zh-CN"/>
                    </w:rPr>
                    <w:t>十一、食品制造业 14</w:t>
                  </w:r>
                </w:p>
              </w:tc>
              <w:tc>
                <w:tcPr>
                  <w:tcW w:w="1042" w:type="pct"/>
                  <w:vMerge w:val="continue"/>
                  <w:tcBorders>
                    <w:tl2br w:val="nil"/>
                    <w:tr2bl w:val="nil"/>
                  </w:tcBorders>
                  <w:noWrap w:val="0"/>
                  <w:vAlign w:val="center"/>
                </w:tcPr>
                <w:p w14:paraId="7F5C10F1">
                  <w:pPr>
                    <w:pStyle w:val="127"/>
                    <w:bidi w:val="0"/>
                    <w:jc w:val="both"/>
                    <w:rPr>
                      <w:rFonts w:hint="default" w:ascii="Times New Roman" w:hAnsi="Times New Roman" w:cs="Times New Roman"/>
                      <w:color w:val="auto"/>
                      <w:lang w:val="en-US" w:eastAsia="zh-CN"/>
                    </w:rPr>
                  </w:pPr>
                </w:p>
              </w:tc>
            </w:tr>
            <w:tr w14:paraId="6FDDD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pct"/>
                  <w:tcBorders>
                    <w:tl2br w:val="nil"/>
                    <w:tr2bl w:val="nil"/>
                  </w:tcBorders>
                  <w:noWrap w:val="0"/>
                  <w:vAlign w:val="center"/>
                </w:tcPr>
                <w:p w14:paraId="5C28890B">
                  <w:pPr>
                    <w:pStyle w:val="127"/>
                    <w:bidi w:val="0"/>
                    <w:jc w:val="center"/>
                    <w:rPr>
                      <w:rFonts w:hint="default" w:ascii="Times New Roman" w:hAnsi="Times New Roman" w:cs="Times New Roman"/>
                      <w:color w:val="auto"/>
                      <w:lang w:val="en-US" w:eastAsia="zh-CN"/>
                    </w:rPr>
                  </w:pPr>
                  <w:r>
                    <w:rPr>
                      <w:rFonts w:hint="eastAsia" w:cs="Times New Roman"/>
                      <w:color w:val="auto"/>
                      <w:lang w:val="en-US" w:eastAsia="zh-CN"/>
                    </w:rPr>
                    <w:t>80</w:t>
                  </w:r>
                </w:p>
              </w:tc>
              <w:tc>
                <w:tcPr>
                  <w:tcW w:w="943" w:type="pct"/>
                  <w:tcBorders>
                    <w:tl2br w:val="nil"/>
                    <w:tr2bl w:val="nil"/>
                  </w:tcBorders>
                  <w:noWrap w:val="0"/>
                  <w:vAlign w:val="center"/>
                </w:tcPr>
                <w:p w14:paraId="7C4FAD1C">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糖果、巧克力及蜜饯制造 142*；方便食品制造 143*；罐头食品制造145*</w:t>
                  </w:r>
                </w:p>
              </w:tc>
              <w:tc>
                <w:tcPr>
                  <w:tcW w:w="607" w:type="pct"/>
                  <w:tcBorders>
                    <w:tl2br w:val="nil"/>
                    <w:tr2bl w:val="nil"/>
                  </w:tcBorders>
                  <w:noWrap w:val="0"/>
                  <w:vAlign w:val="center"/>
                </w:tcPr>
                <w:p w14:paraId="715A8D9F">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449" w:type="pct"/>
                  <w:tcBorders>
                    <w:tl2br w:val="nil"/>
                    <w:tr2bl w:val="nil"/>
                  </w:tcBorders>
                  <w:noWrap w:val="0"/>
                  <w:vAlign w:val="center"/>
                </w:tcPr>
                <w:p w14:paraId="4DC01051">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除单纯分装外的</w:t>
                  </w:r>
                </w:p>
              </w:tc>
              <w:tc>
                <w:tcPr>
                  <w:tcW w:w="610" w:type="pct"/>
                  <w:tcBorders>
                    <w:tl2br w:val="nil"/>
                    <w:tr2bl w:val="nil"/>
                  </w:tcBorders>
                  <w:noWrap w:val="0"/>
                  <w:vAlign w:val="center"/>
                </w:tcPr>
                <w:p w14:paraId="64541FDB">
                  <w:pPr>
                    <w:pStyle w:val="127"/>
                    <w:bidi w:val="0"/>
                    <w:jc w:val="center"/>
                    <w:rPr>
                      <w:rFonts w:hint="default" w:ascii="Times New Roman" w:hAnsi="Times New Roman" w:cs="Times New Roman"/>
                      <w:color w:val="auto"/>
                      <w:lang w:val="en-US" w:eastAsia="zh-CN"/>
                    </w:rPr>
                  </w:pPr>
                  <w:r>
                    <w:rPr>
                      <w:rFonts w:hint="eastAsia" w:cs="Times New Roman"/>
                      <w:color w:val="auto"/>
                      <w:lang w:val="en-US" w:eastAsia="zh-CN"/>
                    </w:rPr>
                    <w:t>/</w:t>
                  </w:r>
                </w:p>
              </w:tc>
              <w:tc>
                <w:tcPr>
                  <w:tcW w:w="1042" w:type="pct"/>
                  <w:tcBorders>
                    <w:tl2br w:val="nil"/>
                    <w:tr2bl w:val="nil"/>
                  </w:tcBorders>
                  <w:noWrap w:val="0"/>
                  <w:vAlign w:val="center"/>
                </w:tcPr>
                <w:p w14:paraId="0A233C2F">
                  <w:pPr>
                    <w:pStyle w:val="127"/>
                    <w:bidi w:val="0"/>
                    <w:jc w:val="center"/>
                    <w:rPr>
                      <w:rFonts w:hint="default" w:ascii="Times New Roman" w:hAnsi="Times New Roman" w:cs="Times New Roman"/>
                      <w:color w:val="auto"/>
                      <w:lang w:val="en-US" w:eastAsia="zh-CN"/>
                    </w:rPr>
                  </w:pPr>
                  <w:r>
                    <w:rPr>
                      <w:rFonts w:hint="default" w:ascii="Times New Roman" w:hAnsi="Times New Roman" w:cs="Times New Roman"/>
                      <w:b w:val="0"/>
                      <w:bCs w:val="0"/>
                      <w:color w:val="auto"/>
                      <w:sz w:val="21"/>
                      <w:szCs w:val="21"/>
                      <w:highlight w:val="none"/>
                      <w:lang w:val="en-US" w:eastAsia="zh-CN"/>
                    </w:rPr>
                    <w:t>本项目为</w:t>
                  </w:r>
                  <w:r>
                    <w:rPr>
                      <w:rFonts w:hint="eastAsia" w:cs="Times New Roman"/>
                      <w:color w:val="auto"/>
                      <w:kern w:val="2"/>
                      <w:sz w:val="21"/>
                      <w:szCs w:val="21"/>
                      <w:highlight w:val="none"/>
                      <w:lang w:val="en-US" w:eastAsia="zh-CN" w:bidi="ar-SA"/>
                    </w:rPr>
                    <w:t>方便食品制造和罐头食品制造，工艺包含切配类、蒸煮类、炒制类</w:t>
                  </w:r>
                  <w:r>
                    <w:rPr>
                      <w:rFonts w:hint="eastAsia" w:cs="Times New Roman"/>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环评类别为报告表</w:t>
                  </w:r>
                </w:p>
              </w:tc>
            </w:tr>
          </w:tbl>
          <w:p w14:paraId="6089A13E">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（二）产业政策符合性分析</w:t>
            </w:r>
          </w:p>
          <w:p w14:paraId="58536CD1">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本项目属于《国民经济行业分类》（GB/T4754-2017）中</w:t>
            </w:r>
            <w:r>
              <w:rPr>
                <w:rFonts w:hint="default" w:ascii="Times New Roman" w:hAnsi="Times New Roman" w:cs="Times New Roman"/>
                <w:color w:val="auto"/>
                <w:kern w:val="2"/>
                <w:sz w:val="24"/>
                <w:szCs w:val="24"/>
                <w:highlight w:val="none"/>
                <w:lang w:val="en-US" w:eastAsia="zh-CN" w:bidi="ar-SA"/>
              </w:rPr>
              <w:t>C1439 其他方便食品制造</w:t>
            </w:r>
            <w:r>
              <w:rPr>
                <w:rFonts w:hint="default" w:ascii="Times New Roman" w:hAnsi="Times New Roman" w:eastAsia="宋体" w:cs="Times New Roman"/>
                <w:color w:val="auto"/>
                <w:kern w:val="2"/>
                <w:sz w:val="24"/>
                <w:szCs w:val="24"/>
                <w:lang w:val="en-US" w:eastAsia="zh-CN" w:bidi="ar-SA"/>
              </w:rPr>
              <w:t>，经查《</w:t>
            </w:r>
            <w:r>
              <w:rPr>
                <w:rFonts w:hint="eastAsia" w:ascii="Times New Roman" w:hAnsi="Times New Roman" w:eastAsia="宋体" w:cs="Times New Roman"/>
                <w:color w:val="auto"/>
                <w:kern w:val="2"/>
                <w:sz w:val="24"/>
                <w:szCs w:val="24"/>
                <w:lang w:val="en-US" w:eastAsia="zh-CN" w:bidi="ar-SA"/>
              </w:rPr>
              <w:t>产业结构调整指导目录（2024年本）》</w:t>
            </w:r>
            <w:r>
              <w:rPr>
                <w:rFonts w:hint="default" w:ascii="Times New Roman" w:hAnsi="Times New Roman" w:cs="Times New Roman"/>
                <w:color w:val="auto"/>
                <w:sz w:val="24"/>
                <w:szCs w:val="24"/>
              </w:rPr>
              <w:t>和《市场准入负面清单（20</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年版）》</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sz w:val="24"/>
                <w:szCs w:val="24"/>
              </w:rPr>
              <w:t>本项</w:t>
            </w:r>
            <w:r>
              <w:rPr>
                <w:rFonts w:hint="default" w:ascii="Times New Roman" w:hAnsi="Times New Roman" w:cs="Times New Roman"/>
                <w:color w:val="000000"/>
                <w:sz w:val="24"/>
                <w:szCs w:val="24"/>
              </w:rPr>
              <w:t>目不属于</w:t>
            </w:r>
            <w:r>
              <w:rPr>
                <w:rFonts w:hint="default" w:ascii="Times New Roman" w:hAnsi="Times New Roman" w:cs="Times New Roman"/>
                <w:color w:val="000000"/>
                <w:sz w:val="24"/>
                <w:szCs w:val="24"/>
                <w:lang w:val="en-US" w:eastAsia="zh-CN"/>
              </w:rPr>
              <w:t>限制</w:t>
            </w:r>
            <w:r>
              <w:rPr>
                <w:rFonts w:hint="default" w:ascii="Times New Roman" w:hAnsi="Times New Roman" w:cs="Times New Roman"/>
                <w:color w:val="000000"/>
                <w:sz w:val="24"/>
                <w:szCs w:val="24"/>
              </w:rPr>
              <w:t>类</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淘汰类</w:t>
            </w:r>
            <w:r>
              <w:rPr>
                <w:rFonts w:hint="eastAsia"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lang w:val="en-US" w:eastAsia="zh-CN"/>
              </w:rPr>
              <w:t>鼓励类。</w:t>
            </w:r>
          </w:p>
          <w:p w14:paraId="621B86FE">
            <w:pPr>
              <w:pStyle w:val="15"/>
              <w:keepNext w:val="0"/>
              <w:keepLines w:val="0"/>
              <w:pageBreakBefore w:val="0"/>
              <w:widowControl w:val="0"/>
              <w:kinsoku/>
              <w:wordWrap/>
              <w:overflowPunct/>
              <w:topLinePunct w:val="0"/>
              <w:autoSpaceDE/>
              <w:autoSpaceDN/>
              <w:bidi w:val="0"/>
              <w:adjustRightInd/>
              <w:snapToGrid/>
              <w:spacing w:before="0" w:beforeLines="0" w:line="360" w:lineRule="auto"/>
              <w:ind w:firstLine="472"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sz w:val="24"/>
                <w:szCs w:val="24"/>
                <w:lang w:val="en-US" w:eastAsia="zh-CN"/>
              </w:rPr>
              <w:t>本项目为新建项目，属于</w:t>
            </w:r>
            <w:r>
              <w:rPr>
                <w:rFonts w:hint="eastAsia" w:ascii="Times New Roman" w:hAnsi="Times New Roman" w:eastAsia="宋体" w:cs="Times New Roman"/>
                <w:color w:val="auto"/>
                <w:sz w:val="24"/>
                <w:szCs w:val="24"/>
                <w:highlight w:val="none"/>
                <w:lang w:val="en-US" w:eastAsia="zh-CN"/>
              </w:rPr>
              <w:t>重大变动重新报批项目</w:t>
            </w:r>
            <w:r>
              <w:rPr>
                <w:rFonts w:hint="eastAsia" w:ascii="Times New Roman" w:hAnsi="Times New Roman" w:cs="Times New Roman"/>
                <w:color w:val="auto"/>
                <w:sz w:val="24"/>
                <w:szCs w:val="24"/>
                <w:lang w:val="en-US" w:eastAsia="zh-CN"/>
              </w:rPr>
              <w:t>。2022年5月14日，</w:t>
            </w:r>
            <w:r>
              <w:rPr>
                <w:rFonts w:hint="eastAsia" w:cs="Times New Roman"/>
                <w:color w:val="auto"/>
                <w:sz w:val="24"/>
                <w:szCs w:val="24"/>
                <w:lang w:val="en-US" w:eastAsia="zh-CN"/>
              </w:rPr>
              <w:t>宁都县</w:t>
            </w:r>
            <w:r>
              <w:rPr>
                <w:rFonts w:hint="eastAsia" w:ascii="Times New Roman" w:hAnsi="Times New Roman" w:cs="Times New Roman"/>
                <w:color w:val="auto"/>
                <w:sz w:val="24"/>
                <w:szCs w:val="24"/>
                <w:lang w:val="en-US" w:eastAsia="zh-CN"/>
              </w:rPr>
              <w:t>行政审批局依据《行政许可法》、《企业投资项目核准和备案管理条例》（国务院令第 673 号）、《企业投资项目核准和备案管理办法》（国家发展和改革委员会令 2017 年第 2 号）等有关法律法规，在江西省投资项目在线审批监管平台上审查了本项目的情况，符合项目备案有关规定，予以立项备案</w:t>
            </w:r>
            <w:r>
              <w:rPr>
                <w:rFonts w:hint="eastAsia" w:ascii="Times New Roman" w:hAnsi="Times New Roman"/>
                <w:color w:val="auto"/>
                <w:sz w:val="24"/>
                <w:szCs w:val="22"/>
                <w:highlight w:val="none"/>
                <w:lang w:val="en-US" w:eastAsia="zh-CN"/>
              </w:rPr>
              <w:t>（项目代码：</w:t>
            </w:r>
            <w:r>
              <w:rPr>
                <w:rFonts w:hint="default" w:ascii="Times New Roman" w:hAnsi="Times New Roman" w:eastAsia="宋体" w:cs="Times New Roman"/>
                <w:color w:val="000000"/>
                <w:kern w:val="0"/>
                <w:sz w:val="24"/>
                <w:szCs w:val="24"/>
                <w:lang w:val="en-US" w:eastAsia="zh-CN" w:bidi="ar"/>
              </w:rPr>
              <w:t>2205-360730-04-01-584544</w:t>
            </w:r>
            <w:r>
              <w:rPr>
                <w:rFonts w:hint="eastAsia" w:ascii="Times New Roman" w:hAnsi="Times New Roman"/>
                <w:color w:val="auto"/>
                <w:sz w:val="24"/>
                <w:szCs w:val="22"/>
                <w:highlight w:val="none"/>
                <w:lang w:val="en-US" w:eastAsia="zh-CN"/>
              </w:rPr>
              <w:t>）。</w:t>
            </w:r>
          </w:p>
          <w:p w14:paraId="3703E7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综上分析，本项目符合国家及江西省产业政策相关要求。</w:t>
            </w:r>
          </w:p>
          <w:p w14:paraId="0C09711F">
            <w:pPr>
              <w:pStyle w:val="124"/>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w:t>
            </w:r>
            <w:r>
              <w:rPr>
                <w:rFonts w:hint="eastAsia" w:ascii="Times New Roman" w:hAnsi="Times New Roman" w:eastAsia="宋体" w:cs="Times New Roman"/>
                <w:b/>
                <w:bCs/>
                <w:color w:val="auto"/>
                <w:lang w:val="en-US" w:eastAsia="zh-CN"/>
              </w:rPr>
              <w:t>三</w:t>
            </w:r>
            <w:r>
              <w:rPr>
                <w:rFonts w:hint="default" w:ascii="Times New Roman" w:hAnsi="Times New Roman" w:eastAsia="宋体" w:cs="Times New Roman"/>
                <w:b/>
                <w:bCs/>
                <w:color w:val="auto"/>
                <w:lang w:val="en-US" w:eastAsia="zh-CN"/>
              </w:rPr>
              <w:t>）选址合理性分析</w:t>
            </w:r>
          </w:p>
          <w:p w14:paraId="1DF5E4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rPr>
              <w:t>本</w:t>
            </w:r>
            <w:r>
              <w:rPr>
                <w:rFonts w:hint="default" w:ascii="Times New Roman" w:hAnsi="Times New Roman" w:eastAsia="宋体" w:cs="Times New Roman"/>
                <w:color w:val="auto"/>
                <w:kern w:val="0"/>
                <w:sz w:val="24"/>
                <w:szCs w:val="24"/>
              </w:rPr>
              <w:t>项目</w:t>
            </w:r>
            <w:r>
              <w:rPr>
                <w:rFonts w:hint="default" w:ascii="Times New Roman" w:hAnsi="Times New Roman" w:eastAsia="宋体" w:cs="Times New Roman"/>
                <w:color w:val="auto"/>
                <w:kern w:val="0"/>
                <w:sz w:val="24"/>
                <w:szCs w:val="24"/>
                <w:lang w:val="en-US" w:eastAsia="zh-CN"/>
              </w:rPr>
              <w:t>位于</w:t>
            </w:r>
            <w:r>
              <w:rPr>
                <w:rFonts w:hint="default" w:ascii="Times New Roman" w:hAnsi="Times New Roman" w:eastAsia="宋体" w:cs="Times New Roman"/>
                <w:color w:val="auto"/>
                <w:kern w:val="0"/>
                <w:sz w:val="24"/>
                <w:szCs w:val="24"/>
                <w:lang w:val="en-US" w:eastAsia="zh-CN" w:bidi="ar"/>
              </w:rPr>
              <w:t>江西省赣州市宁都县工业园区易富北路北侧宁都大道东侧</w:t>
            </w:r>
            <w:r>
              <w:rPr>
                <w:rFonts w:hint="default" w:ascii="Times New Roman" w:hAnsi="Times New Roman" w:eastAsia="宋体" w:cs="Times New Roman"/>
                <w:color w:val="auto"/>
                <w:sz w:val="24"/>
                <w:szCs w:val="24"/>
              </w:rPr>
              <w:t>，符合</w:t>
            </w:r>
            <w:r>
              <w:rPr>
                <w:rFonts w:hint="default" w:ascii="Times New Roman" w:hAnsi="Times New Roman" w:eastAsia="宋体" w:cs="Times New Roman"/>
                <w:color w:val="auto"/>
                <w:kern w:val="0"/>
                <w:sz w:val="24"/>
                <w:szCs w:val="24"/>
                <w:lang w:val="en-US" w:eastAsia="zh-CN" w:bidi="ar"/>
              </w:rPr>
              <w:t>宁都县工业园区</w:t>
            </w:r>
            <w:r>
              <w:rPr>
                <w:rFonts w:hint="default" w:ascii="Times New Roman" w:hAnsi="Times New Roman" w:eastAsia="宋体" w:cs="Times New Roman"/>
                <w:color w:val="auto"/>
                <w:sz w:val="24"/>
                <w:szCs w:val="24"/>
              </w:rPr>
              <w:t>土地利用规化。周边环境质量良好，基础设施（路、水、电、气等）配套较完善，本项目建设未涉及需要保护的文物古迹、革命遗址、珍稀动植物等，周围环境较简单，无重大污染源，所在地环境空气质量现状符合功能区区划要求，地表水水质现状符合水环境功能区划要求，区域噪声现状符合声环境功能区划要求，区域环境容量满足本项目建设需求，选址合理。</w:t>
            </w:r>
          </w:p>
          <w:p w14:paraId="0379BE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同时对照《食品安全国家标准 食品生产通用卫生规范》（GB14881-2013）中的选址要求，对本项目的选址合理性做出分析，具体如下：</w:t>
            </w:r>
          </w:p>
          <w:p w14:paraId="1390D47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GB14881 选址要求：</w:t>
            </w:r>
          </w:p>
          <w:p w14:paraId="1C10C2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（1）厂区不应选择对食品有显著污染的区域。如某地对食品安全和食品</w:t>
            </w:r>
          </w:p>
          <w:p w14:paraId="10FFDD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宜食用性存在明显的不利影响，且无法通过采取措施加以改善，应避免在该地址建厂。</w:t>
            </w:r>
          </w:p>
          <w:p w14:paraId="61786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（2）厂区不应选择有害废弃物以及粉尘、有害气体、放射性物质和其他扩散性污染源不能有效清除的地址。</w:t>
            </w:r>
          </w:p>
          <w:p w14:paraId="024323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（3）厂区不宜择易发生洪涝灾害的地区，难以避开时应设计必要的防范措施。</w:t>
            </w:r>
          </w:p>
          <w:p w14:paraId="6658D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rPr>
              <w:t>（4）厂区周围不宜有虫害大量孳生的潜在场所，难以避开时应设计必要的防范措施</w:t>
            </w:r>
          </w:p>
          <w:p w14:paraId="4ABBFC02">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auto"/>
                <w:lang w:val="en-US" w:eastAsia="zh-CN"/>
              </w:rPr>
            </w:pPr>
            <w:r>
              <w:rPr>
                <w:rFonts w:hint="eastAsia"/>
                <w:b/>
                <w:bCs/>
                <w:color w:val="auto"/>
                <w:lang w:val="en-US" w:eastAsia="zh-CN"/>
              </w:rPr>
              <w:t>合理性分析：</w:t>
            </w:r>
          </w:p>
          <w:p w14:paraId="394179AA">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val="0"/>
                <w:bCs w:val="0"/>
                <w:color w:val="auto"/>
                <w:lang w:val="en-US" w:eastAsia="zh-CN"/>
              </w:rPr>
            </w:pPr>
            <w:r>
              <w:rPr>
                <w:rFonts w:hint="eastAsia"/>
                <w:b w:val="0"/>
                <w:bCs w:val="0"/>
                <w:color w:val="auto"/>
                <w:lang w:val="en-US" w:eastAsia="zh-CN"/>
              </w:rPr>
              <w:t>根据现场勘查，本项目厂区东面为</w:t>
            </w:r>
            <w:r>
              <w:rPr>
                <w:rFonts w:hint="eastAsia" w:cs="Times New Roman"/>
                <w:color w:val="auto"/>
                <w:kern w:val="0"/>
                <w:sz w:val="24"/>
                <w:szCs w:val="24"/>
                <w:lang w:val="en-US" w:eastAsia="zh-CN"/>
              </w:rPr>
              <w:t>刘岭排</w:t>
            </w:r>
            <w:r>
              <w:rPr>
                <w:rFonts w:hint="eastAsia"/>
                <w:b w:val="0"/>
                <w:bCs w:val="0"/>
                <w:color w:val="auto"/>
                <w:lang w:val="en-US" w:eastAsia="zh-CN"/>
              </w:rPr>
              <w:t>居民，西面为宁都大道和瑞祥小区，北面为</w:t>
            </w:r>
            <w:r>
              <w:rPr>
                <w:rFonts w:hint="eastAsia" w:cs="Times New Roman"/>
                <w:color w:val="auto"/>
                <w:kern w:val="0"/>
                <w:sz w:val="24"/>
                <w:szCs w:val="24"/>
                <w:lang w:val="en-US" w:eastAsia="zh-CN"/>
              </w:rPr>
              <w:t>九塘村居民，南面为易富集团，江西迪菲服饰有限公司，江西婴响力科技集团有限公司，江西博凯体育用品有限公司和宁都恒成服饰有限公司等5家企业，易富集团，江西迪菲服饰有限公司，江西婴响力科技集团有限公司和宁都恒成服饰有</w:t>
            </w:r>
            <w:r>
              <w:rPr>
                <w:rFonts w:hint="eastAsia" w:ascii="Times New Roman" w:hAnsi="Times New Roman" w:eastAsia="宋体" w:cs="Times New Roman"/>
                <w:b w:val="0"/>
                <w:bCs w:val="0"/>
                <w:color w:val="auto"/>
                <w:lang w:val="en-US" w:eastAsia="zh-CN"/>
              </w:rPr>
              <w:t>限公司主要从事各种类型服饰的制作、销售等，江西博凯体育用品有限公司主要从事体育用品销售、工艺美术品销售</w:t>
            </w:r>
            <w:r>
              <w:rPr>
                <w:rFonts w:hint="eastAsia" w:cs="Times New Roman"/>
                <w:color w:val="auto"/>
                <w:kern w:val="0"/>
                <w:sz w:val="24"/>
                <w:szCs w:val="24"/>
                <w:lang w:val="en-US" w:eastAsia="zh-CN"/>
              </w:rPr>
              <w:t>、</w:t>
            </w:r>
            <w:r>
              <w:rPr>
                <w:rFonts w:hint="eastAsia" w:ascii="Times New Roman" w:hAnsi="Times New Roman" w:eastAsia="宋体" w:cs="Times New Roman"/>
                <w:b w:val="0"/>
                <w:bCs w:val="0"/>
                <w:color w:val="auto"/>
                <w:lang w:val="en-US" w:eastAsia="zh-CN"/>
              </w:rPr>
              <w:t>皮箱销售等，这5家企业与本项目厂区均有园区道路和绿化带间隔，且企业生产厂房与本项目厂界距离均大余其卫生防护距离（</w:t>
            </w:r>
            <w:r>
              <w:rPr>
                <w:rFonts w:hint="default" w:ascii="Times New Roman" w:hAnsi="Times New Roman" w:eastAsia="宋体" w:cs="Times New Roman"/>
                <w:b w:val="0"/>
                <w:bCs w:val="0"/>
                <w:color w:val="auto"/>
                <w:lang w:val="en-US" w:eastAsia="zh-CN"/>
              </w:rPr>
              <w:t>50m</w:t>
            </w:r>
            <w:r>
              <w:rPr>
                <w:rFonts w:hint="eastAsia" w:ascii="Times New Roman" w:hAnsi="Times New Roman" w:eastAsia="宋体" w:cs="Times New Roman"/>
                <w:b w:val="0"/>
                <w:bCs w:val="0"/>
                <w:color w:val="auto"/>
                <w:lang w:val="en-US" w:eastAsia="zh-CN"/>
              </w:rPr>
              <w:t>），对本项目影响较小。</w:t>
            </w:r>
          </w:p>
          <w:p w14:paraId="39720ACF">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相容性分析：</w:t>
            </w:r>
          </w:p>
          <w:p w14:paraId="658FEC38">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rPr>
            </w:pPr>
            <w:r>
              <w:rPr>
                <w:rFonts w:hint="eastAsia" w:ascii="Times New Roman" w:hAnsi="Times New Roman" w:eastAsia="宋体" w:cs="Times New Roman"/>
                <w:color w:val="auto"/>
                <w:kern w:val="0"/>
                <w:sz w:val="24"/>
                <w:szCs w:val="24"/>
                <w:lang w:val="en-US" w:eastAsia="zh-CN"/>
              </w:rPr>
              <w:t>根据现场</w:t>
            </w:r>
            <w:r>
              <w:rPr>
                <w:rFonts w:hint="eastAsia"/>
                <w:b w:val="0"/>
                <w:bCs w:val="0"/>
                <w:color w:val="auto"/>
                <w:lang w:val="en-US" w:eastAsia="zh-CN"/>
              </w:rPr>
              <w:t>勘查，项目</w:t>
            </w:r>
            <w:r>
              <w:rPr>
                <w:rFonts w:hint="eastAsia" w:ascii="Times New Roman" w:hAnsi="Times New Roman" w:eastAsia="宋体" w:cs="Times New Roman"/>
                <w:color w:val="auto"/>
                <w:kern w:val="0"/>
                <w:sz w:val="24"/>
                <w:szCs w:val="24"/>
                <w:lang w:val="en-US" w:eastAsia="zh-CN"/>
              </w:rPr>
              <w:t>周边不存在矿山、钢铁厂、水泥厂、炼铝厂、有色金属冶炼厂、磷肥厂、硝酸厂、硫酸厂、石油化工厂、化学纤维厂等重污染工厂，无粪坑、污水厂、垃圾场（站）等散发恶臭、滋生虫害的区域，也不存在放射性污染物质和场所，周边企业主要以纺织等轻工业为主，本项目受周边环境影响较小。</w:t>
            </w:r>
            <w:r>
              <w:rPr>
                <w:rFonts w:hint="eastAsia" w:ascii="Times New Roman" w:hAnsi="Times New Roman" w:cs="Times New Roman"/>
                <w:color w:val="auto"/>
                <w:sz w:val="24"/>
                <w:lang w:eastAsia="zh-CN"/>
              </w:rPr>
              <w:t>项目卫生防护距离</w:t>
            </w:r>
            <w:r>
              <w:rPr>
                <w:rFonts w:hint="eastAsia" w:ascii="Times New Roman" w:hAnsi="Times New Roman" w:cs="Times New Roman"/>
                <w:color w:val="auto"/>
                <w:sz w:val="24"/>
                <w:lang w:val="en-US" w:eastAsia="zh-CN"/>
              </w:rPr>
              <w:t>50m</w:t>
            </w:r>
            <w:r>
              <w:rPr>
                <w:rFonts w:hint="eastAsia" w:ascii="Times New Roman" w:hAnsi="Times New Roman" w:cs="Times New Roman"/>
                <w:color w:val="auto"/>
                <w:sz w:val="24"/>
                <w:lang w:eastAsia="zh-CN"/>
              </w:rPr>
              <w:t>范围内无村庄、居民区等敏感点及食品、药品等对环境空气要求较高的敏感企业。</w:t>
            </w:r>
            <w:r>
              <w:rPr>
                <w:rFonts w:hint="default" w:ascii="Times New Roman" w:hAnsi="Times New Roman" w:cs="Times New Roman"/>
                <w:color w:val="auto"/>
                <w:sz w:val="24"/>
                <w:lang w:eastAsia="zh-CN"/>
              </w:rPr>
              <w:t>项目选址</w:t>
            </w:r>
            <w:r>
              <w:rPr>
                <w:rFonts w:hint="default" w:ascii="Times New Roman" w:hAnsi="Times New Roman" w:cs="Times New Roman"/>
                <w:color w:val="auto"/>
                <w:sz w:val="24"/>
              </w:rPr>
              <w:t>符合相关标准、规范要求，符合地方的相关规范要求，项目与周边环境的相容性较强，与区域环境功能相容</w:t>
            </w:r>
            <w:r>
              <w:rPr>
                <w:rFonts w:hint="eastAsia" w:ascii="Times New Roman" w:hAnsi="Times New Roman" w:cs="Times New Roman"/>
                <w:color w:val="auto"/>
                <w:sz w:val="24"/>
                <w:lang w:eastAsia="zh-CN"/>
              </w:rPr>
              <w:t>，</w:t>
            </w:r>
            <w:r>
              <w:rPr>
                <w:rFonts w:hint="eastAsia" w:eastAsia="宋体"/>
                <w:b w:val="0"/>
                <w:bCs/>
                <w:color w:val="auto"/>
                <w:sz w:val="24"/>
                <w:szCs w:val="24"/>
                <w:highlight w:val="none"/>
                <w:lang w:val="en-US" w:eastAsia="zh-CN"/>
              </w:rPr>
              <w:t>无明显的环境制约因素，</w:t>
            </w:r>
            <w:r>
              <w:rPr>
                <w:rFonts w:hint="eastAsia" w:ascii="Times New Roman" w:hAnsi="Times New Roman" w:cs="Times New Roman"/>
                <w:color w:val="auto"/>
                <w:sz w:val="24"/>
                <w:lang w:eastAsia="zh-CN"/>
              </w:rPr>
              <w:t>综上所述，本项目</w:t>
            </w:r>
            <w:r>
              <w:rPr>
                <w:rFonts w:hint="default" w:ascii="Times New Roman" w:hAnsi="Times New Roman" w:cs="Times New Roman"/>
                <w:color w:val="auto"/>
                <w:sz w:val="24"/>
              </w:rPr>
              <w:t>选址符合要求。</w:t>
            </w:r>
          </w:p>
          <w:p w14:paraId="3042E745">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b/>
                <w:bCs/>
                <w:color w:val="auto"/>
                <w:lang w:val="en-US" w:eastAsia="zh-CN"/>
              </w:rPr>
            </w:pPr>
            <w:r>
              <w:rPr>
                <w:rFonts w:hint="eastAsia"/>
                <w:b/>
                <w:bCs/>
                <w:color w:val="auto"/>
                <w:lang w:val="en-US" w:eastAsia="zh-CN"/>
              </w:rPr>
              <w:t>（四）“三线一单”符合性分析</w:t>
            </w:r>
          </w:p>
          <w:p w14:paraId="175F35A0">
            <w:pPr>
              <w:pStyle w:val="124"/>
              <w:bidi w:val="0"/>
              <w:rPr>
                <w:rFonts w:hint="default"/>
                <w:b/>
                <w:bCs/>
                <w:color w:val="auto"/>
                <w:lang w:val="en-US" w:eastAsia="zh-CN"/>
              </w:rPr>
            </w:pPr>
            <w:r>
              <w:rPr>
                <w:rFonts w:hint="eastAsia"/>
                <w:b/>
                <w:bCs/>
                <w:color w:val="auto"/>
                <w:lang w:val="en-US" w:eastAsia="zh-CN"/>
              </w:rPr>
              <w:t>1、生态保护红线</w:t>
            </w:r>
          </w:p>
          <w:p w14:paraId="63DE5821">
            <w:pPr>
              <w:pStyle w:val="4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本项目位于</w:t>
            </w:r>
            <w:r>
              <w:rPr>
                <w:rFonts w:hint="default" w:ascii="Times New Roman" w:hAnsi="Times New Roman" w:eastAsia="宋体" w:cs="Times New Roman"/>
                <w:color w:val="000000"/>
                <w:kern w:val="0"/>
                <w:sz w:val="24"/>
                <w:szCs w:val="24"/>
                <w:lang w:val="en-US" w:eastAsia="zh-CN" w:bidi="ar"/>
              </w:rPr>
              <w:t>江西省赣州市宁都县工业园区易富北路北侧宁都大道东侧</w:t>
            </w:r>
            <w:r>
              <w:rPr>
                <w:rFonts w:hint="default" w:ascii="Times New Roman" w:hAnsi="Times New Roman" w:eastAsia="宋体" w:cs="Times New Roman"/>
                <w:color w:val="auto"/>
                <w:lang w:val="en-US" w:eastAsia="zh-CN"/>
              </w:rPr>
              <w:t>，评价范围内无名胜古迹、风景区、自然保护区、饮用水源保护区等生态保护目标。根据“生态空间保护红线区划范围图”</w:t>
            </w:r>
            <w:r>
              <w:rPr>
                <w:rFonts w:hint="default" w:ascii="Times New Roman" w:hAnsi="Times New Roman" w:cs="Times New Roman"/>
                <w:color w:val="auto"/>
                <w:lang w:val="en-US" w:eastAsia="zh-CN"/>
              </w:rPr>
              <w:t>（附图5）</w:t>
            </w:r>
            <w:r>
              <w:rPr>
                <w:rFonts w:hint="default" w:ascii="Times New Roman" w:hAnsi="Times New Roman" w:eastAsia="宋体" w:cs="Times New Roman"/>
                <w:color w:val="auto"/>
                <w:lang w:val="en-US" w:eastAsia="zh-CN"/>
              </w:rPr>
              <w:t>，本项目不在生态红线内，符合生态保护红线要求</w:t>
            </w:r>
            <w:r>
              <w:rPr>
                <w:rFonts w:hint="eastAsia" w:cs="Times New Roman"/>
                <w:color w:val="auto"/>
                <w:lang w:val="en-US" w:eastAsia="zh-CN"/>
              </w:rPr>
              <w:t>。</w:t>
            </w:r>
          </w:p>
          <w:p w14:paraId="2F514989">
            <w:pPr>
              <w:pStyle w:val="124"/>
              <w:bidi w:val="0"/>
              <w:rPr>
                <w:rFonts w:hint="eastAsia"/>
                <w:b/>
                <w:bCs/>
                <w:color w:val="auto"/>
                <w:lang w:val="en-US" w:eastAsia="zh-CN"/>
              </w:rPr>
            </w:pPr>
            <w:r>
              <w:rPr>
                <w:rFonts w:hint="eastAsia"/>
                <w:b/>
                <w:bCs/>
                <w:color w:val="auto"/>
                <w:lang w:val="en-US" w:eastAsia="zh-CN"/>
              </w:rPr>
              <w:t>2、环境质量底线</w:t>
            </w:r>
          </w:p>
          <w:p w14:paraId="17371926">
            <w:pPr>
              <w:pStyle w:val="124"/>
              <w:bidi w:val="0"/>
              <w:rPr>
                <w:rFonts w:hint="eastAsia"/>
                <w:color w:val="auto"/>
                <w:lang w:val="en-US" w:eastAsia="zh-CN"/>
              </w:rPr>
            </w:pPr>
            <w:r>
              <w:rPr>
                <w:rFonts w:hint="eastAsia"/>
                <w:color w:val="auto"/>
                <w:lang w:val="en-US" w:eastAsia="zh-CN"/>
              </w:rPr>
              <w:t>根据《长江经济带战略环境评价江西省“三线一单”研究报告》、《长江经济带战略环境评价江西省赣州市“三线一单”划定技术报告》，对宁都县大气环境质量、水环境质量及土壤环境风险防控提出了底线要求，将有关要求梳理如下：</w:t>
            </w:r>
          </w:p>
          <w:p w14:paraId="28CCD504">
            <w:pPr>
              <w:pStyle w:val="125"/>
              <w:bidi w:val="0"/>
              <w:rPr>
                <w:rFonts w:hint="eastAsia"/>
                <w:color w:val="auto"/>
              </w:rPr>
            </w:pPr>
            <w:r>
              <w:rPr>
                <w:rFonts w:hint="eastAsia"/>
                <w:color w:val="auto"/>
              </w:rPr>
              <w:t>表1-</w:t>
            </w:r>
            <w:r>
              <w:rPr>
                <w:rFonts w:hint="eastAsia"/>
                <w:color w:val="auto"/>
                <w:lang w:val="en-US" w:eastAsia="zh-CN"/>
              </w:rPr>
              <w:t xml:space="preserve">3  </w:t>
            </w:r>
            <w:r>
              <w:rPr>
                <w:rFonts w:hint="eastAsia"/>
                <w:color w:val="auto"/>
              </w:rPr>
              <w:t>江西省赣州市“三线一单”中关于</w:t>
            </w:r>
            <w:r>
              <w:rPr>
                <w:rFonts w:hint="eastAsia"/>
                <w:color w:val="auto"/>
                <w:lang w:val="en-US" w:eastAsia="zh-CN"/>
              </w:rPr>
              <w:t>宁都县</w:t>
            </w:r>
            <w:r>
              <w:rPr>
                <w:rFonts w:hint="eastAsia"/>
                <w:color w:val="auto"/>
              </w:rPr>
              <w:t>环境质量底线目标</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2553"/>
              <w:gridCol w:w="1986"/>
              <w:gridCol w:w="2270"/>
            </w:tblGrid>
            <w:tr w14:paraId="5C431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04" w:type="pct"/>
                  <w:gridSpan w:val="2"/>
                  <w:tcBorders>
                    <w:tl2br w:val="nil"/>
                    <w:tr2bl w:val="nil"/>
                  </w:tcBorders>
                  <w:noWrap w:val="0"/>
                  <w:vAlign w:val="center"/>
                </w:tcPr>
                <w:p w14:paraId="0F92A346">
                  <w:pPr>
                    <w:pStyle w:val="126"/>
                    <w:bidi w:val="0"/>
                    <w:rPr>
                      <w:rFonts w:hint="default"/>
                      <w:color w:val="auto"/>
                      <w:lang w:val="en-US" w:eastAsia="zh-CN"/>
                    </w:rPr>
                  </w:pPr>
                  <w:r>
                    <w:rPr>
                      <w:rFonts w:hint="eastAsia"/>
                      <w:color w:val="auto"/>
                      <w:lang w:val="en-US" w:eastAsia="zh-CN"/>
                    </w:rPr>
                    <w:t>项目</w:t>
                  </w:r>
                </w:p>
              </w:tc>
              <w:tc>
                <w:tcPr>
                  <w:tcW w:w="2595" w:type="pct"/>
                  <w:gridSpan w:val="2"/>
                  <w:tcBorders>
                    <w:tl2br w:val="nil"/>
                    <w:tr2bl w:val="nil"/>
                  </w:tcBorders>
                  <w:noWrap w:val="0"/>
                  <w:vAlign w:val="center"/>
                </w:tcPr>
                <w:p w14:paraId="4484AEA1">
                  <w:pPr>
                    <w:pStyle w:val="126"/>
                    <w:bidi w:val="0"/>
                    <w:rPr>
                      <w:rFonts w:hint="default"/>
                      <w:color w:val="auto"/>
                      <w:lang w:val="en-US" w:eastAsia="zh-CN"/>
                    </w:rPr>
                  </w:pPr>
                  <w:r>
                    <w:rPr>
                      <w:rFonts w:hint="eastAsia"/>
                      <w:color w:val="auto"/>
                      <w:lang w:val="en-US" w:eastAsia="zh-CN"/>
                    </w:rPr>
                    <w:t>环境质量底线要求</w:t>
                  </w:r>
                </w:p>
              </w:tc>
            </w:tr>
            <w:tr w14:paraId="57D11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7" w:type="pct"/>
                  <w:vMerge w:val="restart"/>
                  <w:tcBorders>
                    <w:tl2br w:val="nil"/>
                    <w:tr2bl w:val="nil"/>
                  </w:tcBorders>
                  <w:noWrap w:val="0"/>
                  <w:vAlign w:val="center"/>
                </w:tcPr>
                <w:p w14:paraId="4766B111">
                  <w:pPr>
                    <w:pStyle w:val="126"/>
                    <w:bidi w:val="0"/>
                    <w:rPr>
                      <w:rFonts w:hint="default"/>
                      <w:color w:val="auto"/>
                      <w:lang w:val="en-US" w:eastAsia="zh-CN"/>
                    </w:rPr>
                  </w:pPr>
                  <w:r>
                    <w:rPr>
                      <w:rFonts w:hint="eastAsia"/>
                      <w:color w:val="auto"/>
                      <w:lang w:val="en-US" w:eastAsia="zh-CN"/>
                    </w:rPr>
                    <w:t>大气环境质量底线</w:t>
                  </w:r>
                </w:p>
              </w:tc>
              <w:tc>
                <w:tcPr>
                  <w:tcW w:w="1557" w:type="pct"/>
                  <w:vMerge w:val="restart"/>
                  <w:tcBorders>
                    <w:tl2br w:val="nil"/>
                    <w:tr2bl w:val="nil"/>
                  </w:tcBorders>
                  <w:noWrap w:val="0"/>
                  <w:vAlign w:val="center"/>
                </w:tcPr>
                <w:p w14:paraId="23A66DA7">
                  <w:pPr>
                    <w:pStyle w:val="127"/>
                    <w:bidi w:val="0"/>
                    <w:rPr>
                      <w:rFonts w:hint="default"/>
                      <w:color w:val="auto"/>
                      <w:lang w:val="en-US" w:eastAsia="zh-CN"/>
                    </w:rPr>
                  </w:pPr>
                  <w:r>
                    <w:rPr>
                      <w:rFonts w:hint="eastAsia"/>
                      <w:color w:val="auto"/>
                      <w:lang w:val="en-US" w:eastAsia="zh-CN"/>
                    </w:rPr>
                    <w:t>PM</w:t>
                  </w:r>
                  <w:r>
                    <w:rPr>
                      <w:rFonts w:hint="eastAsia"/>
                      <w:color w:val="auto"/>
                      <w:vertAlign w:val="subscript"/>
                      <w:lang w:val="en-US" w:eastAsia="zh-CN"/>
                    </w:rPr>
                    <w:t>2.5</w:t>
                  </w:r>
                  <w:r>
                    <w:rPr>
                      <w:rFonts w:hint="eastAsia"/>
                      <w:color w:val="auto"/>
                      <w:lang w:val="en-US" w:eastAsia="zh-CN"/>
                    </w:rPr>
                    <w:t>浓度目标（ug/m</w:t>
                  </w:r>
                  <w:r>
                    <w:rPr>
                      <w:rFonts w:hint="eastAsia"/>
                      <w:color w:val="auto"/>
                      <w:vertAlign w:val="superscript"/>
                      <w:lang w:val="en-US" w:eastAsia="zh-CN"/>
                    </w:rPr>
                    <w:t>3</w:t>
                  </w:r>
                  <w:r>
                    <w:rPr>
                      <w:rFonts w:hint="eastAsia"/>
                      <w:color w:val="auto"/>
                      <w:lang w:val="en-US" w:eastAsia="zh-CN"/>
                    </w:rPr>
                    <w:t>）</w:t>
                  </w:r>
                </w:p>
              </w:tc>
              <w:tc>
                <w:tcPr>
                  <w:tcW w:w="1211" w:type="pct"/>
                  <w:tcBorders>
                    <w:tl2br w:val="nil"/>
                    <w:tr2bl w:val="nil"/>
                  </w:tcBorders>
                  <w:noWrap w:val="0"/>
                  <w:vAlign w:val="center"/>
                </w:tcPr>
                <w:p w14:paraId="25CE4325">
                  <w:pPr>
                    <w:pStyle w:val="127"/>
                    <w:bidi w:val="0"/>
                    <w:ind w:left="19" w:leftChars="9" w:right="19" w:rightChars="9"/>
                    <w:rPr>
                      <w:rFonts w:hint="eastAsia" w:ascii="Times New Roman" w:hAnsi="Times New Roman" w:eastAsia="宋体"/>
                      <w:color w:val="auto"/>
                      <w:kern w:val="2"/>
                      <w:sz w:val="21"/>
                      <w:szCs w:val="21"/>
                      <w:lang w:val="en-US" w:eastAsia="zh-CN" w:bidi="ar-SA"/>
                    </w:rPr>
                  </w:pPr>
                  <w:r>
                    <w:rPr>
                      <w:rFonts w:hint="eastAsia"/>
                      <w:color w:val="auto"/>
                      <w:lang w:val="en-US" w:eastAsia="zh-CN"/>
                    </w:rPr>
                    <w:t>2025年</w:t>
                  </w:r>
                </w:p>
              </w:tc>
              <w:tc>
                <w:tcPr>
                  <w:tcW w:w="1383" w:type="pct"/>
                  <w:tcBorders>
                    <w:tl2br w:val="nil"/>
                    <w:tr2bl w:val="nil"/>
                  </w:tcBorders>
                  <w:noWrap w:val="0"/>
                  <w:vAlign w:val="center"/>
                </w:tcPr>
                <w:p w14:paraId="375FACA0">
                  <w:pPr>
                    <w:pStyle w:val="127"/>
                    <w:bidi w:val="0"/>
                    <w:ind w:left="19" w:leftChars="9" w:right="19" w:rightChars="9"/>
                    <w:rPr>
                      <w:rFonts w:hint="eastAsia" w:ascii="Times New Roman" w:hAnsi="Times New Roman" w:eastAsia="宋体"/>
                      <w:color w:val="auto"/>
                      <w:kern w:val="2"/>
                      <w:sz w:val="21"/>
                      <w:szCs w:val="21"/>
                      <w:lang w:val="en-US" w:eastAsia="zh-CN" w:bidi="ar-SA"/>
                    </w:rPr>
                  </w:pPr>
                  <w:r>
                    <w:rPr>
                      <w:rFonts w:hint="eastAsia"/>
                      <w:color w:val="auto"/>
                      <w:lang w:val="en-US" w:eastAsia="zh-CN"/>
                    </w:rPr>
                    <w:t>2035年</w:t>
                  </w:r>
                </w:p>
              </w:tc>
            </w:tr>
            <w:tr w14:paraId="0ADC4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7" w:type="pct"/>
                  <w:vMerge w:val="continue"/>
                  <w:tcBorders>
                    <w:tl2br w:val="nil"/>
                    <w:tr2bl w:val="nil"/>
                  </w:tcBorders>
                  <w:noWrap w:val="0"/>
                  <w:vAlign w:val="center"/>
                </w:tcPr>
                <w:p w14:paraId="41E498B6">
                  <w:pPr>
                    <w:pStyle w:val="126"/>
                    <w:bidi w:val="0"/>
                    <w:rPr>
                      <w:rFonts w:hint="default"/>
                      <w:color w:val="auto"/>
                      <w:lang w:val="en-US" w:eastAsia="zh-CN"/>
                    </w:rPr>
                  </w:pPr>
                </w:p>
              </w:tc>
              <w:tc>
                <w:tcPr>
                  <w:tcW w:w="1557" w:type="pct"/>
                  <w:vMerge w:val="continue"/>
                  <w:tcBorders>
                    <w:tl2br w:val="nil"/>
                    <w:tr2bl w:val="nil"/>
                  </w:tcBorders>
                  <w:noWrap w:val="0"/>
                  <w:vAlign w:val="center"/>
                </w:tcPr>
                <w:p w14:paraId="2EC8B6BF">
                  <w:pPr>
                    <w:pStyle w:val="127"/>
                    <w:bidi w:val="0"/>
                    <w:rPr>
                      <w:rFonts w:hint="default"/>
                      <w:color w:val="auto"/>
                      <w:lang w:val="en-US" w:eastAsia="zh-CN"/>
                    </w:rPr>
                  </w:pPr>
                </w:p>
              </w:tc>
              <w:tc>
                <w:tcPr>
                  <w:tcW w:w="1211" w:type="pct"/>
                  <w:tcBorders>
                    <w:tl2br w:val="nil"/>
                    <w:tr2bl w:val="nil"/>
                  </w:tcBorders>
                  <w:noWrap w:val="0"/>
                  <w:vAlign w:val="center"/>
                </w:tcPr>
                <w:p w14:paraId="471B94BD">
                  <w:pPr>
                    <w:pStyle w:val="127"/>
                    <w:bidi w:val="0"/>
                    <w:ind w:left="19" w:leftChars="9" w:right="19" w:rightChars="9"/>
                    <w:rPr>
                      <w:rFonts w:hint="default"/>
                      <w:color w:val="auto"/>
                      <w:lang w:val="en-US" w:eastAsia="zh-CN"/>
                    </w:rPr>
                  </w:pPr>
                  <w:r>
                    <w:rPr>
                      <w:rFonts w:hint="eastAsia"/>
                      <w:color w:val="auto"/>
                      <w:lang w:val="en-US" w:eastAsia="zh-CN"/>
                    </w:rPr>
                    <w:t>28</w:t>
                  </w:r>
                </w:p>
              </w:tc>
              <w:tc>
                <w:tcPr>
                  <w:tcW w:w="1383" w:type="pct"/>
                  <w:tcBorders>
                    <w:tl2br w:val="nil"/>
                    <w:tr2bl w:val="nil"/>
                  </w:tcBorders>
                  <w:noWrap w:val="0"/>
                  <w:vAlign w:val="center"/>
                </w:tcPr>
                <w:p w14:paraId="7F366C1A">
                  <w:pPr>
                    <w:pStyle w:val="127"/>
                    <w:bidi w:val="0"/>
                    <w:ind w:left="19" w:leftChars="9" w:right="19" w:rightChars="9"/>
                    <w:rPr>
                      <w:rFonts w:hint="default"/>
                      <w:color w:val="auto"/>
                      <w:lang w:val="en-US" w:eastAsia="zh-CN"/>
                    </w:rPr>
                  </w:pPr>
                  <w:r>
                    <w:rPr>
                      <w:rFonts w:hint="eastAsia"/>
                      <w:color w:val="auto"/>
                      <w:lang w:val="en-US" w:eastAsia="zh-CN"/>
                    </w:rPr>
                    <w:t>28</w:t>
                  </w:r>
                </w:p>
              </w:tc>
            </w:tr>
            <w:tr w14:paraId="6C780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7" w:type="pct"/>
                  <w:vMerge w:val="restart"/>
                  <w:tcBorders>
                    <w:tl2br w:val="nil"/>
                    <w:tr2bl w:val="nil"/>
                  </w:tcBorders>
                  <w:noWrap w:val="0"/>
                  <w:vAlign w:val="center"/>
                </w:tcPr>
                <w:p w14:paraId="7E143C60">
                  <w:pPr>
                    <w:pStyle w:val="126"/>
                    <w:bidi w:val="0"/>
                    <w:rPr>
                      <w:rFonts w:hint="default"/>
                      <w:color w:val="auto"/>
                      <w:lang w:val="en-US" w:eastAsia="zh-CN"/>
                    </w:rPr>
                  </w:pPr>
                  <w:r>
                    <w:rPr>
                      <w:rFonts w:hint="eastAsia"/>
                      <w:color w:val="auto"/>
                      <w:lang w:val="en-US" w:eastAsia="zh-CN"/>
                    </w:rPr>
                    <w:t>水环境质量底线</w:t>
                  </w:r>
                </w:p>
              </w:tc>
              <w:tc>
                <w:tcPr>
                  <w:tcW w:w="1557" w:type="pct"/>
                  <w:tcBorders>
                    <w:tl2br w:val="nil"/>
                    <w:tr2bl w:val="nil"/>
                  </w:tcBorders>
                  <w:noWrap w:val="0"/>
                  <w:vAlign w:val="center"/>
                </w:tcPr>
                <w:p w14:paraId="150C3F10">
                  <w:pPr>
                    <w:pStyle w:val="127"/>
                    <w:bidi w:val="0"/>
                    <w:rPr>
                      <w:rFonts w:hint="default"/>
                      <w:color w:val="auto"/>
                      <w:lang w:val="en-US" w:eastAsia="zh-CN"/>
                    </w:rPr>
                  </w:pPr>
                  <w:r>
                    <w:rPr>
                      <w:rFonts w:hint="eastAsia"/>
                      <w:color w:val="auto"/>
                      <w:lang w:val="en-US" w:eastAsia="zh-CN"/>
                    </w:rPr>
                    <w:t>断面名称</w:t>
                  </w:r>
                </w:p>
              </w:tc>
              <w:tc>
                <w:tcPr>
                  <w:tcW w:w="1211" w:type="pct"/>
                  <w:tcBorders>
                    <w:tl2br w:val="nil"/>
                    <w:tr2bl w:val="nil"/>
                  </w:tcBorders>
                  <w:noWrap w:val="0"/>
                  <w:vAlign w:val="center"/>
                </w:tcPr>
                <w:p w14:paraId="0C3DAACB">
                  <w:pPr>
                    <w:pStyle w:val="127"/>
                    <w:bidi w:val="0"/>
                    <w:ind w:left="19" w:leftChars="9" w:right="19" w:rightChars="9"/>
                    <w:rPr>
                      <w:rFonts w:hint="eastAsia"/>
                      <w:color w:val="auto"/>
                      <w:lang w:val="en-US" w:eastAsia="zh-CN"/>
                    </w:rPr>
                  </w:pPr>
                  <w:r>
                    <w:rPr>
                      <w:rFonts w:hint="eastAsia"/>
                      <w:color w:val="auto"/>
                      <w:lang w:val="en-US" w:eastAsia="zh-CN"/>
                    </w:rPr>
                    <w:t>2025年</w:t>
                  </w:r>
                </w:p>
              </w:tc>
              <w:tc>
                <w:tcPr>
                  <w:tcW w:w="1383" w:type="pct"/>
                  <w:tcBorders>
                    <w:tl2br w:val="nil"/>
                    <w:tr2bl w:val="nil"/>
                  </w:tcBorders>
                  <w:noWrap w:val="0"/>
                  <w:vAlign w:val="center"/>
                </w:tcPr>
                <w:p w14:paraId="52D0D175">
                  <w:pPr>
                    <w:pStyle w:val="127"/>
                    <w:bidi w:val="0"/>
                    <w:ind w:left="19" w:leftChars="9" w:right="19" w:rightChars="9"/>
                    <w:rPr>
                      <w:rFonts w:hint="eastAsia"/>
                      <w:color w:val="auto"/>
                      <w:lang w:val="en-US" w:eastAsia="zh-CN"/>
                    </w:rPr>
                  </w:pPr>
                  <w:r>
                    <w:rPr>
                      <w:rFonts w:hint="eastAsia"/>
                      <w:color w:val="auto"/>
                      <w:lang w:val="en-US" w:eastAsia="zh-CN"/>
                    </w:rPr>
                    <w:t>2035年</w:t>
                  </w:r>
                </w:p>
              </w:tc>
            </w:tr>
            <w:tr w14:paraId="7A611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7" w:type="pct"/>
                  <w:vMerge w:val="continue"/>
                  <w:tcBorders>
                    <w:tl2br w:val="nil"/>
                    <w:tr2bl w:val="nil"/>
                  </w:tcBorders>
                  <w:noWrap w:val="0"/>
                  <w:vAlign w:val="center"/>
                </w:tcPr>
                <w:p w14:paraId="708C592C">
                  <w:pPr>
                    <w:pStyle w:val="126"/>
                    <w:bidi w:val="0"/>
                    <w:rPr>
                      <w:rFonts w:hint="default"/>
                      <w:color w:val="auto"/>
                      <w:lang w:val="en-US" w:eastAsia="zh-CN"/>
                    </w:rPr>
                  </w:pPr>
                </w:p>
              </w:tc>
              <w:tc>
                <w:tcPr>
                  <w:tcW w:w="1557" w:type="pct"/>
                  <w:tcBorders>
                    <w:tl2br w:val="nil"/>
                    <w:tr2bl w:val="nil"/>
                  </w:tcBorders>
                  <w:noWrap w:val="0"/>
                  <w:vAlign w:val="center"/>
                </w:tcPr>
                <w:p w14:paraId="4587B7E7">
                  <w:pPr>
                    <w:pStyle w:val="31"/>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olor w:val="auto"/>
                      <w:lang w:val="en-US" w:eastAsia="zh-CN"/>
                    </w:rPr>
                  </w:pPr>
                  <w:r>
                    <w:rPr>
                      <w:rFonts w:hint="eastAsia"/>
                      <w:color w:val="auto"/>
                      <w:sz w:val="21"/>
                      <w:szCs w:val="21"/>
                      <w:lang w:val="en-US" w:eastAsia="zh-CN"/>
                    </w:rPr>
                    <w:t>瑞金青山背</w:t>
                  </w:r>
                </w:p>
              </w:tc>
              <w:tc>
                <w:tcPr>
                  <w:tcW w:w="2595" w:type="pct"/>
                  <w:gridSpan w:val="2"/>
                  <w:tcBorders>
                    <w:tl2br w:val="nil"/>
                    <w:tr2bl w:val="nil"/>
                  </w:tcBorders>
                  <w:noWrap w:val="0"/>
                  <w:vAlign w:val="center"/>
                </w:tcPr>
                <w:p w14:paraId="2509168D">
                  <w:pPr>
                    <w:pStyle w:val="31"/>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olor w:val="auto"/>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Ⅲ</w:t>
                  </w:r>
                  <w:r>
                    <w:rPr>
                      <w:rFonts w:hint="default" w:ascii="Times New Roman" w:hAnsi="Times New Roman" w:eastAsia="宋体" w:cs="Times New Roman"/>
                      <w:color w:val="auto"/>
                      <w:kern w:val="2"/>
                      <w:sz w:val="21"/>
                      <w:szCs w:val="21"/>
                      <w:highlight w:val="none"/>
                      <w:u w:val="none"/>
                      <w:shd w:val="clear" w:color="auto" w:fill="auto"/>
                      <w:vertAlign w:val="baseline"/>
                      <w:lang w:val="en-US" w:eastAsia="zh-CN" w:bidi="zh-TW"/>
                    </w:rPr>
                    <w:t>类</w:t>
                  </w:r>
                </w:p>
              </w:tc>
            </w:tr>
            <w:tr w14:paraId="4CE7F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7" w:type="pct"/>
                  <w:vMerge w:val="restart"/>
                  <w:tcBorders>
                    <w:tl2br w:val="nil"/>
                    <w:tr2bl w:val="nil"/>
                  </w:tcBorders>
                  <w:noWrap w:val="0"/>
                  <w:vAlign w:val="center"/>
                </w:tcPr>
                <w:p w14:paraId="4E5DF982">
                  <w:pPr>
                    <w:pStyle w:val="126"/>
                    <w:bidi w:val="0"/>
                    <w:rPr>
                      <w:rFonts w:hint="default"/>
                      <w:color w:val="auto"/>
                      <w:lang w:val="en-US" w:eastAsia="zh-CN"/>
                    </w:rPr>
                  </w:pPr>
                  <w:r>
                    <w:rPr>
                      <w:color w:val="auto"/>
                    </w:rPr>
                    <w:t>土壤环境风险防控底线</w:t>
                  </w:r>
                </w:p>
              </w:tc>
              <w:tc>
                <w:tcPr>
                  <w:tcW w:w="1557" w:type="pct"/>
                  <w:tcBorders>
                    <w:tl2br w:val="nil"/>
                    <w:tr2bl w:val="nil"/>
                  </w:tcBorders>
                  <w:noWrap w:val="0"/>
                  <w:vAlign w:val="center"/>
                </w:tcPr>
                <w:p w14:paraId="6BC5D45A">
                  <w:pPr>
                    <w:pStyle w:val="127"/>
                    <w:bidi w:val="0"/>
                    <w:rPr>
                      <w:rFonts w:hint="default"/>
                      <w:color w:val="auto"/>
                      <w:lang w:val="en-US" w:eastAsia="zh-CN"/>
                    </w:rPr>
                  </w:pPr>
                  <w:r>
                    <w:rPr>
                      <w:color w:val="auto"/>
                    </w:rPr>
                    <w:t>受污染耕地安全利用率</w:t>
                  </w:r>
                </w:p>
              </w:tc>
              <w:tc>
                <w:tcPr>
                  <w:tcW w:w="1211" w:type="pct"/>
                  <w:tcBorders>
                    <w:tl2br w:val="nil"/>
                    <w:tr2bl w:val="nil"/>
                  </w:tcBorders>
                  <w:noWrap w:val="0"/>
                  <w:vAlign w:val="center"/>
                </w:tcPr>
                <w:p w14:paraId="34DC422C">
                  <w:pPr>
                    <w:pStyle w:val="127"/>
                    <w:bidi w:val="0"/>
                    <w:rPr>
                      <w:rFonts w:hint="eastAsia"/>
                      <w:color w:val="auto"/>
                      <w:lang w:val="en-US" w:eastAsia="zh-CN"/>
                    </w:rPr>
                  </w:pPr>
                  <w:r>
                    <w:rPr>
                      <w:color w:val="auto"/>
                    </w:rPr>
                    <w:t>-</w:t>
                  </w:r>
                </w:p>
              </w:tc>
              <w:tc>
                <w:tcPr>
                  <w:tcW w:w="1383" w:type="pct"/>
                  <w:tcBorders>
                    <w:tl2br w:val="nil"/>
                    <w:tr2bl w:val="nil"/>
                  </w:tcBorders>
                  <w:noWrap w:val="0"/>
                  <w:vAlign w:val="center"/>
                </w:tcPr>
                <w:p w14:paraId="33F36538">
                  <w:pPr>
                    <w:pStyle w:val="127"/>
                    <w:bidi w:val="0"/>
                    <w:rPr>
                      <w:rFonts w:hint="eastAsia"/>
                      <w:color w:val="auto"/>
                      <w:lang w:val="en-US" w:eastAsia="zh-CN"/>
                    </w:rPr>
                  </w:pPr>
                  <w:r>
                    <w:rPr>
                      <w:color w:val="auto"/>
                    </w:rPr>
                    <w:t>95%</w:t>
                  </w:r>
                </w:p>
              </w:tc>
            </w:tr>
            <w:tr w14:paraId="57366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7" w:type="pct"/>
                  <w:vMerge w:val="continue"/>
                  <w:tcBorders>
                    <w:tl2br w:val="nil"/>
                    <w:tr2bl w:val="nil"/>
                  </w:tcBorders>
                  <w:noWrap w:val="0"/>
                  <w:vAlign w:val="center"/>
                </w:tcPr>
                <w:p w14:paraId="59E0475B">
                  <w:pPr>
                    <w:pStyle w:val="127"/>
                    <w:bidi w:val="0"/>
                    <w:rPr>
                      <w:rFonts w:hint="default"/>
                      <w:color w:val="auto"/>
                      <w:lang w:val="en-US" w:eastAsia="zh-CN"/>
                    </w:rPr>
                  </w:pPr>
                </w:p>
              </w:tc>
              <w:tc>
                <w:tcPr>
                  <w:tcW w:w="1557" w:type="pct"/>
                  <w:tcBorders>
                    <w:tl2br w:val="nil"/>
                    <w:tr2bl w:val="nil"/>
                  </w:tcBorders>
                  <w:noWrap w:val="0"/>
                  <w:vAlign w:val="center"/>
                </w:tcPr>
                <w:p w14:paraId="0BE3B306">
                  <w:pPr>
                    <w:pStyle w:val="127"/>
                    <w:bidi w:val="0"/>
                    <w:rPr>
                      <w:rFonts w:hint="default"/>
                      <w:color w:val="auto"/>
                      <w:lang w:val="en-US" w:eastAsia="zh-CN"/>
                    </w:rPr>
                  </w:pPr>
                  <w:r>
                    <w:rPr>
                      <w:color w:val="auto"/>
                    </w:rPr>
                    <w:t>污染地块安全利用率</w:t>
                  </w:r>
                </w:p>
              </w:tc>
              <w:tc>
                <w:tcPr>
                  <w:tcW w:w="1211" w:type="pct"/>
                  <w:tcBorders>
                    <w:tl2br w:val="nil"/>
                    <w:tr2bl w:val="nil"/>
                  </w:tcBorders>
                  <w:noWrap w:val="0"/>
                  <w:vAlign w:val="center"/>
                </w:tcPr>
                <w:p w14:paraId="34E66A2A">
                  <w:pPr>
                    <w:pStyle w:val="127"/>
                    <w:bidi w:val="0"/>
                    <w:rPr>
                      <w:rFonts w:hint="eastAsia"/>
                      <w:color w:val="auto"/>
                      <w:lang w:val="en-US" w:eastAsia="zh-CN"/>
                    </w:rPr>
                  </w:pPr>
                  <w:r>
                    <w:rPr>
                      <w:color w:val="auto"/>
                    </w:rPr>
                    <w:t>-</w:t>
                  </w:r>
                </w:p>
              </w:tc>
              <w:tc>
                <w:tcPr>
                  <w:tcW w:w="1383" w:type="pct"/>
                  <w:tcBorders>
                    <w:tl2br w:val="nil"/>
                    <w:tr2bl w:val="nil"/>
                  </w:tcBorders>
                  <w:noWrap w:val="0"/>
                  <w:vAlign w:val="center"/>
                </w:tcPr>
                <w:p w14:paraId="05E67418">
                  <w:pPr>
                    <w:pStyle w:val="127"/>
                    <w:bidi w:val="0"/>
                    <w:rPr>
                      <w:rFonts w:hint="eastAsia"/>
                      <w:color w:val="auto"/>
                      <w:lang w:val="en-US" w:eastAsia="zh-CN"/>
                    </w:rPr>
                  </w:pPr>
                  <w:r>
                    <w:rPr>
                      <w:color w:val="auto"/>
                    </w:rPr>
                    <w:t>95%</w:t>
                  </w:r>
                </w:p>
              </w:tc>
            </w:tr>
          </w:tbl>
          <w:p w14:paraId="7A54860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color w:val="auto"/>
                <w:sz w:val="24"/>
                <w:szCs w:val="24"/>
              </w:rPr>
            </w:pPr>
            <w:r>
              <w:rPr>
                <w:rFonts w:hint="eastAsia"/>
                <w:b/>
                <w:bCs/>
                <w:color w:val="auto"/>
                <w:sz w:val="24"/>
                <w:szCs w:val="24"/>
                <w:lang w:val="en-US" w:eastAsia="zh-CN"/>
              </w:rPr>
              <w:t>环境空气质量底线</w:t>
            </w:r>
            <w:r>
              <w:rPr>
                <w:rFonts w:hint="eastAsia"/>
                <w:color w:val="auto"/>
                <w:sz w:val="24"/>
                <w:szCs w:val="24"/>
                <w:lang w:val="en-US" w:eastAsia="zh-CN"/>
              </w:rPr>
              <w:t>：根据江西省生态环境厅发布的《2023年江西省各县（市、区）六项污染物浓度年均值》中大气环境质量现状内容，宁都县六项污染物年均值已达到环境空气质量二级标准限值要求，</w:t>
            </w:r>
            <w:r>
              <w:rPr>
                <w:rFonts w:hint="default"/>
                <w:color w:val="auto"/>
                <w:sz w:val="24"/>
                <w:szCs w:val="24"/>
                <w:lang w:val="en-US" w:eastAsia="zh-CN"/>
              </w:rPr>
              <w:t>PM</w:t>
            </w:r>
            <w:r>
              <w:rPr>
                <w:rFonts w:hint="default"/>
                <w:color w:val="auto"/>
                <w:sz w:val="24"/>
                <w:szCs w:val="24"/>
                <w:vertAlign w:val="subscript"/>
                <w:lang w:val="en-US" w:eastAsia="zh-CN"/>
              </w:rPr>
              <w:t>2.5</w:t>
            </w:r>
            <w:r>
              <w:rPr>
                <w:rFonts w:hint="eastAsia"/>
                <w:color w:val="auto"/>
                <w:sz w:val="24"/>
                <w:szCs w:val="24"/>
                <w:lang w:val="en-US" w:eastAsia="zh-CN"/>
              </w:rPr>
              <w:t>浓度已达到“三线一单”中的环境质量底线要求。</w:t>
            </w:r>
            <w:r>
              <w:rPr>
                <w:rFonts w:hint="default" w:ascii="Times New Roman" w:hAnsi="Times New Roman" w:eastAsia="宋体" w:cs="Times New Roman"/>
                <w:b w:val="0"/>
                <w:bCs/>
                <w:sz w:val="24"/>
                <w:szCs w:val="24"/>
                <w:lang w:val="en-US" w:eastAsia="zh-CN"/>
              </w:rPr>
              <w:t>项目主要大气污染物为</w:t>
            </w:r>
            <w:r>
              <w:rPr>
                <w:rFonts w:hint="eastAsia" w:cs="Times New Roman"/>
                <w:b w:val="0"/>
                <w:bCs/>
                <w:sz w:val="24"/>
                <w:szCs w:val="24"/>
                <w:lang w:val="en-US" w:eastAsia="zh-CN"/>
              </w:rPr>
              <w:t>油烟、颗粒物、二氧化硫、氮氧化物、硫化氢和氨</w:t>
            </w:r>
            <w:r>
              <w:rPr>
                <w:rFonts w:hint="eastAsia" w:ascii="Times New Roman" w:hAnsi="Times New Roman" w:eastAsia="宋体" w:cs="Times New Roman"/>
                <w:b w:val="0"/>
                <w:bCs/>
                <w:sz w:val="24"/>
                <w:szCs w:val="24"/>
                <w:lang w:val="en-US" w:eastAsia="zh-CN"/>
              </w:rPr>
              <w:t>，油烟废气中的油烟和燃气灶燃烧废气中的</w:t>
            </w:r>
            <w:r>
              <w:rPr>
                <w:rFonts w:hint="eastAsia" w:cs="Times New Roman"/>
                <w:b w:val="0"/>
                <w:bCs/>
                <w:sz w:val="24"/>
                <w:szCs w:val="24"/>
                <w:lang w:val="en-US" w:eastAsia="zh-CN"/>
              </w:rPr>
              <w:t>颗粒物、二氧化硫、氮氧化物经收集后</w:t>
            </w:r>
            <w:r>
              <w:rPr>
                <w:rFonts w:hint="eastAsia" w:ascii="Times New Roman" w:hAnsi="Times New Roman" w:eastAsia="宋体" w:cs="Times New Roman"/>
                <w:b w:val="0"/>
                <w:bCs/>
                <w:sz w:val="24"/>
                <w:szCs w:val="24"/>
                <w:lang w:val="en-US" w:eastAsia="zh-CN"/>
              </w:rPr>
              <w:t>通过</w:t>
            </w:r>
            <w:r>
              <w:rPr>
                <w:rFonts w:hint="eastAsia" w:cs="Times New Roman"/>
                <w:b w:val="0"/>
                <w:bCs/>
                <w:sz w:val="24"/>
                <w:szCs w:val="24"/>
                <w:lang w:val="en-US" w:eastAsia="zh-CN"/>
              </w:rPr>
              <w:t>静电油烟净化装置</w:t>
            </w:r>
            <w:r>
              <w:rPr>
                <w:rFonts w:hint="eastAsia" w:ascii="Times New Roman" w:hAnsi="Times New Roman" w:eastAsia="宋体" w:cs="Times New Roman"/>
                <w:b w:val="0"/>
                <w:bCs/>
                <w:sz w:val="24"/>
                <w:szCs w:val="24"/>
                <w:lang w:val="en-US" w:eastAsia="zh-CN"/>
              </w:rPr>
              <w:t>处理达标后经</w:t>
            </w:r>
            <w:r>
              <w:rPr>
                <w:rFonts w:hint="eastAsia" w:cs="Times New Roman"/>
                <w:b w:val="0"/>
                <w:bCs/>
                <w:sz w:val="24"/>
                <w:szCs w:val="24"/>
                <w:lang w:val="en-US" w:eastAsia="zh-CN"/>
              </w:rPr>
              <w:t>各自专用排烟管道</w:t>
            </w:r>
            <w:r>
              <w:rPr>
                <w:rFonts w:hint="eastAsia" w:ascii="Times New Roman" w:hAnsi="Times New Roman" w:eastAsia="宋体" w:cs="Times New Roman"/>
                <w:b w:val="0"/>
                <w:bCs/>
                <w:sz w:val="24"/>
                <w:szCs w:val="24"/>
                <w:lang w:val="en-US" w:eastAsia="zh-CN"/>
              </w:rPr>
              <w:t>排放</w:t>
            </w:r>
            <w:r>
              <w:rPr>
                <w:rFonts w:hint="eastAsia" w:cs="Times New Roman"/>
                <w:b w:val="0"/>
                <w:bCs/>
                <w:sz w:val="24"/>
                <w:szCs w:val="24"/>
                <w:lang w:val="en-US" w:eastAsia="zh-CN"/>
              </w:rPr>
              <w:t>（中央厨房DA001-DA004排气筒、1号预制菜车间DA007-DA014排气筒）；锅炉废气中的颗粒物、二氧化硫、氮氧化物</w:t>
            </w:r>
            <w:r>
              <w:rPr>
                <w:rFonts w:hint="eastAsia" w:ascii="Times New Roman" w:hAnsi="Times New Roman" w:eastAsia="宋体" w:cs="Times New Roman"/>
                <w:b w:val="0"/>
                <w:bCs/>
                <w:sz w:val="24"/>
                <w:szCs w:val="24"/>
                <w:lang w:val="en-US" w:eastAsia="zh-CN"/>
              </w:rPr>
              <w:t>通过</w:t>
            </w:r>
            <w:r>
              <w:rPr>
                <w:rFonts w:hint="eastAsia" w:cs="Times New Roman"/>
                <w:b w:val="0"/>
                <w:bCs/>
                <w:sz w:val="24"/>
                <w:szCs w:val="24"/>
                <w:lang w:val="en-US" w:eastAsia="zh-CN"/>
              </w:rPr>
              <w:t>低氮燃烧技术处理后经各自专用排气筒</w:t>
            </w:r>
            <w:r>
              <w:rPr>
                <w:rFonts w:hint="eastAsia" w:ascii="Times New Roman" w:hAnsi="Times New Roman" w:eastAsia="宋体" w:cs="Times New Roman"/>
                <w:b w:val="0"/>
                <w:bCs/>
                <w:sz w:val="24"/>
                <w:szCs w:val="24"/>
                <w:lang w:val="en-US" w:eastAsia="zh-CN"/>
              </w:rPr>
              <w:t>排放</w:t>
            </w:r>
            <w:r>
              <w:rPr>
                <w:rFonts w:hint="eastAsia" w:cs="Times New Roman"/>
                <w:b w:val="0"/>
                <w:bCs/>
                <w:sz w:val="24"/>
                <w:szCs w:val="24"/>
                <w:lang w:val="en-US" w:eastAsia="zh-CN"/>
              </w:rPr>
              <w:t>（中央厨房DA005和DA006排气筒、1号预制菜车间DA015和DA016排气筒）；污水处理站恶臭污染物中的硫化氢和氨</w:t>
            </w:r>
            <w:r>
              <w:rPr>
                <w:rFonts w:hint="eastAsia" w:cs="Times New Roman"/>
                <w:color w:val="000000" w:themeColor="text1"/>
                <w:sz w:val="24"/>
                <w:szCs w:val="24"/>
                <w:highlight w:val="none"/>
                <w:lang w:val="en-US" w:eastAsia="zh-CN"/>
                <w14:textFill>
                  <w14:solidFill>
                    <w14:schemeClr w14:val="tx1"/>
                  </w14:solidFill>
                </w14:textFill>
              </w:rPr>
              <w:t>可</w:t>
            </w:r>
            <w:r>
              <w:rPr>
                <w:rStyle w:val="148"/>
                <w:rFonts w:hint="eastAsia" w:cs="Times New Roman"/>
                <w:sz w:val="24"/>
                <w:szCs w:val="24"/>
                <w:lang w:val="en-US" w:eastAsia="zh-CN" w:bidi="ar"/>
              </w:rPr>
              <w:t>通过对</w:t>
            </w:r>
            <w:r>
              <w:rPr>
                <w:rFonts w:hint="eastAsia" w:ascii="Times New Roman" w:hAnsi="Times New Roman" w:eastAsia="Times New Roman"/>
                <w:sz w:val="24"/>
                <w:szCs w:val="24"/>
                <w:lang w:val="en-US" w:eastAsia="zh-CN"/>
              </w:rPr>
              <w:t>污水处理站</w:t>
            </w:r>
            <w:r>
              <w:rPr>
                <w:rStyle w:val="148"/>
                <w:rFonts w:hint="eastAsia" w:cs="Times New Roman"/>
                <w:sz w:val="24"/>
                <w:szCs w:val="24"/>
                <w:lang w:val="en-US" w:eastAsia="zh-CN" w:bidi="ar"/>
              </w:rPr>
              <w:t>定期喷洒除臭剂、加盖密闭、加强通风等措施处理后排放。</w:t>
            </w:r>
            <w:r>
              <w:rPr>
                <w:rFonts w:hint="eastAsia"/>
                <w:color w:val="auto"/>
                <w:sz w:val="24"/>
                <w:szCs w:val="24"/>
                <w:lang w:val="en-US" w:eastAsia="zh-CN"/>
              </w:rPr>
              <w:t>废气排放可满足环境空气质量底线的要求。</w:t>
            </w:r>
          </w:p>
          <w:p w14:paraId="6C2A755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color w:val="auto"/>
                <w:sz w:val="24"/>
                <w:szCs w:val="24"/>
                <w:lang w:val="en-US" w:eastAsia="zh-CN"/>
              </w:rPr>
            </w:pPr>
            <w:r>
              <w:rPr>
                <w:rFonts w:hint="eastAsia"/>
                <w:b/>
                <w:bCs/>
                <w:color w:val="auto"/>
                <w:sz w:val="24"/>
                <w:szCs w:val="24"/>
                <w:lang w:val="en-US" w:eastAsia="zh-CN"/>
              </w:rPr>
              <w:t>水环境质量底线：</w:t>
            </w:r>
            <w:r>
              <w:rPr>
                <w:rFonts w:hint="default" w:ascii="Times New Roman" w:hAnsi="Times New Roman" w:cs="Times New Roman"/>
                <w:color w:val="auto"/>
                <w:sz w:val="24"/>
                <w:szCs w:val="24"/>
                <w:lang w:val="en-US" w:eastAsia="zh-CN"/>
              </w:rPr>
              <w:t>根据《江西省地表水（环境）功能区划表》，项目所在区域地表水功能区划为</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 3 \* ROMAN \* MERGEFORMAT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rPr>
              <w:t>III</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类；根据</w:t>
            </w:r>
            <w:r>
              <w:rPr>
                <w:rFonts w:hint="default" w:ascii="Times New Roman" w:hAnsi="Times New Roman" w:cs="Times New Roman"/>
                <w:color w:val="auto"/>
                <w:sz w:val="24"/>
                <w:szCs w:val="24"/>
                <w:highlight w:val="none"/>
                <w:lang w:val="en-US" w:eastAsia="zh-CN"/>
              </w:rPr>
              <w:t>《2023年赣州市环境质量年报》</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cs="Times New Roman"/>
                <w:color w:val="auto"/>
                <w:sz w:val="24"/>
                <w:szCs w:val="24"/>
                <w:highlight w:val="none"/>
                <w:lang w:val="en-US" w:eastAsia="zh-CN"/>
              </w:rPr>
              <w:t>“</w:t>
            </w:r>
            <w:r>
              <w:rPr>
                <w:rFonts w:hint="eastAsia"/>
                <w:color w:val="auto"/>
                <w:sz w:val="24"/>
                <w:szCs w:val="24"/>
                <w:lang w:val="en-US" w:eastAsia="zh-CN"/>
              </w:rPr>
              <w:t>瑞金青山背</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监测断面水质达标状况可知，202</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default" w:ascii="Times New Roman" w:hAnsi="Times New Roman" w:cs="Times New Roman"/>
                <w:color w:val="auto"/>
                <w:sz w:val="24"/>
                <w:szCs w:val="24"/>
                <w:highlight w:val="none"/>
                <w:lang w:val="en-US" w:eastAsia="zh-CN"/>
              </w:rPr>
              <w:t>“</w:t>
            </w:r>
            <w:r>
              <w:rPr>
                <w:rFonts w:hint="eastAsia"/>
                <w:color w:val="auto"/>
                <w:sz w:val="24"/>
                <w:szCs w:val="24"/>
                <w:lang w:val="en-US" w:eastAsia="zh-CN"/>
              </w:rPr>
              <w:t>瑞金青山背</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监测断面能达到《</w:t>
            </w:r>
            <w:r>
              <w:rPr>
                <w:rFonts w:hint="default" w:ascii="Times New Roman" w:hAnsi="Times New Roman" w:cs="Times New Roman"/>
                <w:color w:val="auto"/>
                <w:sz w:val="24"/>
                <w:szCs w:val="24"/>
                <w:lang w:eastAsia="zh-CN"/>
              </w:rPr>
              <w:t>地表水环境质量标准》（GB3838-2002）</w:t>
            </w:r>
            <w:r>
              <w:rPr>
                <w:rFonts w:hint="default" w:ascii="Times New Roman" w:hAnsi="Times New Roman" w:eastAsia="宋体" w:cs="Times New Roman"/>
                <w:color w:val="auto"/>
                <w:sz w:val="24"/>
                <w:szCs w:val="24"/>
                <w:lang w:eastAsia="zh-CN"/>
              </w:rPr>
              <w:t>Ⅱ</w:t>
            </w:r>
            <w:r>
              <w:rPr>
                <w:rFonts w:hint="default" w:ascii="Times New Roman" w:hAnsi="Times New Roman" w:cs="Times New Roman"/>
                <w:color w:val="auto"/>
                <w:sz w:val="24"/>
                <w:szCs w:val="24"/>
                <w:lang w:eastAsia="zh-CN"/>
              </w:rPr>
              <w:t>类</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cs="Times New Roman"/>
                <w:color w:val="000000"/>
                <w:kern w:val="0"/>
                <w:sz w:val="24"/>
                <w:szCs w:val="24"/>
                <w:lang w:val="en-US" w:eastAsia="zh-CN" w:bidi="ar"/>
              </w:rPr>
              <w:t>和纯水制备浓水</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纯水制备浓水可</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生活污水经化粪池处理后和生产废水一起</w:t>
            </w:r>
            <w:r>
              <w:rPr>
                <w:rFonts w:hint="default" w:ascii="Times New Roman" w:hAnsi="Times New Roman" w:eastAsia="宋体" w:cs="Times New Roman"/>
                <w:color w:val="000000"/>
                <w:kern w:val="0"/>
                <w:sz w:val="24"/>
                <w:szCs w:val="24"/>
                <w:lang w:val="en-US" w:eastAsia="zh-CN" w:bidi="ar"/>
              </w:rPr>
              <w:t>进入自建污水处理站处理达标后通过污水管网进入宁都县第二污水处理厂处理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000000"/>
                <w:kern w:val="0"/>
                <w:sz w:val="24"/>
                <w:szCs w:val="24"/>
                <w:lang w:val="en-US" w:eastAsia="zh-CN" w:bidi="ar"/>
              </w:rPr>
              <w:t>，最终排入梅江。</w:t>
            </w:r>
            <w:r>
              <w:rPr>
                <w:rFonts w:hint="eastAsia"/>
                <w:color w:val="auto"/>
                <w:sz w:val="24"/>
                <w:szCs w:val="24"/>
                <w:lang w:val="en-US" w:eastAsia="zh-CN"/>
              </w:rPr>
              <w:t>不会对地表水水质造成明显影响。</w:t>
            </w:r>
            <w:r>
              <w:rPr>
                <w:rFonts w:hint="eastAsia" w:ascii="Times New Roman" w:hAnsi="Times New Roman" w:cs="Times New Roman"/>
                <w:color w:val="auto"/>
                <w:sz w:val="24"/>
                <w:szCs w:val="24"/>
                <w:lang w:val="en-US" w:eastAsia="zh-CN"/>
              </w:rPr>
              <w:t>因此满足区域地表水环境质量底线的要求。</w:t>
            </w:r>
          </w:p>
          <w:p w14:paraId="3674861D">
            <w:pPr>
              <w:pStyle w:val="124"/>
              <w:bidi w:val="0"/>
              <w:rPr>
                <w:rFonts w:hint="eastAsia" w:ascii="Times New Roman" w:hAnsi="Times New Roman" w:eastAsia="宋体" w:cs="Times New Roman"/>
                <w:color w:val="auto"/>
                <w:sz w:val="24"/>
                <w:szCs w:val="24"/>
                <w:lang w:val="en-US" w:eastAsia="zh-CN"/>
              </w:rPr>
            </w:pPr>
            <w:r>
              <w:rPr>
                <w:b/>
                <w:bCs/>
                <w:color w:val="auto"/>
              </w:rPr>
              <w:t>土壤环境风险防控底线</w:t>
            </w:r>
            <w:r>
              <w:rPr>
                <w:rFonts w:hint="eastAsia"/>
                <w:b/>
                <w:bCs/>
                <w:color w:val="auto"/>
                <w:lang w:eastAsia="zh-CN"/>
              </w:rPr>
              <w:t>：</w:t>
            </w:r>
            <w:r>
              <w:rPr>
                <w:rFonts w:hint="eastAsia" w:ascii="Times New Roman" w:hAnsi="Times New Roman" w:eastAsia="宋体" w:cs="Times New Roman"/>
                <w:color w:val="auto"/>
                <w:sz w:val="24"/>
                <w:szCs w:val="24"/>
                <w:lang w:val="en-US" w:eastAsia="zh-CN"/>
              </w:rPr>
              <w:t>本项目通过加强土壤环境质量监管，可确保土壤环境风险防控满足三线一单要求；</w:t>
            </w:r>
          </w:p>
          <w:p w14:paraId="34C4940C">
            <w:pPr>
              <w:pStyle w:val="124"/>
              <w:bidi w:val="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本项目固体废物均妥善处置，不直接排入外环境，综上，项目三废均能有效处理，不会明显降低区域环境质量现状；本项目建设不会对当地环境质量底线造成冲击。</w:t>
            </w:r>
          </w:p>
          <w:p w14:paraId="4664BAEF">
            <w:pPr>
              <w:pStyle w:val="124"/>
              <w:bidi w:val="0"/>
              <w:rPr>
                <w:rFonts w:hint="default"/>
                <w:b/>
                <w:bCs/>
                <w:color w:val="auto"/>
                <w:lang w:val="en-US" w:eastAsia="zh-CN"/>
              </w:rPr>
            </w:pPr>
            <w:r>
              <w:rPr>
                <w:rFonts w:hint="eastAsia"/>
                <w:b/>
                <w:bCs/>
                <w:color w:val="auto"/>
                <w:lang w:val="en-US" w:eastAsia="zh-CN"/>
              </w:rPr>
              <w:t>3、资源利用上线</w:t>
            </w:r>
          </w:p>
          <w:p w14:paraId="2CE6CB47">
            <w:pPr>
              <w:pStyle w:val="124"/>
              <w:bidi w:val="0"/>
              <w:rPr>
                <w:rFonts w:hint="eastAsia"/>
                <w:color w:val="auto"/>
              </w:rPr>
            </w:pPr>
            <w:r>
              <w:rPr>
                <w:rFonts w:hint="eastAsia"/>
                <w:color w:val="auto"/>
                <w:lang w:val="en-US" w:eastAsia="zh-CN"/>
              </w:rPr>
              <w:t>《长江经济带战略环境评价江西省赣州市“三线一单”划定技术报告》对宁都县水资源、土地资源、能源利用上线提出管控目标，现将有关要求梳理如下：</w:t>
            </w:r>
          </w:p>
          <w:p w14:paraId="4FD2B7A8">
            <w:pPr>
              <w:pStyle w:val="12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rPr>
            </w:pPr>
            <w:r>
              <w:rPr>
                <w:rFonts w:hint="eastAsia" w:ascii="Times New Roman" w:hAnsi="Times New Roman" w:eastAsia="宋体" w:cs="Times New Roman"/>
                <w:color w:val="auto"/>
              </w:rPr>
              <w:t>表1-</w:t>
            </w:r>
            <w:r>
              <w:rPr>
                <w:rFonts w:hint="eastAsia" w:cs="Times New Roman"/>
                <w:color w:val="auto"/>
                <w:lang w:val="en-US" w:eastAsia="zh-CN"/>
              </w:rPr>
              <w:t>4</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江西省赣州市“三线一单”中关于</w:t>
            </w:r>
            <w:r>
              <w:rPr>
                <w:rFonts w:hint="eastAsia"/>
                <w:color w:val="auto"/>
                <w:lang w:val="en-US" w:eastAsia="zh-CN"/>
              </w:rPr>
              <w:t>宁都县</w:t>
            </w:r>
            <w:r>
              <w:rPr>
                <w:rFonts w:hint="eastAsia" w:ascii="Times New Roman" w:hAnsi="Times New Roman" w:eastAsia="宋体" w:cs="Times New Roman"/>
                <w:color w:val="auto"/>
                <w:lang w:val="en-US" w:eastAsia="zh-CN"/>
              </w:rPr>
              <w:t>资源利用上线管控目标</w:t>
            </w:r>
          </w:p>
          <w:tbl>
            <w:tblPr>
              <w:tblStyle w:val="3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440"/>
              <w:gridCol w:w="2772"/>
              <w:gridCol w:w="2615"/>
            </w:tblGrid>
            <w:tr w14:paraId="31A69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1" w:type="pct"/>
                  <w:gridSpan w:val="2"/>
                  <w:tcBorders>
                    <w:tl2br w:val="nil"/>
                    <w:tr2bl w:val="nil"/>
                  </w:tcBorders>
                  <w:noWrap w:val="0"/>
                  <w:vAlign w:val="center"/>
                </w:tcPr>
                <w:p w14:paraId="5BFC9675">
                  <w:pPr>
                    <w:pStyle w:val="126"/>
                    <w:bidi w:val="0"/>
                    <w:rPr>
                      <w:rFonts w:hint="default"/>
                      <w:color w:val="auto"/>
                      <w:lang w:val="en-US" w:eastAsia="zh-CN"/>
                    </w:rPr>
                  </w:pPr>
                  <w:r>
                    <w:rPr>
                      <w:rFonts w:hint="eastAsia"/>
                      <w:color w:val="auto"/>
                      <w:lang w:val="en-US" w:eastAsia="zh-CN"/>
                    </w:rPr>
                    <w:t>项目</w:t>
                  </w:r>
                </w:p>
              </w:tc>
              <w:tc>
                <w:tcPr>
                  <w:tcW w:w="3288" w:type="pct"/>
                  <w:gridSpan w:val="2"/>
                  <w:tcBorders>
                    <w:tl2br w:val="nil"/>
                    <w:tr2bl w:val="nil"/>
                  </w:tcBorders>
                  <w:noWrap w:val="0"/>
                  <w:vAlign w:val="center"/>
                </w:tcPr>
                <w:p w14:paraId="64C30882">
                  <w:pPr>
                    <w:pStyle w:val="126"/>
                    <w:bidi w:val="0"/>
                    <w:rPr>
                      <w:rFonts w:hint="default"/>
                      <w:color w:val="auto"/>
                      <w:lang w:val="en-US" w:eastAsia="zh-CN"/>
                    </w:rPr>
                  </w:pPr>
                  <w:r>
                    <w:rPr>
                      <w:rFonts w:hint="eastAsia"/>
                      <w:color w:val="auto"/>
                      <w:lang w:val="en-US" w:eastAsia="zh-CN"/>
                    </w:rPr>
                    <w:t>资源利用上线管控目标</w:t>
                  </w:r>
                </w:p>
              </w:tc>
            </w:tr>
            <w:tr w14:paraId="0F294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2" w:type="pct"/>
                  <w:vMerge w:val="restart"/>
                  <w:tcBorders>
                    <w:tl2br w:val="nil"/>
                    <w:tr2bl w:val="nil"/>
                  </w:tcBorders>
                  <w:noWrap w:val="0"/>
                  <w:vAlign w:val="center"/>
                </w:tcPr>
                <w:p w14:paraId="59E5BF85">
                  <w:pPr>
                    <w:pStyle w:val="126"/>
                    <w:bidi w:val="0"/>
                    <w:rPr>
                      <w:rFonts w:hint="default"/>
                      <w:color w:val="auto"/>
                      <w:lang w:val="en-US" w:eastAsia="zh-CN"/>
                    </w:rPr>
                  </w:pPr>
                  <w:r>
                    <w:rPr>
                      <w:rFonts w:hint="eastAsia"/>
                      <w:color w:val="auto"/>
                      <w:lang w:val="en-US" w:eastAsia="zh-CN"/>
                    </w:rPr>
                    <w:t>水资源</w:t>
                  </w:r>
                </w:p>
              </w:tc>
              <w:tc>
                <w:tcPr>
                  <w:tcW w:w="879" w:type="pct"/>
                  <w:vMerge w:val="restart"/>
                  <w:tcBorders>
                    <w:tl2br w:val="nil"/>
                    <w:tr2bl w:val="nil"/>
                  </w:tcBorders>
                  <w:noWrap w:val="0"/>
                  <w:vAlign w:val="center"/>
                </w:tcPr>
                <w:p w14:paraId="7ED5A9B9">
                  <w:pPr>
                    <w:pStyle w:val="127"/>
                    <w:bidi w:val="0"/>
                    <w:ind w:left="19" w:leftChars="9" w:right="19" w:rightChars="9"/>
                    <w:rPr>
                      <w:rFonts w:hint="eastAsia" w:ascii="Times New Roman" w:hAnsi="Times New Roman" w:eastAsia="宋体"/>
                      <w:color w:val="auto"/>
                      <w:kern w:val="2"/>
                      <w:sz w:val="21"/>
                      <w:szCs w:val="21"/>
                      <w:lang w:val="en-US" w:eastAsia="zh-CN" w:bidi="ar-SA"/>
                    </w:rPr>
                  </w:pPr>
                  <w:r>
                    <w:rPr>
                      <w:rFonts w:hint="eastAsia"/>
                      <w:color w:val="auto"/>
                      <w:lang w:val="en-US" w:eastAsia="zh-CN"/>
                    </w:rPr>
                    <w:t>用水总量</w:t>
                  </w:r>
                </w:p>
              </w:tc>
              <w:tc>
                <w:tcPr>
                  <w:tcW w:w="3288" w:type="pct"/>
                  <w:gridSpan w:val="2"/>
                  <w:tcBorders>
                    <w:tl2br w:val="nil"/>
                    <w:tr2bl w:val="nil"/>
                  </w:tcBorders>
                  <w:noWrap w:val="0"/>
                  <w:vAlign w:val="center"/>
                </w:tcPr>
                <w:p w14:paraId="5A2D90E9">
                  <w:pPr>
                    <w:pStyle w:val="127"/>
                    <w:bidi w:val="0"/>
                    <w:rPr>
                      <w:rFonts w:hint="default"/>
                      <w:color w:val="auto"/>
                      <w:lang w:val="en-US" w:eastAsia="zh-CN"/>
                    </w:rPr>
                  </w:pPr>
                  <w:r>
                    <w:rPr>
                      <w:rFonts w:hint="eastAsia"/>
                      <w:color w:val="auto"/>
                      <w:lang w:val="en-US" w:eastAsia="zh-CN"/>
                    </w:rPr>
                    <w:t>2030年</w:t>
                  </w:r>
                </w:p>
              </w:tc>
            </w:tr>
            <w:tr w14:paraId="10119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2" w:type="pct"/>
                  <w:vMerge w:val="continue"/>
                  <w:tcBorders>
                    <w:tl2br w:val="nil"/>
                    <w:tr2bl w:val="nil"/>
                  </w:tcBorders>
                  <w:noWrap w:val="0"/>
                  <w:vAlign w:val="center"/>
                </w:tcPr>
                <w:p w14:paraId="71D5A039">
                  <w:pPr>
                    <w:pStyle w:val="126"/>
                    <w:bidi w:val="0"/>
                    <w:rPr>
                      <w:rFonts w:hint="eastAsia"/>
                      <w:color w:val="auto"/>
                      <w:lang w:val="en-US" w:eastAsia="zh-CN"/>
                    </w:rPr>
                  </w:pPr>
                </w:p>
              </w:tc>
              <w:tc>
                <w:tcPr>
                  <w:tcW w:w="879" w:type="pct"/>
                  <w:vMerge w:val="continue"/>
                  <w:tcBorders>
                    <w:tl2br w:val="nil"/>
                    <w:tr2bl w:val="nil"/>
                  </w:tcBorders>
                  <w:noWrap w:val="0"/>
                  <w:vAlign w:val="center"/>
                </w:tcPr>
                <w:p w14:paraId="41C4FA79">
                  <w:pPr>
                    <w:pStyle w:val="127"/>
                    <w:bidi w:val="0"/>
                    <w:ind w:left="19" w:leftChars="9" w:right="19" w:rightChars="9"/>
                    <w:rPr>
                      <w:rFonts w:hint="eastAsia" w:ascii="Times New Roman" w:hAnsi="Times New Roman" w:eastAsia="宋体"/>
                      <w:color w:val="auto"/>
                      <w:kern w:val="2"/>
                      <w:sz w:val="21"/>
                      <w:szCs w:val="21"/>
                      <w:lang w:val="en-US" w:eastAsia="zh-CN" w:bidi="ar-SA"/>
                    </w:rPr>
                  </w:pPr>
                </w:p>
              </w:tc>
              <w:tc>
                <w:tcPr>
                  <w:tcW w:w="3288" w:type="pct"/>
                  <w:gridSpan w:val="2"/>
                  <w:tcBorders>
                    <w:tl2br w:val="nil"/>
                    <w:tr2bl w:val="nil"/>
                  </w:tcBorders>
                  <w:noWrap w:val="0"/>
                  <w:vAlign w:val="center"/>
                </w:tcPr>
                <w:p w14:paraId="76E9CE1B">
                  <w:pPr>
                    <w:pStyle w:val="127"/>
                    <w:bidi w:val="0"/>
                    <w:ind w:left="19" w:leftChars="9" w:right="19" w:rightChars="9"/>
                    <w:rPr>
                      <w:rFonts w:hint="eastAsia" w:ascii="Times New Roman" w:hAnsi="Times New Roman" w:eastAsia="宋体"/>
                      <w:color w:val="auto"/>
                      <w:kern w:val="2"/>
                      <w:sz w:val="21"/>
                      <w:szCs w:val="21"/>
                      <w:lang w:val="en-US" w:eastAsia="zh-CN" w:bidi="ar-SA"/>
                    </w:rPr>
                  </w:pPr>
                  <w:r>
                    <w:rPr>
                      <w:rFonts w:hint="eastAsia"/>
                      <w:color w:val="auto"/>
                      <w:lang w:val="en-US" w:eastAsia="zh-CN"/>
                    </w:rPr>
                    <w:t>3.57亿m</w:t>
                  </w:r>
                  <w:r>
                    <w:rPr>
                      <w:rFonts w:hint="eastAsia"/>
                      <w:color w:val="auto"/>
                      <w:vertAlign w:val="superscript"/>
                      <w:lang w:val="en-US" w:eastAsia="zh-CN"/>
                    </w:rPr>
                    <w:t>3</w:t>
                  </w:r>
                </w:p>
              </w:tc>
            </w:tr>
            <w:tr w14:paraId="30A65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2" w:type="pct"/>
                  <w:tcBorders>
                    <w:tl2br w:val="nil"/>
                    <w:tr2bl w:val="nil"/>
                  </w:tcBorders>
                  <w:noWrap w:val="0"/>
                  <w:vAlign w:val="center"/>
                </w:tcPr>
                <w:p w14:paraId="51B81410">
                  <w:pPr>
                    <w:pStyle w:val="126"/>
                    <w:bidi w:val="0"/>
                    <w:rPr>
                      <w:rFonts w:hint="default"/>
                      <w:color w:val="auto"/>
                      <w:lang w:val="en-US" w:eastAsia="zh-CN"/>
                    </w:rPr>
                  </w:pPr>
                  <w:r>
                    <w:rPr>
                      <w:rFonts w:hint="eastAsia"/>
                      <w:color w:val="auto"/>
                      <w:lang w:val="en-US" w:eastAsia="zh-CN"/>
                    </w:rPr>
                    <w:t>土地资源</w:t>
                  </w:r>
                </w:p>
              </w:tc>
              <w:tc>
                <w:tcPr>
                  <w:tcW w:w="879" w:type="pct"/>
                  <w:tcBorders>
                    <w:tl2br w:val="nil"/>
                    <w:tr2bl w:val="nil"/>
                  </w:tcBorders>
                  <w:noWrap w:val="0"/>
                  <w:vAlign w:val="center"/>
                </w:tcPr>
                <w:p w14:paraId="64E6F57D">
                  <w:pPr>
                    <w:pStyle w:val="127"/>
                    <w:bidi w:val="0"/>
                    <w:rPr>
                      <w:rFonts w:hint="default"/>
                      <w:color w:val="auto"/>
                      <w:lang w:val="en-US" w:eastAsia="zh-CN"/>
                    </w:rPr>
                  </w:pPr>
                  <w:r>
                    <w:rPr>
                      <w:rFonts w:hint="eastAsia"/>
                      <w:color w:val="auto"/>
                      <w:lang w:val="en-US" w:eastAsia="zh-CN"/>
                    </w:rPr>
                    <w:t>建设用地控制总量</w:t>
                  </w:r>
                </w:p>
              </w:tc>
              <w:tc>
                <w:tcPr>
                  <w:tcW w:w="3288" w:type="pct"/>
                  <w:gridSpan w:val="2"/>
                  <w:tcBorders>
                    <w:tl2br w:val="nil"/>
                    <w:tr2bl w:val="nil"/>
                  </w:tcBorders>
                  <w:noWrap w:val="0"/>
                  <w:vAlign w:val="center"/>
                </w:tcPr>
                <w:p w14:paraId="52F96EE8">
                  <w:pPr>
                    <w:pStyle w:val="127"/>
                    <w:bidi w:val="0"/>
                    <w:ind w:left="19" w:leftChars="9" w:right="19" w:rightChars="9"/>
                    <w:rPr>
                      <w:rFonts w:hint="default"/>
                      <w:color w:val="auto"/>
                      <w:lang w:val="en-US" w:eastAsia="zh-CN"/>
                    </w:rPr>
                  </w:pPr>
                  <w:r>
                    <w:rPr>
                      <w:rFonts w:hint="eastAsia"/>
                      <w:color w:val="auto"/>
                      <w:lang w:val="en-US" w:eastAsia="zh-CN"/>
                    </w:rPr>
                    <w:t>16600公顷</w:t>
                  </w:r>
                </w:p>
              </w:tc>
            </w:tr>
            <w:tr w14:paraId="34ABC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2" w:type="pct"/>
                  <w:vMerge w:val="restart"/>
                  <w:tcBorders>
                    <w:tl2br w:val="nil"/>
                    <w:tr2bl w:val="nil"/>
                  </w:tcBorders>
                  <w:noWrap w:val="0"/>
                  <w:vAlign w:val="center"/>
                </w:tcPr>
                <w:p w14:paraId="38F4AE44">
                  <w:pPr>
                    <w:pStyle w:val="126"/>
                    <w:bidi w:val="0"/>
                    <w:rPr>
                      <w:rFonts w:hint="default"/>
                      <w:color w:val="auto"/>
                      <w:lang w:val="en-US" w:eastAsia="zh-CN"/>
                    </w:rPr>
                  </w:pPr>
                  <w:r>
                    <w:rPr>
                      <w:rFonts w:hint="eastAsia"/>
                      <w:color w:val="auto"/>
                      <w:lang w:val="en-US" w:eastAsia="zh-CN"/>
                    </w:rPr>
                    <w:t>能源</w:t>
                  </w:r>
                </w:p>
              </w:tc>
              <w:tc>
                <w:tcPr>
                  <w:tcW w:w="879" w:type="pct"/>
                  <w:vMerge w:val="restart"/>
                  <w:tcBorders>
                    <w:tl2br w:val="nil"/>
                    <w:tr2bl w:val="nil"/>
                  </w:tcBorders>
                  <w:noWrap w:val="0"/>
                  <w:vAlign w:val="center"/>
                </w:tcPr>
                <w:p w14:paraId="5D1F9159">
                  <w:pPr>
                    <w:pStyle w:val="127"/>
                    <w:bidi w:val="0"/>
                    <w:rPr>
                      <w:rFonts w:hint="default"/>
                      <w:color w:val="auto"/>
                      <w:lang w:val="en-US" w:eastAsia="zh-CN"/>
                    </w:rPr>
                  </w:pPr>
                  <w:r>
                    <w:rPr>
                      <w:rFonts w:hint="eastAsia"/>
                      <w:color w:val="auto"/>
                      <w:lang w:val="en-US" w:eastAsia="zh-CN"/>
                    </w:rPr>
                    <w:t>能耗强度减低目标</w:t>
                  </w:r>
                </w:p>
              </w:tc>
              <w:tc>
                <w:tcPr>
                  <w:tcW w:w="1692" w:type="pct"/>
                  <w:tcBorders>
                    <w:tl2br w:val="nil"/>
                    <w:tr2bl w:val="nil"/>
                  </w:tcBorders>
                  <w:noWrap w:val="0"/>
                  <w:vAlign w:val="center"/>
                </w:tcPr>
                <w:p w14:paraId="29F11713">
                  <w:pPr>
                    <w:pStyle w:val="127"/>
                    <w:bidi w:val="0"/>
                    <w:ind w:left="19" w:leftChars="9" w:right="19" w:rightChars="9"/>
                    <w:rPr>
                      <w:rFonts w:hint="default"/>
                      <w:color w:val="auto"/>
                      <w:lang w:val="en-US" w:eastAsia="zh-CN"/>
                    </w:rPr>
                  </w:pPr>
                  <w:r>
                    <w:rPr>
                      <w:rFonts w:hint="eastAsia"/>
                      <w:color w:val="auto"/>
                      <w:lang w:val="en-US" w:eastAsia="zh-CN"/>
                    </w:rPr>
                    <w:t>“十三五”能源增量控制目标（万吨标准煤）</w:t>
                  </w:r>
                </w:p>
              </w:tc>
              <w:tc>
                <w:tcPr>
                  <w:tcW w:w="1596" w:type="pct"/>
                  <w:tcBorders>
                    <w:tl2br w:val="nil"/>
                    <w:tr2bl w:val="nil"/>
                  </w:tcBorders>
                  <w:noWrap w:val="0"/>
                  <w:vAlign w:val="center"/>
                </w:tcPr>
                <w:p w14:paraId="2E18B834">
                  <w:pPr>
                    <w:pStyle w:val="127"/>
                    <w:bidi w:val="0"/>
                    <w:ind w:left="19" w:leftChars="9" w:right="19" w:rightChars="9"/>
                    <w:rPr>
                      <w:rFonts w:hint="default"/>
                      <w:color w:val="auto"/>
                      <w:lang w:val="en-US" w:eastAsia="zh-CN"/>
                    </w:rPr>
                  </w:pPr>
                  <w:r>
                    <w:rPr>
                      <w:rFonts w:hint="eastAsia"/>
                      <w:color w:val="auto"/>
                      <w:lang w:val="en-US" w:eastAsia="zh-CN"/>
                    </w:rPr>
                    <w:t>“十三五”能耗强度减低比例（%）</w:t>
                  </w:r>
                </w:p>
              </w:tc>
            </w:tr>
            <w:tr w14:paraId="298E1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2" w:type="pct"/>
                  <w:vMerge w:val="continue"/>
                  <w:tcBorders>
                    <w:tl2br w:val="nil"/>
                    <w:tr2bl w:val="nil"/>
                  </w:tcBorders>
                  <w:noWrap w:val="0"/>
                  <w:vAlign w:val="center"/>
                </w:tcPr>
                <w:p w14:paraId="17AAEB3A">
                  <w:pPr>
                    <w:pStyle w:val="127"/>
                    <w:bidi w:val="0"/>
                    <w:rPr>
                      <w:rFonts w:hint="default"/>
                      <w:color w:val="auto"/>
                      <w:lang w:val="en-US" w:eastAsia="zh-CN"/>
                    </w:rPr>
                  </w:pPr>
                </w:p>
              </w:tc>
              <w:tc>
                <w:tcPr>
                  <w:tcW w:w="879" w:type="pct"/>
                  <w:vMerge w:val="continue"/>
                  <w:tcBorders>
                    <w:tl2br w:val="nil"/>
                    <w:tr2bl w:val="nil"/>
                  </w:tcBorders>
                  <w:noWrap w:val="0"/>
                  <w:vAlign w:val="center"/>
                </w:tcPr>
                <w:p w14:paraId="7100726A">
                  <w:pPr>
                    <w:pStyle w:val="127"/>
                    <w:bidi w:val="0"/>
                    <w:rPr>
                      <w:rFonts w:hint="default"/>
                      <w:color w:val="auto"/>
                      <w:lang w:val="en-US" w:eastAsia="zh-CN"/>
                    </w:rPr>
                  </w:pPr>
                </w:p>
              </w:tc>
              <w:tc>
                <w:tcPr>
                  <w:tcW w:w="1692" w:type="pct"/>
                  <w:tcBorders>
                    <w:tl2br w:val="nil"/>
                    <w:tr2bl w:val="nil"/>
                  </w:tcBorders>
                  <w:noWrap w:val="0"/>
                  <w:vAlign w:val="center"/>
                </w:tcPr>
                <w:p w14:paraId="0682DDD7">
                  <w:pPr>
                    <w:pStyle w:val="127"/>
                    <w:bidi w:val="0"/>
                    <w:ind w:left="19" w:leftChars="9" w:right="19" w:rightChars="9"/>
                    <w:rPr>
                      <w:rFonts w:hint="default"/>
                      <w:color w:val="auto"/>
                      <w:lang w:val="en-US" w:eastAsia="zh-CN"/>
                    </w:rPr>
                  </w:pPr>
                  <w:r>
                    <w:rPr>
                      <w:rFonts w:hint="eastAsia"/>
                      <w:color w:val="auto"/>
                      <w:lang w:val="en-US" w:eastAsia="zh-CN"/>
                    </w:rPr>
                    <w:t>39.81</w:t>
                  </w:r>
                </w:p>
              </w:tc>
              <w:tc>
                <w:tcPr>
                  <w:tcW w:w="1596" w:type="pct"/>
                  <w:tcBorders>
                    <w:tl2br w:val="nil"/>
                    <w:tr2bl w:val="nil"/>
                  </w:tcBorders>
                  <w:noWrap w:val="0"/>
                  <w:vAlign w:val="center"/>
                </w:tcPr>
                <w:p w14:paraId="64B8DA45">
                  <w:pPr>
                    <w:pStyle w:val="127"/>
                    <w:bidi w:val="0"/>
                    <w:ind w:left="19" w:leftChars="9" w:right="19" w:rightChars="9"/>
                    <w:rPr>
                      <w:rFonts w:hint="default"/>
                      <w:color w:val="auto"/>
                      <w:lang w:val="en-US" w:eastAsia="zh-CN"/>
                    </w:rPr>
                  </w:pPr>
                  <w:r>
                    <w:rPr>
                      <w:rFonts w:hint="eastAsia"/>
                      <w:color w:val="auto"/>
                      <w:lang w:val="en-US" w:eastAsia="zh-CN"/>
                    </w:rPr>
                    <w:t>6.35</w:t>
                  </w:r>
                </w:p>
              </w:tc>
            </w:tr>
          </w:tbl>
          <w:p w14:paraId="0C887DEE">
            <w:pPr>
              <w:pStyle w:val="124"/>
              <w:bidi w:val="0"/>
              <w:rPr>
                <w:rFonts w:hint="default"/>
                <w:color w:val="auto"/>
                <w:lang w:val="en-US" w:eastAsia="zh-CN"/>
              </w:rPr>
            </w:pPr>
            <w:r>
              <w:rPr>
                <w:rFonts w:hint="default" w:ascii="Times New Roman" w:hAnsi="Times New Roman" w:cs="Times New Roman"/>
                <w:color w:val="auto"/>
                <w:kern w:val="0"/>
                <w:sz w:val="24"/>
                <w:szCs w:val="21"/>
                <w:highlight w:val="none"/>
                <w:lang w:val="en-US" w:eastAsia="zh-CN"/>
              </w:rPr>
              <w:t>本项目位于</w:t>
            </w:r>
            <w:r>
              <w:rPr>
                <w:rFonts w:hint="default" w:ascii="Times New Roman" w:hAnsi="Times New Roman" w:eastAsia="宋体" w:cs="Times New Roman"/>
                <w:color w:val="000000"/>
                <w:kern w:val="0"/>
                <w:sz w:val="24"/>
                <w:szCs w:val="24"/>
                <w:lang w:val="en-US" w:eastAsia="zh-CN" w:bidi="ar"/>
              </w:rPr>
              <w:t>江西省赣州市宁都县工业园区易富北路北侧宁都大道东侧</w:t>
            </w:r>
            <w:r>
              <w:rPr>
                <w:rFonts w:hint="eastAsia" w:ascii="Times New Roman" w:hAnsi="Times New Roman" w:eastAsia="宋体" w:cs="Times New Roman"/>
                <w:color w:val="auto"/>
                <w:kern w:val="0"/>
                <w:sz w:val="24"/>
                <w:szCs w:val="21"/>
                <w:highlight w:val="none"/>
                <w:lang w:val="en-US" w:eastAsia="zh-CN"/>
              </w:rPr>
              <w:t>，</w:t>
            </w:r>
            <w:r>
              <w:rPr>
                <w:rFonts w:hint="default" w:ascii="Times New Roman" w:hAnsi="Times New Roman" w:eastAsia="宋体" w:cs="Times New Roman"/>
                <w:color w:val="auto"/>
                <w:kern w:val="0"/>
                <w:sz w:val="24"/>
                <w:szCs w:val="21"/>
                <w:highlight w:val="none"/>
                <w:lang w:val="en-US" w:eastAsia="zh-CN"/>
              </w:rPr>
              <w:t>项目用地类型为</w:t>
            </w:r>
            <w:r>
              <w:rPr>
                <w:rFonts w:hint="eastAsia" w:cs="Times New Roman"/>
                <w:color w:val="auto"/>
                <w:kern w:val="0"/>
                <w:sz w:val="24"/>
                <w:szCs w:val="21"/>
                <w:highlight w:val="none"/>
                <w:lang w:val="en-US" w:eastAsia="zh-CN"/>
              </w:rPr>
              <w:t>工业</w:t>
            </w:r>
            <w:r>
              <w:rPr>
                <w:rFonts w:hint="default" w:ascii="Times New Roman" w:hAnsi="Times New Roman" w:eastAsia="宋体" w:cs="Times New Roman"/>
                <w:color w:val="auto"/>
                <w:kern w:val="0"/>
                <w:sz w:val="24"/>
                <w:szCs w:val="21"/>
                <w:highlight w:val="none"/>
                <w:lang w:val="en-US" w:eastAsia="zh-CN"/>
              </w:rPr>
              <w:t>用地</w:t>
            </w:r>
            <w:r>
              <w:rPr>
                <w:rFonts w:hint="eastAsia" w:ascii="Times New Roman" w:hAnsi="Times New Roman" w:eastAsia="宋体" w:cs="Times New Roman"/>
                <w:color w:val="auto"/>
                <w:kern w:val="0"/>
                <w:sz w:val="24"/>
                <w:szCs w:val="21"/>
                <w:highlight w:val="none"/>
                <w:lang w:val="en-US" w:eastAsia="zh-CN"/>
              </w:rPr>
              <w:t>。</w:t>
            </w:r>
            <w:r>
              <w:rPr>
                <w:rFonts w:hint="default" w:ascii="Times New Roman" w:hAnsi="Times New Roman" w:eastAsia="宋体" w:cs="Times New Roman"/>
                <w:color w:val="auto"/>
                <w:sz w:val="24"/>
                <w:szCs w:val="32"/>
                <w:highlight w:val="none"/>
                <w:lang w:val="en-US" w:eastAsia="zh-CN"/>
              </w:rPr>
              <w:t>项目运营过程中消耗的资源能源主要是水、电，</w:t>
            </w:r>
            <w:r>
              <w:rPr>
                <w:rFonts w:ascii="Times New Roman" w:hAnsi="Times New Roman" w:eastAsia="宋体" w:cs="Times New Roman"/>
                <w:color w:val="auto"/>
                <w:sz w:val="24"/>
                <w:szCs w:val="32"/>
                <w:highlight w:val="none"/>
              </w:rPr>
              <w:t>用水</w:t>
            </w:r>
            <w:r>
              <w:rPr>
                <w:rFonts w:hint="eastAsia" w:ascii="Times New Roman" w:hAnsi="Times New Roman" w:eastAsia="宋体" w:cs="Times New Roman"/>
                <w:color w:val="auto"/>
                <w:sz w:val="24"/>
                <w:szCs w:val="32"/>
                <w:highlight w:val="none"/>
              </w:rPr>
              <w:t>为自来水</w:t>
            </w:r>
            <w:r>
              <w:rPr>
                <w:rFonts w:ascii="Times New Roman" w:hAnsi="Times New Roman" w:eastAsia="宋体" w:cs="Times New Roman"/>
                <w:color w:val="auto"/>
                <w:sz w:val="24"/>
                <w:szCs w:val="32"/>
                <w:highlight w:val="none"/>
              </w:rPr>
              <w:t>供水管网，用电来自</w:t>
            </w:r>
            <w:r>
              <w:rPr>
                <w:rFonts w:hint="eastAsia" w:ascii="Times New Roman" w:hAnsi="Times New Roman" w:eastAsia="宋体" w:cs="Times New Roman"/>
                <w:color w:val="auto"/>
                <w:sz w:val="24"/>
                <w:szCs w:val="32"/>
                <w:highlight w:val="none"/>
              </w:rPr>
              <w:t>当地电网供</w:t>
            </w:r>
            <w:r>
              <w:rPr>
                <w:rFonts w:ascii="Times New Roman" w:hAnsi="Times New Roman" w:eastAsia="宋体" w:cs="Times New Roman"/>
                <w:color w:val="auto"/>
                <w:sz w:val="24"/>
                <w:szCs w:val="32"/>
                <w:highlight w:val="none"/>
              </w:rPr>
              <w:t>电系统，</w:t>
            </w:r>
            <w:r>
              <w:rPr>
                <w:rFonts w:hint="default" w:ascii="Times New Roman" w:hAnsi="Times New Roman" w:eastAsia="宋体" w:cs="Times New Roman"/>
                <w:color w:val="auto"/>
                <w:sz w:val="24"/>
                <w:szCs w:val="32"/>
                <w:highlight w:val="none"/>
                <w:lang w:val="en-US" w:eastAsia="zh-CN"/>
              </w:rPr>
              <w:t>电能属于清洁能源，水、电相对区域资源利用总量占比较小</w:t>
            </w:r>
            <w:r>
              <w:rPr>
                <w:rFonts w:hint="eastAsia" w:ascii="Times New Roman" w:hAnsi="Times New Roman" w:eastAsia="宋体" w:cs="Times New Roman"/>
                <w:color w:val="auto"/>
                <w:sz w:val="24"/>
                <w:szCs w:val="32"/>
                <w:highlight w:val="none"/>
                <w:lang w:val="en-US" w:eastAsia="zh-CN"/>
              </w:rPr>
              <w:t>，</w:t>
            </w:r>
            <w:r>
              <w:rPr>
                <w:rFonts w:hint="default"/>
                <w:color w:val="auto"/>
                <w:lang w:val="en-US" w:eastAsia="zh-CN"/>
              </w:rPr>
              <w:t>对当地资源利用影响小，可以满足资源利用要求。</w:t>
            </w:r>
          </w:p>
          <w:p w14:paraId="5284CAA3">
            <w:pPr>
              <w:pStyle w:val="124"/>
              <w:bidi w:val="0"/>
              <w:rPr>
                <w:rFonts w:hint="default"/>
                <w:color w:val="auto"/>
                <w:lang w:val="en-US" w:eastAsia="zh-CN"/>
              </w:rPr>
            </w:pPr>
            <w:r>
              <w:rPr>
                <w:rFonts w:hint="default"/>
                <w:color w:val="auto"/>
                <w:lang w:val="en-US" w:eastAsia="zh-CN"/>
              </w:rPr>
              <w:t>本项目建成运行后通过内部管理、设备选择、原辅材料的选用和管理、废物回收利用、污染治理等多方面采取可行的防治措施，以</w:t>
            </w:r>
            <w:r>
              <w:rPr>
                <w:rFonts w:hint="eastAsia"/>
                <w:color w:val="auto"/>
                <w:lang w:val="en-US" w:eastAsia="zh-CN"/>
              </w:rPr>
              <w:t>“</w:t>
            </w:r>
            <w:r>
              <w:rPr>
                <w:rFonts w:hint="default"/>
                <w:color w:val="auto"/>
                <w:lang w:val="en-US" w:eastAsia="zh-CN"/>
              </w:rPr>
              <w:t>节能、降耗、减污</w:t>
            </w:r>
            <w:r>
              <w:rPr>
                <w:rFonts w:hint="eastAsia"/>
                <w:color w:val="auto"/>
                <w:lang w:val="en-US" w:eastAsia="zh-CN"/>
              </w:rPr>
              <w:t>”</w:t>
            </w:r>
            <w:r>
              <w:rPr>
                <w:rFonts w:hint="default"/>
                <w:color w:val="auto"/>
                <w:lang w:val="en-US" w:eastAsia="zh-CN"/>
              </w:rPr>
              <w:t>为目标，</w:t>
            </w:r>
            <w:r>
              <w:rPr>
                <w:rFonts w:hint="eastAsia"/>
                <w:color w:val="auto"/>
                <w:lang w:val="en-US" w:eastAsia="zh-CN"/>
              </w:rPr>
              <w:t>有效</w:t>
            </w:r>
            <w:r>
              <w:rPr>
                <w:rFonts w:hint="default"/>
                <w:color w:val="auto"/>
                <w:lang w:val="en-US" w:eastAsia="zh-CN"/>
              </w:rPr>
              <w:t>地控制污染，项目的水、电等资源不会突破区域的资源利用上线</w:t>
            </w:r>
            <w:r>
              <w:rPr>
                <w:rFonts w:hint="eastAsia"/>
                <w:color w:val="auto"/>
                <w:lang w:val="en-US" w:eastAsia="zh-CN"/>
              </w:rPr>
              <w:t>。</w:t>
            </w:r>
          </w:p>
          <w:p w14:paraId="4B5D1DBF">
            <w:pPr>
              <w:pStyle w:val="124"/>
              <w:bidi w:val="0"/>
              <w:rPr>
                <w:rFonts w:hint="default"/>
                <w:b/>
                <w:bCs/>
                <w:color w:val="auto"/>
                <w:lang w:val="en-US" w:eastAsia="zh-CN"/>
              </w:rPr>
            </w:pPr>
            <w:r>
              <w:rPr>
                <w:rFonts w:hint="eastAsia"/>
                <w:b/>
                <w:bCs/>
                <w:color w:val="auto"/>
                <w:lang w:val="en-US" w:eastAsia="zh-CN"/>
              </w:rPr>
              <w:t>4、环境准入清单</w:t>
            </w:r>
          </w:p>
          <w:p w14:paraId="3ADF6411">
            <w:pPr>
              <w:pStyle w:val="124"/>
              <w:bidi w:val="0"/>
              <w:rPr>
                <w:rFonts w:hint="eastAsia"/>
                <w:color w:val="auto"/>
                <w:lang w:val="en-US" w:eastAsia="zh-CN"/>
              </w:rPr>
            </w:pPr>
            <w:r>
              <w:rPr>
                <w:rFonts w:hint="eastAsia"/>
                <w:color w:val="auto"/>
                <w:lang w:val="en-US" w:eastAsia="zh-CN"/>
              </w:rPr>
              <w:t>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14:paraId="42E94426">
            <w:pPr>
              <w:pStyle w:val="124"/>
              <w:bidi w:val="0"/>
              <w:rPr>
                <w:rFonts w:hint="eastAsia"/>
                <w:color w:val="auto"/>
                <w:lang w:val="en-US" w:eastAsia="zh-CN"/>
              </w:rPr>
            </w:pPr>
            <w:r>
              <w:rPr>
                <w:rFonts w:hint="eastAsia"/>
                <w:color w:val="auto"/>
                <w:lang w:val="en-US" w:eastAsia="zh-CN"/>
              </w:rPr>
              <w:t>本项目为</w:t>
            </w:r>
            <w:r>
              <w:rPr>
                <w:rFonts w:hint="default" w:ascii="Times New Roman" w:hAnsi="Times New Roman" w:cs="Times New Roman"/>
                <w:color w:val="auto"/>
                <w:kern w:val="2"/>
                <w:sz w:val="24"/>
                <w:szCs w:val="24"/>
                <w:highlight w:val="none"/>
                <w:lang w:val="en-US" w:eastAsia="zh-CN" w:bidi="ar-SA"/>
              </w:rPr>
              <w:t>C1439 其他方便食品制造</w:t>
            </w:r>
            <w:r>
              <w:rPr>
                <w:rFonts w:hint="eastAsia"/>
                <w:color w:val="auto"/>
                <w:lang w:val="en-US" w:eastAsia="zh-CN"/>
              </w:rPr>
              <w:t>，</w:t>
            </w:r>
            <w:r>
              <w:rPr>
                <w:rFonts w:hint="default" w:ascii="Times New Roman" w:hAnsi="Times New Roman" w:cs="Times New Roman"/>
                <w:color w:val="auto"/>
                <w:lang w:val="en-US" w:eastAsia="zh-CN"/>
              </w:rPr>
              <w:t>选址位于</w:t>
            </w:r>
            <w:r>
              <w:rPr>
                <w:rFonts w:hint="default" w:ascii="Times New Roman" w:hAnsi="Times New Roman" w:eastAsia="宋体" w:cs="Times New Roman"/>
                <w:color w:val="000000"/>
                <w:kern w:val="0"/>
                <w:sz w:val="24"/>
                <w:szCs w:val="24"/>
                <w:lang w:val="en-US" w:eastAsia="zh-CN" w:bidi="ar"/>
              </w:rPr>
              <w:t>江西省赣州市宁都县工业园区易富北路北侧宁都大道东侧</w:t>
            </w:r>
            <w:r>
              <w:rPr>
                <w:rFonts w:hint="eastAsia" w:ascii="Times New Roman" w:hAnsi="Times New Roman" w:eastAsia="宋体" w:cs="Times New Roman"/>
                <w:color w:val="auto"/>
                <w:sz w:val="24"/>
                <w:szCs w:val="24"/>
                <w:lang w:val="en-US" w:eastAsia="zh-CN"/>
              </w:rPr>
              <w:t>。</w:t>
            </w:r>
            <w:r>
              <w:rPr>
                <w:rFonts w:hint="eastAsia"/>
                <w:color w:val="auto"/>
                <w:lang w:val="en-US" w:eastAsia="zh-CN"/>
              </w:rPr>
              <w:t>根据江西省发展和改革委员会文件《江西省发展改革委关于印发江西省第一批重点生态功能区产业准入负面清单》（赣发改规划[2017]448号），本项目不属于重点生态功能区产业准入负面清单中的限制类和禁止项目。</w:t>
            </w:r>
          </w:p>
          <w:p w14:paraId="255CC853">
            <w:pPr>
              <w:pStyle w:val="124"/>
              <w:bidi w:val="0"/>
              <w:rPr>
                <w:rFonts w:hint="eastAsia"/>
                <w:color w:val="auto"/>
                <w:lang w:val="en-US" w:eastAsia="zh-CN"/>
              </w:rPr>
            </w:pPr>
            <w:r>
              <w:rPr>
                <w:rFonts w:hint="eastAsia"/>
                <w:color w:val="auto"/>
                <w:lang w:val="en-US" w:eastAsia="zh-CN"/>
              </w:rPr>
              <w:t>根据《赣州市生态环境总体准入要求》2023年动态更新成果，本项目与赣州市生态环境总体准入要求符合性见表1-5。</w:t>
            </w:r>
          </w:p>
          <w:p w14:paraId="464272BB">
            <w:pPr>
              <w:pStyle w:val="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olor w:val="auto"/>
                <w:lang w:val="en-US" w:eastAsia="zh-CN"/>
              </w:rPr>
            </w:pPr>
            <w:r>
              <w:rPr>
                <w:rFonts w:hint="default" w:ascii="Times New Roman" w:hAnsi="Times New Roman" w:eastAsia="宋体" w:cs="Times New Roman"/>
                <w:b/>
                <w:bCs/>
                <w:color w:val="auto"/>
                <w:kern w:val="2"/>
                <w:sz w:val="21"/>
                <w:szCs w:val="21"/>
                <w:highlight w:val="none"/>
                <w:lang w:val="en-US" w:eastAsia="zh-CN" w:bidi="ar-SA"/>
              </w:rPr>
              <w:t>表1-</w:t>
            </w:r>
            <w:r>
              <w:rPr>
                <w:rFonts w:hint="eastAsia" w:cs="Times New Roman"/>
                <w:b/>
                <w:bCs/>
                <w:color w:val="auto"/>
                <w:kern w:val="2"/>
                <w:sz w:val="21"/>
                <w:szCs w:val="21"/>
                <w:highlight w:val="none"/>
                <w:lang w:val="en-US" w:eastAsia="zh-CN" w:bidi="ar-SA"/>
              </w:rPr>
              <w:t>5</w:t>
            </w:r>
            <w:r>
              <w:rPr>
                <w:rFonts w:hint="eastAsia" w:ascii="Times New Roman" w:hAnsi="Times New Roman" w:eastAsia="宋体"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项目与《赣州市生态环境总体准入要求》符合性分析</w:t>
            </w:r>
          </w:p>
          <w:tbl>
            <w:tblPr>
              <w:tblStyle w:val="3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5"/>
              <w:gridCol w:w="828"/>
              <w:gridCol w:w="472"/>
              <w:gridCol w:w="3450"/>
              <w:gridCol w:w="2366"/>
              <w:gridCol w:w="649"/>
            </w:tblGrid>
            <w:tr w14:paraId="24807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tcBorders>
                    <w:tl2br w:val="nil"/>
                    <w:tr2bl w:val="nil"/>
                  </w:tcBorders>
                  <w:noWrap w:val="0"/>
                  <w:tcMar>
                    <w:top w:w="0" w:type="dxa"/>
                    <w:left w:w="108" w:type="dxa"/>
                    <w:bottom w:w="0" w:type="dxa"/>
                    <w:right w:w="108" w:type="dxa"/>
                  </w:tcMar>
                  <w:vAlign w:val="center"/>
                </w:tcPr>
                <w:p w14:paraId="538E0784">
                  <w:pPr>
                    <w:pStyle w:val="126"/>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维度</w:t>
                  </w:r>
                </w:p>
              </w:tc>
              <w:tc>
                <w:tcPr>
                  <w:tcW w:w="505" w:type="pct"/>
                  <w:tcBorders>
                    <w:tl2br w:val="nil"/>
                    <w:tr2bl w:val="nil"/>
                  </w:tcBorders>
                  <w:noWrap w:val="0"/>
                  <w:tcMar>
                    <w:top w:w="0" w:type="dxa"/>
                    <w:left w:w="108" w:type="dxa"/>
                    <w:bottom w:w="0" w:type="dxa"/>
                    <w:right w:w="108" w:type="dxa"/>
                  </w:tcMar>
                  <w:vAlign w:val="center"/>
                </w:tcPr>
                <w:p w14:paraId="3C1897AD">
                  <w:pPr>
                    <w:pStyle w:val="126"/>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清单编制要求</w:t>
                  </w:r>
                </w:p>
              </w:tc>
              <w:tc>
                <w:tcPr>
                  <w:tcW w:w="288" w:type="pct"/>
                  <w:tcBorders>
                    <w:tl2br w:val="nil"/>
                    <w:tr2bl w:val="nil"/>
                  </w:tcBorders>
                  <w:noWrap w:val="0"/>
                  <w:tcMar>
                    <w:top w:w="0" w:type="dxa"/>
                    <w:left w:w="108" w:type="dxa"/>
                    <w:bottom w:w="0" w:type="dxa"/>
                    <w:right w:w="108" w:type="dxa"/>
                  </w:tcMar>
                  <w:vAlign w:val="center"/>
                </w:tcPr>
                <w:p w14:paraId="0C358A61">
                  <w:pPr>
                    <w:pStyle w:val="126"/>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序号</w:t>
                  </w:r>
                </w:p>
              </w:tc>
              <w:tc>
                <w:tcPr>
                  <w:tcW w:w="2106" w:type="pct"/>
                  <w:tcBorders>
                    <w:tl2br w:val="nil"/>
                    <w:tr2bl w:val="nil"/>
                  </w:tcBorders>
                  <w:noWrap w:val="0"/>
                  <w:tcMar>
                    <w:top w:w="0" w:type="dxa"/>
                    <w:left w:w="108" w:type="dxa"/>
                    <w:bottom w:w="0" w:type="dxa"/>
                    <w:right w:w="108" w:type="dxa"/>
                  </w:tcMar>
                  <w:vAlign w:val="center"/>
                </w:tcPr>
                <w:p w14:paraId="65841C4C">
                  <w:pPr>
                    <w:pStyle w:val="126"/>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准入要求</w:t>
                  </w:r>
                </w:p>
              </w:tc>
              <w:tc>
                <w:tcPr>
                  <w:tcW w:w="1444" w:type="pct"/>
                  <w:tcBorders>
                    <w:tl2br w:val="nil"/>
                    <w:tr2bl w:val="nil"/>
                  </w:tcBorders>
                  <w:noWrap w:val="0"/>
                  <w:vAlign w:val="center"/>
                </w:tcPr>
                <w:p w14:paraId="6F48ADB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default" w:ascii="Times New Roman" w:hAnsi="Times New Roman" w:eastAsia="宋体" w:cs="Times New Roman"/>
                      <w:b/>
                      <w:bCs/>
                      <w:color w:val="auto"/>
                      <w:sz w:val="21"/>
                      <w:szCs w:val="21"/>
                      <w:highlight w:val="none"/>
                      <w:vertAlign w:val="baseline"/>
                      <w:lang w:eastAsia="zh-CN"/>
                    </w:rPr>
                    <w:t>相符性分析</w:t>
                  </w:r>
                </w:p>
              </w:tc>
              <w:tc>
                <w:tcPr>
                  <w:tcW w:w="396" w:type="pct"/>
                  <w:tcBorders>
                    <w:tl2br w:val="nil"/>
                    <w:tr2bl w:val="nil"/>
                  </w:tcBorders>
                  <w:noWrap w:val="0"/>
                  <w:vAlign w:val="center"/>
                </w:tcPr>
                <w:p w14:paraId="7CFDAA4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eastAsia" w:ascii="Times New Roman" w:hAnsi="Times New Roman" w:eastAsia="宋体" w:cs="Times New Roman"/>
                      <w:b/>
                      <w:bCs/>
                      <w:color w:val="auto"/>
                      <w:sz w:val="21"/>
                      <w:szCs w:val="21"/>
                      <w:highlight w:val="none"/>
                      <w:vertAlign w:val="baseline"/>
                      <w:lang w:eastAsia="zh-CN"/>
                    </w:rPr>
                    <w:t>是否符合</w:t>
                  </w:r>
                </w:p>
              </w:tc>
            </w:tr>
            <w:tr w14:paraId="628EA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restart"/>
                  <w:tcBorders>
                    <w:tl2br w:val="nil"/>
                    <w:tr2bl w:val="nil"/>
                  </w:tcBorders>
                  <w:noWrap w:val="0"/>
                  <w:tcMar>
                    <w:top w:w="0" w:type="dxa"/>
                    <w:left w:w="108" w:type="dxa"/>
                    <w:bottom w:w="0" w:type="dxa"/>
                    <w:right w:w="108" w:type="dxa"/>
                  </w:tcMar>
                  <w:vAlign w:val="center"/>
                </w:tcPr>
                <w:p w14:paraId="707E3279">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空间布局约束</w:t>
                  </w:r>
                </w:p>
              </w:tc>
              <w:tc>
                <w:tcPr>
                  <w:tcW w:w="505" w:type="pct"/>
                  <w:vMerge w:val="restart"/>
                  <w:tcBorders>
                    <w:tl2br w:val="nil"/>
                    <w:tr2bl w:val="nil"/>
                  </w:tcBorders>
                  <w:noWrap w:val="0"/>
                  <w:tcMar>
                    <w:top w:w="0" w:type="dxa"/>
                    <w:left w:w="108" w:type="dxa"/>
                    <w:bottom w:w="0" w:type="dxa"/>
                    <w:right w:w="108" w:type="dxa"/>
                  </w:tcMar>
                  <w:vAlign w:val="center"/>
                </w:tcPr>
                <w:p w14:paraId="0DC8370B">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禁止开发建设活动的要求</w:t>
                  </w:r>
                </w:p>
              </w:tc>
              <w:tc>
                <w:tcPr>
                  <w:tcW w:w="288" w:type="pct"/>
                  <w:vMerge w:val="restart"/>
                  <w:tcBorders>
                    <w:tl2br w:val="nil"/>
                    <w:tr2bl w:val="nil"/>
                  </w:tcBorders>
                  <w:noWrap w:val="0"/>
                  <w:tcMar>
                    <w:top w:w="0" w:type="dxa"/>
                    <w:left w:w="108" w:type="dxa"/>
                    <w:bottom w:w="0" w:type="dxa"/>
                    <w:right w:w="108" w:type="dxa"/>
                  </w:tcMar>
                  <w:vAlign w:val="center"/>
                </w:tcPr>
                <w:p w14:paraId="31750019">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2106" w:type="pct"/>
                  <w:tcBorders>
                    <w:tl2br w:val="nil"/>
                    <w:tr2bl w:val="nil"/>
                  </w:tcBorders>
                  <w:noWrap w:val="0"/>
                  <w:tcMar>
                    <w:top w:w="0" w:type="dxa"/>
                    <w:left w:w="108" w:type="dxa"/>
                    <w:bottom w:w="0" w:type="dxa"/>
                    <w:right w:w="108" w:type="dxa"/>
                  </w:tcMar>
                  <w:vAlign w:val="center"/>
                </w:tcPr>
                <w:p w14:paraId="0616A84F">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1、禁止新建、改扩建《产业结构调整指导目录》规定的淘汰类产业。</w:t>
                  </w:r>
                </w:p>
              </w:tc>
              <w:tc>
                <w:tcPr>
                  <w:tcW w:w="1444" w:type="pct"/>
                  <w:tcBorders>
                    <w:tl2br w:val="nil"/>
                    <w:tr2bl w:val="nil"/>
                  </w:tcBorders>
                  <w:noWrap w:val="0"/>
                  <w:vAlign w:val="center"/>
                </w:tcPr>
                <w:p w14:paraId="7493A031">
                  <w:pPr>
                    <w:pStyle w:val="127"/>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根据《产业结构调整指导名录（20</w:t>
                  </w:r>
                  <w:r>
                    <w:rPr>
                      <w:rFonts w:hint="eastAsia" w:cs="Times New Roman"/>
                      <w:color w:val="auto"/>
                      <w:lang w:val="en-US" w:eastAsia="zh-CN"/>
                    </w:rPr>
                    <w:t>24</w:t>
                  </w:r>
                  <w:r>
                    <w:rPr>
                      <w:rFonts w:hint="default" w:ascii="Times New Roman" w:hAnsi="Times New Roman" w:cs="Times New Roman"/>
                      <w:color w:val="auto"/>
                    </w:rPr>
                    <w:t>年本）》，本项目</w:t>
                  </w:r>
                  <w:r>
                    <w:rPr>
                      <w:rFonts w:hint="eastAsia" w:cs="Times New Roman"/>
                      <w:color w:val="auto"/>
                      <w:lang w:val="en-US" w:eastAsia="zh-CN"/>
                    </w:rPr>
                    <w:t>属于鼓励类</w:t>
                  </w:r>
                </w:p>
              </w:tc>
              <w:tc>
                <w:tcPr>
                  <w:tcW w:w="396" w:type="pct"/>
                  <w:tcBorders>
                    <w:tl2br w:val="nil"/>
                    <w:tr2bl w:val="nil"/>
                  </w:tcBorders>
                  <w:noWrap w:val="0"/>
                  <w:vAlign w:val="center"/>
                </w:tcPr>
                <w:p w14:paraId="0BE2986E">
                  <w:pPr>
                    <w:pStyle w:val="127"/>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符合</w:t>
                  </w:r>
                </w:p>
              </w:tc>
            </w:tr>
            <w:tr w14:paraId="49F41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0DA8EB3F">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10F718BD">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7311B623">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522FAD40">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2、大余县、上犹县、崇义县、龙南市、全南县、定南县、安远县和寻乌县禁止新建、改扩建江西省国家重点生态功能区产业准入负面清单（第一批）中禁止类项目；石城县禁止新建、改扩建江西省国家重点生态功能区产业准入负面清单（第二批）中禁止类项目。</w:t>
                  </w:r>
                </w:p>
              </w:tc>
              <w:tc>
                <w:tcPr>
                  <w:tcW w:w="1444" w:type="pct"/>
                  <w:tcBorders>
                    <w:tl2br w:val="nil"/>
                    <w:tr2bl w:val="nil"/>
                  </w:tcBorders>
                  <w:noWrap w:val="0"/>
                  <w:vAlign w:val="center"/>
                </w:tcPr>
                <w:p w14:paraId="2B213CD2">
                  <w:pPr>
                    <w:pStyle w:val="127"/>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lang w:val="en-US"/>
                    </w:rPr>
                  </w:pPr>
                  <w:r>
                    <w:rPr>
                      <w:rFonts w:hint="eastAsia" w:ascii="Times New Roman" w:hAnsi="Times New Roman" w:eastAsia="宋体" w:cs="Times New Roman"/>
                      <w:color w:val="auto"/>
                      <w:sz w:val="21"/>
                      <w:szCs w:val="21"/>
                      <w:highlight w:val="none"/>
                      <w:vertAlign w:val="baseline"/>
                      <w:lang w:val="en-US" w:eastAsia="zh-CN"/>
                    </w:rPr>
                    <w:t>本项目</w:t>
                  </w:r>
                  <w:r>
                    <w:rPr>
                      <w:rFonts w:hint="eastAsia" w:cs="Times New Roman"/>
                      <w:color w:val="auto"/>
                      <w:sz w:val="21"/>
                      <w:szCs w:val="21"/>
                      <w:highlight w:val="none"/>
                      <w:vertAlign w:val="baseline"/>
                      <w:lang w:val="en-US" w:eastAsia="zh-CN"/>
                    </w:rPr>
                    <w:t>位于宁都县，</w:t>
                  </w:r>
                  <w:r>
                    <w:rPr>
                      <w:rFonts w:hint="eastAsia" w:ascii="Times New Roman" w:hAnsi="Times New Roman" w:eastAsia="宋体" w:cs="Times New Roman"/>
                      <w:color w:val="auto"/>
                      <w:sz w:val="21"/>
                      <w:szCs w:val="21"/>
                      <w:highlight w:val="none"/>
                      <w:vertAlign w:val="baseline"/>
                      <w:lang w:val="en-US" w:eastAsia="zh-CN"/>
                    </w:rPr>
                    <w:t>不属于江西省国家重点生态功能区产业准入负面清单（第一批）和（第二批）中的禁止类项目</w:t>
                  </w:r>
                </w:p>
              </w:tc>
              <w:tc>
                <w:tcPr>
                  <w:tcW w:w="396" w:type="pct"/>
                  <w:tcBorders>
                    <w:tl2br w:val="nil"/>
                    <w:tr2bl w:val="nil"/>
                  </w:tcBorders>
                  <w:noWrap w:val="0"/>
                  <w:vAlign w:val="center"/>
                </w:tcPr>
                <w:p w14:paraId="7D2F948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符合</w:t>
                  </w:r>
                </w:p>
              </w:tc>
            </w:tr>
            <w:tr w14:paraId="2B87C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2F2C9A02">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002F870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09BC9079">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179503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禁止在长江干支流、重要湖泊岸线一公里范围内新建、扩建化工园区和化工项目。东江（定南水）源、东江（寻乌水）源、赣江（章江）源、赣江（贡江）源源头保护区内禁止新建污染企业等不符合源头保护区生态功能定位的活动。</w:t>
                  </w:r>
                </w:p>
              </w:tc>
              <w:tc>
                <w:tcPr>
                  <w:tcW w:w="1444" w:type="pct"/>
                  <w:tcBorders>
                    <w:tl2br w:val="nil"/>
                    <w:tr2bl w:val="nil"/>
                  </w:tcBorders>
                  <w:noWrap w:val="0"/>
                  <w:vAlign w:val="center"/>
                </w:tcPr>
                <w:p w14:paraId="14B8F64E">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eastAsia="宋体" w:cs="Times New Roman"/>
                      <w:color w:val="auto"/>
                      <w:sz w:val="21"/>
                      <w:szCs w:val="21"/>
                      <w:highlight w:val="none"/>
                      <w:vertAlign w:val="baseline"/>
                      <w:lang w:val="en-US" w:eastAsia="zh-CN"/>
                    </w:rPr>
                    <w:t>本项目不位于水源源头保护区</w:t>
                  </w:r>
                </w:p>
              </w:tc>
              <w:tc>
                <w:tcPr>
                  <w:tcW w:w="396" w:type="pct"/>
                  <w:tcBorders>
                    <w:tl2br w:val="nil"/>
                    <w:tr2bl w:val="nil"/>
                  </w:tcBorders>
                  <w:noWrap w:val="0"/>
                  <w:vAlign w:val="center"/>
                </w:tcPr>
                <w:p w14:paraId="09C1D32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2309B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507A19B6">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4D11BA4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1C54AD73">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5D13A5CD">
                  <w:pPr>
                    <w:pStyle w:val="127"/>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rPr>
                  </w:pPr>
                  <w:r>
                    <w:rPr>
                      <w:rFonts w:hint="default" w:ascii="Times New Roman" w:hAnsi="Times New Roman" w:cs="Times New Roman"/>
                      <w:color w:val="auto"/>
                    </w:rPr>
                    <w:t>4、不得引进产业规划禁止类项目进入园区。</w:t>
                  </w:r>
                </w:p>
              </w:tc>
              <w:tc>
                <w:tcPr>
                  <w:tcW w:w="1444" w:type="pct"/>
                  <w:tcBorders>
                    <w:tl2br w:val="nil"/>
                    <w:tr2bl w:val="nil"/>
                  </w:tcBorders>
                  <w:noWrap w:val="0"/>
                  <w:vAlign w:val="center"/>
                </w:tcPr>
                <w:p w14:paraId="7C23FD96">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本项目不属于</w:t>
                  </w:r>
                  <w:r>
                    <w:rPr>
                      <w:rFonts w:hint="eastAsia" w:cs="Times New Roman"/>
                      <w:color w:val="auto"/>
                      <w:sz w:val="21"/>
                      <w:szCs w:val="21"/>
                      <w:highlight w:val="none"/>
                      <w:shd w:val="clear" w:color="auto" w:fill="auto"/>
                      <w:vertAlign w:val="baseline"/>
                      <w:lang w:val="en-US" w:eastAsia="zh-CN"/>
                    </w:rPr>
                    <w:t>园区</w:t>
                  </w:r>
                  <w:r>
                    <w:rPr>
                      <w:rFonts w:hint="default" w:ascii="Times New Roman" w:hAnsi="Times New Roman" w:eastAsia="宋体" w:cs="Times New Roman"/>
                      <w:color w:val="auto"/>
                      <w:kern w:val="0"/>
                      <w:sz w:val="21"/>
                      <w:szCs w:val="21"/>
                      <w:highlight w:val="none"/>
                      <w:lang w:val="en-US" w:eastAsia="zh-CN" w:bidi="ar"/>
                    </w:rPr>
                    <w:t>产业规划</w:t>
                  </w:r>
                  <w:r>
                    <w:rPr>
                      <w:rFonts w:hint="eastAsia" w:ascii="Times New Roman" w:hAnsi="Times New Roman" w:eastAsia="宋体" w:cs="Times New Roman"/>
                      <w:color w:val="auto"/>
                      <w:sz w:val="21"/>
                      <w:szCs w:val="21"/>
                      <w:highlight w:val="none"/>
                      <w:shd w:val="clear" w:color="auto" w:fill="auto"/>
                      <w:vertAlign w:val="baseline"/>
                      <w:lang w:val="en-US" w:eastAsia="zh-CN"/>
                    </w:rPr>
                    <w:t>禁止类项目</w:t>
                  </w:r>
                </w:p>
              </w:tc>
              <w:tc>
                <w:tcPr>
                  <w:tcW w:w="396" w:type="pct"/>
                  <w:tcBorders>
                    <w:tl2br w:val="nil"/>
                    <w:tr2bl w:val="nil"/>
                  </w:tcBorders>
                  <w:noWrap w:val="0"/>
                  <w:vAlign w:val="center"/>
                </w:tcPr>
                <w:p w14:paraId="079AA93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lang w:val="en-US" w:eastAsia="zh-CN"/>
                    </w:rPr>
                    <w:t>符合</w:t>
                  </w:r>
                </w:p>
              </w:tc>
            </w:tr>
            <w:tr w14:paraId="6DB0A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5173948D">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107F2CA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23300716">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3CB0C2F8">
                  <w:pPr>
                    <w:pStyle w:val="127"/>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rPr>
                  </w:pPr>
                  <w:r>
                    <w:rPr>
                      <w:rFonts w:hint="default" w:ascii="Times New Roman" w:hAnsi="Times New Roman" w:cs="Times New Roman"/>
                      <w:color w:val="auto"/>
                    </w:rPr>
                    <w:t>5、禁养区内禁止建设规模化养殖场或养殖小区。</w:t>
                  </w:r>
                </w:p>
              </w:tc>
              <w:tc>
                <w:tcPr>
                  <w:tcW w:w="1444" w:type="pct"/>
                  <w:tcBorders>
                    <w:tl2br w:val="nil"/>
                    <w:tr2bl w:val="nil"/>
                  </w:tcBorders>
                  <w:noWrap w:val="0"/>
                  <w:vAlign w:val="center"/>
                </w:tcPr>
                <w:p w14:paraId="151C6B92">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本项目不属于</w:t>
                  </w:r>
                  <w:r>
                    <w:rPr>
                      <w:rFonts w:hint="default" w:ascii="Times New Roman" w:hAnsi="Times New Roman" w:cs="Times New Roman"/>
                      <w:color w:val="auto"/>
                    </w:rPr>
                    <w:t>规模化养殖场或养殖小区</w:t>
                  </w:r>
                  <w:r>
                    <w:rPr>
                      <w:rFonts w:hint="eastAsia" w:ascii="Times New Roman" w:hAnsi="Times New Roman" w:eastAsia="宋体" w:cs="Times New Roman"/>
                      <w:color w:val="auto"/>
                      <w:sz w:val="21"/>
                      <w:szCs w:val="21"/>
                      <w:highlight w:val="none"/>
                      <w:shd w:val="clear" w:color="auto" w:fill="auto"/>
                      <w:vertAlign w:val="baseline"/>
                      <w:lang w:val="en-US" w:eastAsia="zh-CN"/>
                    </w:rPr>
                    <w:t>项目</w:t>
                  </w:r>
                </w:p>
              </w:tc>
              <w:tc>
                <w:tcPr>
                  <w:tcW w:w="396" w:type="pct"/>
                  <w:tcBorders>
                    <w:tl2br w:val="nil"/>
                    <w:tr2bl w:val="nil"/>
                  </w:tcBorders>
                  <w:noWrap w:val="0"/>
                  <w:vAlign w:val="center"/>
                </w:tcPr>
                <w:p w14:paraId="428E883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lang w:val="en-US" w:eastAsia="zh-CN"/>
                    </w:rPr>
                    <w:t>符合</w:t>
                  </w:r>
                </w:p>
              </w:tc>
            </w:tr>
            <w:tr w14:paraId="591E7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4B3D08A3">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5DC9512C">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63EA0E9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09E867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r>
                    <w:rPr>
                      <w:rFonts w:hint="eastAsia" w:ascii="Times New Roman" w:hAnsi="Times New Roman" w:eastAsia="宋体" w:cs="Times New Roman"/>
                      <w:color w:val="auto"/>
                      <w:kern w:val="2"/>
                      <w:sz w:val="21"/>
                      <w:szCs w:val="21"/>
                      <w:lang w:val="en-US" w:eastAsia="zh-CN" w:bidi="ar-SA"/>
                    </w:rPr>
                    <w:t>、生态保护红线内，自然保护地核心保护区原则上禁止人为活动；自然保护地核心保护区外，禁止开发性、生产性建设活动，在符合法律法规前提下，仅允许对生态功能不造成破坏的</w:t>
                  </w:r>
                  <w:r>
                    <w:rPr>
                      <w:rFonts w:hint="default" w:ascii="Times New Roman" w:hAnsi="Times New Roman" w:eastAsia="宋体" w:cs="Times New Roman"/>
                      <w:color w:val="auto"/>
                      <w:kern w:val="2"/>
                      <w:sz w:val="21"/>
                      <w:szCs w:val="21"/>
                      <w:lang w:val="en-US" w:eastAsia="zh-CN" w:bidi="ar-SA"/>
                    </w:rPr>
                    <w:t>9</w:t>
                  </w:r>
                  <w:r>
                    <w:rPr>
                      <w:rFonts w:hint="eastAsia" w:ascii="Times New Roman" w:hAnsi="Times New Roman" w:eastAsia="宋体" w:cs="Times New Roman"/>
                      <w:color w:val="auto"/>
                      <w:kern w:val="2"/>
                      <w:sz w:val="21"/>
                      <w:szCs w:val="21"/>
                      <w:lang w:val="en-US" w:eastAsia="zh-CN" w:bidi="ar-SA"/>
                    </w:rPr>
                    <w:t>类有限人为活动。生态保护红线内允许的有限人为活动，应当征求相关主管部门或具有审批权限的相关机构的意见。</w:t>
                  </w:r>
                </w:p>
                <w:p w14:paraId="449D2F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管护巡护、保护执法、科学研究、调查监测、测绘导航、防灾减灾救灾、军事国防、疫情防控等活动及相关的必要设施修筑。</w:t>
                  </w:r>
                </w:p>
                <w:p w14:paraId="3B35AA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r>
                    <w:rPr>
                      <w:rFonts w:hint="eastAsia" w:ascii="Times New Roman" w:hAnsi="Times New Roman" w:eastAsia="宋体" w:cs="Times New Roman"/>
                      <w:color w:val="auto"/>
                      <w:kern w:val="2"/>
                      <w:sz w:val="21"/>
                      <w:szCs w:val="21"/>
                      <w:lang w:val="en-US" w:eastAsia="zh-CN" w:bidi="ar-SA"/>
                    </w:rPr>
                    <w:t>原住居民和其他合法权益主体，允许在不扩大现有建设用地、耕地、水产养殖规模和放牧强度（符合草畜平衡管理规定）的前提下，开展种植、放牧、捕捞、养殖等活动，修筑生产生活设施。</w:t>
                  </w:r>
                </w:p>
                <w:p w14:paraId="303B8D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经依法批准的考古调查发掘、古生物化石调查发掘、标本采集和文物保护活动。</w:t>
                  </w:r>
                </w:p>
                <w:p w14:paraId="1FAA77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r>
                    <w:rPr>
                      <w:rFonts w:hint="eastAsia" w:ascii="Times New Roman" w:hAnsi="Times New Roman" w:eastAsia="宋体" w:cs="Times New Roman"/>
                      <w:color w:val="auto"/>
                      <w:kern w:val="2"/>
                      <w:sz w:val="21"/>
                      <w:szCs w:val="21"/>
                      <w:lang w:val="en-US" w:eastAsia="zh-CN" w:bidi="ar-SA"/>
                    </w:rPr>
                    <w:t>按规定对人工商品林进行抚育采伐，或以提升森林质量、优化栖息地、建设生物防火隔离带等为目的的树种更新，依法开展的竹林采伐经营。</w:t>
                  </w:r>
                </w:p>
                <w:p w14:paraId="23A3EE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r>
                    <w:rPr>
                      <w:rFonts w:hint="eastAsia" w:ascii="Times New Roman" w:hAnsi="Times New Roman" w:eastAsia="宋体" w:cs="Times New Roman"/>
                      <w:color w:val="auto"/>
                      <w:kern w:val="2"/>
                      <w:sz w:val="21"/>
                      <w:szCs w:val="21"/>
                      <w:lang w:val="en-US" w:eastAsia="zh-CN" w:bidi="ar-SA"/>
                    </w:rPr>
                    <w:t>不破坏生态功能的适度参观旅游、科普宣教及符合相关规划的配套性服务设施和相关的必要公共设施建设及维护。</w:t>
                  </w:r>
                </w:p>
                <w:p w14:paraId="5A0403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r>
                    <w:rPr>
                      <w:rFonts w:hint="eastAsia" w:ascii="Times New Roman" w:hAnsi="Times New Roman" w:eastAsia="宋体" w:cs="Times New Roman"/>
                      <w:color w:val="auto"/>
                      <w:kern w:val="2"/>
                      <w:sz w:val="21"/>
                      <w:szCs w:val="21"/>
                      <w:lang w:val="en-US" w:eastAsia="zh-CN" w:bidi="ar-SA"/>
                    </w:rPr>
                    <w:t>必须且无法避让、符合县级以上国土空间规划的线性基础设施、通讯和防洪、供水设施建设和船舶航行、航道疏浚清淤等活动；已有的合法水利、交通运输等设施运行维护改造。</w:t>
                  </w:r>
                </w:p>
                <w:p w14:paraId="529A1E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r>
                    <w:rPr>
                      <w:rFonts w:hint="eastAsia" w:ascii="Times New Roman" w:hAnsi="Times New Roman" w:eastAsia="宋体" w:cs="Times New Roman"/>
                      <w:color w:val="auto"/>
                      <w:kern w:val="2"/>
                      <w:sz w:val="21"/>
                      <w:szCs w:val="21"/>
                      <w:lang w:val="en-US" w:eastAsia="zh-CN" w:bidi="ar-SA"/>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1687A1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r>
                    <w:rPr>
                      <w:rFonts w:hint="eastAsia" w:ascii="Times New Roman" w:hAnsi="Times New Roman" w:eastAsia="宋体" w:cs="Times New Roman"/>
                      <w:color w:val="auto"/>
                      <w:kern w:val="2"/>
                      <w:sz w:val="21"/>
                      <w:szCs w:val="21"/>
                      <w:lang w:val="en-US" w:eastAsia="zh-CN" w:bidi="ar-SA"/>
                    </w:rPr>
                    <w:t>依据县级以上国土空间规划和生态保护修复专项规划开展的生态修复。</w:t>
                  </w:r>
                </w:p>
                <w:p w14:paraId="590378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1"/>
                      <w:szCs w:val="21"/>
                      <w:lang w:val="en-US" w:eastAsia="zh-CN" w:bidi="ar-SA"/>
                    </w:rPr>
                    <w:t>9.</w:t>
                  </w:r>
                  <w:r>
                    <w:rPr>
                      <w:rFonts w:hint="eastAsia" w:ascii="Times New Roman" w:hAnsi="Times New Roman" w:eastAsia="宋体" w:cs="Times New Roman"/>
                      <w:color w:val="auto"/>
                      <w:kern w:val="2"/>
                      <w:sz w:val="21"/>
                      <w:szCs w:val="21"/>
                      <w:lang w:val="en-US" w:eastAsia="zh-CN" w:bidi="ar-SA"/>
                    </w:rPr>
                    <w:t>法律法规规定允许的其他人为活动。</w:t>
                  </w:r>
                </w:p>
              </w:tc>
              <w:tc>
                <w:tcPr>
                  <w:tcW w:w="1444" w:type="pct"/>
                  <w:tcBorders>
                    <w:tl2br w:val="nil"/>
                    <w:tr2bl w:val="nil"/>
                  </w:tcBorders>
                  <w:noWrap w:val="0"/>
                  <w:vAlign w:val="center"/>
                </w:tcPr>
                <w:p w14:paraId="105FB1F4">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Times New Roman"/>
                      <w:color w:val="auto"/>
                      <w:lang w:eastAsia="zh-CN"/>
                    </w:rPr>
                  </w:pPr>
                  <w:r>
                    <w:rPr>
                      <w:rFonts w:hint="eastAsia" w:cs="Times New Roman"/>
                      <w:color w:val="auto"/>
                      <w:lang w:val="en-US" w:eastAsia="zh-CN"/>
                    </w:rPr>
                    <w:t>本项目</w:t>
                  </w:r>
                  <w:r>
                    <w:rPr>
                      <w:rFonts w:hint="default" w:ascii="Times New Roman" w:hAnsi="Times New Roman" w:cs="Times New Roman"/>
                      <w:color w:val="auto"/>
                    </w:rPr>
                    <w:t>不</w:t>
                  </w:r>
                  <w:r>
                    <w:rPr>
                      <w:rFonts w:hint="eastAsia" w:cs="Times New Roman"/>
                      <w:color w:val="auto"/>
                      <w:lang w:val="en-US" w:eastAsia="zh-CN"/>
                    </w:rPr>
                    <w:t>涉及</w:t>
                  </w:r>
                </w:p>
              </w:tc>
              <w:tc>
                <w:tcPr>
                  <w:tcW w:w="396" w:type="pct"/>
                  <w:tcBorders>
                    <w:tl2br w:val="nil"/>
                    <w:tr2bl w:val="nil"/>
                  </w:tcBorders>
                  <w:noWrap w:val="0"/>
                  <w:vAlign w:val="center"/>
                </w:tcPr>
                <w:p w14:paraId="1DB24DC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Times New Roman"/>
                      <w:color w:val="auto"/>
                      <w:lang w:val="en-US" w:eastAsia="zh-CN"/>
                    </w:rPr>
                  </w:pPr>
                  <w:r>
                    <w:rPr>
                      <w:rFonts w:hint="eastAsia" w:ascii="Times New Roman" w:hAnsi="Times New Roman" w:cs="Times New Roman"/>
                      <w:color w:val="auto"/>
                      <w:lang w:val="en-US" w:eastAsia="zh-CN"/>
                    </w:rPr>
                    <w:t>符合</w:t>
                  </w:r>
                </w:p>
              </w:tc>
            </w:tr>
            <w:tr w14:paraId="33DC5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restart"/>
                  <w:tcBorders>
                    <w:tl2br w:val="nil"/>
                    <w:tr2bl w:val="nil"/>
                  </w:tcBorders>
                  <w:noWrap w:val="0"/>
                  <w:tcMar>
                    <w:top w:w="0" w:type="dxa"/>
                    <w:left w:w="108" w:type="dxa"/>
                    <w:bottom w:w="0" w:type="dxa"/>
                    <w:right w:w="108" w:type="dxa"/>
                  </w:tcMar>
                  <w:vAlign w:val="center"/>
                </w:tcPr>
                <w:p w14:paraId="759FE4D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空间布局约束</w:t>
                  </w:r>
                </w:p>
              </w:tc>
              <w:tc>
                <w:tcPr>
                  <w:tcW w:w="505" w:type="pct"/>
                  <w:vMerge w:val="restart"/>
                  <w:tcBorders>
                    <w:tl2br w:val="nil"/>
                    <w:tr2bl w:val="nil"/>
                  </w:tcBorders>
                  <w:noWrap w:val="0"/>
                  <w:tcMar>
                    <w:top w:w="0" w:type="dxa"/>
                    <w:left w:w="108" w:type="dxa"/>
                    <w:bottom w:w="0" w:type="dxa"/>
                    <w:right w:w="108" w:type="dxa"/>
                  </w:tcMar>
                  <w:vAlign w:val="center"/>
                </w:tcPr>
                <w:p w14:paraId="5EA5C2C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限制开发建设活动的要求</w:t>
                  </w:r>
                </w:p>
              </w:tc>
              <w:tc>
                <w:tcPr>
                  <w:tcW w:w="288" w:type="pct"/>
                  <w:tcBorders>
                    <w:tl2br w:val="nil"/>
                    <w:tr2bl w:val="nil"/>
                  </w:tcBorders>
                  <w:noWrap w:val="0"/>
                  <w:tcMar>
                    <w:top w:w="0" w:type="dxa"/>
                    <w:left w:w="108" w:type="dxa"/>
                    <w:bottom w:w="0" w:type="dxa"/>
                    <w:right w:w="108" w:type="dxa"/>
                  </w:tcMar>
                  <w:vAlign w:val="center"/>
                </w:tcPr>
                <w:p w14:paraId="65637C1E">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2106" w:type="pct"/>
                  <w:tcBorders>
                    <w:tl2br w:val="nil"/>
                    <w:tr2bl w:val="nil"/>
                  </w:tcBorders>
                  <w:noWrap w:val="0"/>
                  <w:tcMar>
                    <w:top w:w="0" w:type="dxa"/>
                    <w:left w:w="108" w:type="dxa"/>
                    <w:bottom w:w="0" w:type="dxa"/>
                    <w:right w:w="108" w:type="dxa"/>
                  </w:tcMar>
                  <w:vAlign w:val="center"/>
                </w:tcPr>
                <w:p w14:paraId="3CEF23DD">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不得新建规模不符合各行业准入条件的项目。</w:t>
                  </w:r>
                </w:p>
              </w:tc>
              <w:tc>
                <w:tcPr>
                  <w:tcW w:w="1444" w:type="pct"/>
                  <w:tcBorders>
                    <w:tl2br w:val="nil"/>
                    <w:tr2bl w:val="nil"/>
                  </w:tcBorders>
                  <w:noWrap w:val="0"/>
                  <w:vAlign w:val="center"/>
                </w:tcPr>
                <w:p w14:paraId="4711CE6E">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color w:val="auto"/>
                      <w:lang w:val="en-US" w:eastAsia="zh-CN"/>
                    </w:rPr>
                    <w:t>本项目符合行业准入条件</w:t>
                  </w:r>
                </w:p>
              </w:tc>
              <w:tc>
                <w:tcPr>
                  <w:tcW w:w="396" w:type="pct"/>
                  <w:tcBorders>
                    <w:tl2br w:val="nil"/>
                    <w:tr2bl w:val="nil"/>
                  </w:tcBorders>
                  <w:noWrap w:val="0"/>
                  <w:vAlign w:val="center"/>
                </w:tcPr>
                <w:p w14:paraId="4C1C190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olor w:val="auto"/>
                      <w:lang w:val="en-US" w:eastAsia="zh-CN"/>
                    </w:rPr>
                  </w:pPr>
                  <w:r>
                    <w:rPr>
                      <w:rFonts w:hint="eastAsia" w:ascii="Times New Roman" w:hAnsi="Times New Roman" w:cs="Times New Roman"/>
                      <w:color w:val="auto"/>
                      <w:lang w:val="en-US" w:eastAsia="zh-CN"/>
                    </w:rPr>
                    <w:t>符合</w:t>
                  </w:r>
                </w:p>
              </w:tc>
            </w:tr>
            <w:tr w14:paraId="13D86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1E19E53F">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5E384612">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tcBorders>
                    <w:tl2br w:val="nil"/>
                    <w:tr2bl w:val="nil"/>
                  </w:tcBorders>
                  <w:noWrap w:val="0"/>
                  <w:tcMar>
                    <w:top w:w="0" w:type="dxa"/>
                    <w:left w:w="108" w:type="dxa"/>
                    <w:bottom w:w="0" w:type="dxa"/>
                    <w:right w:w="108" w:type="dxa"/>
                  </w:tcMar>
                  <w:vAlign w:val="center"/>
                </w:tcPr>
                <w:p w14:paraId="658D916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3</w:t>
                  </w:r>
                </w:p>
              </w:tc>
              <w:tc>
                <w:tcPr>
                  <w:tcW w:w="2106" w:type="pct"/>
                  <w:tcBorders>
                    <w:tl2br w:val="nil"/>
                    <w:tr2bl w:val="nil"/>
                  </w:tcBorders>
                  <w:noWrap w:val="0"/>
                  <w:tcMar>
                    <w:top w:w="0" w:type="dxa"/>
                    <w:left w:w="108" w:type="dxa"/>
                    <w:bottom w:w="0" w:type="dxa"/>
                    <w:right w:w="108" w:type="dxa"/>
                  </w:tcMar>
                  <w:vAlign w:val="center"/>
                </w:tcPr>
                <w:p w14:paraId="20BB3E24">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不得新建《国家淘汰落后生产能力、工艺和产品的目录》等名录中淘汰工艺和装备。</w:t>
                  </w:r>
                </w:p>
              </w:tc>
              <w:tc>
                <w:tcPr>
                  <w:tcW w:w="1444" w:type="pct"/>
                  <w:tcBorders>
                    <w:tl2br w:val="nil"/>
                    <w:tr2bl w:val="nil"/>
                  </w:tcBorders>
                  <w:noWrap w:val="0"/>
                  <w:vAlign w:val="center"/>
                </w:tcPr>
                <w:p w14:paraId="765B1C40">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vertAlign w:val="baseline"/>
                      <w:lang w:val="en-US" w:eastAsia="zh-CN"/>
                    </w:rPr>
                    <w:t>本项目</w:t>
                  </w:r>
                  <w:r>
                    <w:rPr>
                      <w:rFonts w:hint="eastAsia" w:ascii="Times New Roman" w:hAnsi="Times New Roman" w:cs="Times New Roman"/>
                      <w:color w:val="auto"/>
                      <w:sz w:val="21"/>
                      <w:szCs w:val="21"/>
                      <w:highlight w:val="none"/>
                      <w:vertAlign w:val="baseline"/>
                      <w:lang w:val="en-US" w:eastAsia="zh-CN"/>
                    </w:rPr>
                    <w:t>工艺和设备</w:t>
                  </w:r>
                  <w:r>
                    <w:rPr>
                      <w:rFonts w:hint="eastAsia" w:ascii="Times New Roman" w:hAnsi="Times New Roman" w:eastAsia="宋体" w:cs="Times New Roman"/>
                      <w:color w:val="auto"/>
                      <w:sz w:val="21"/>
                      <w:szCs w:val="21"/>
                      <w:highlight w:val="none"/>
                      <w:vertAlign w:val="baseline"/>
                      <w:lang w:val="en-US" w:eastAsia="zh-CN"/>
                    </w:rPr>
                    <w:t>不属于</w:t>
                  </w:r>
                  <w:r>
                    <w:rPr>
                      <w:rFonts w:hint="default" w:ascii="Times New Roman" w:hAnsi="Times New Roman" w:eastAsia="宋体" w:cs="Times New Roman"/>
                      <w:color w:val="auto"/>
                      <w:sz w:val="21"/>
                      <w:szCs w:val="21"/>
                      <w:highlight w:val="none"/>
                      <w:vertAlign w:val="baseline"/>
                      <w:lang w:val="en-US" w:eastAsia="zh-CN"/>
                    </w:rPr>
                    <w:t>《国家淘汰落后生产能力、工艺和产品的目录》等名录中淘汰工艺和装备</w:t>
                  </w:r>
                </w:p>
              </w:tc>
              <w:tc>
                <w:tcPr>
                  <w:tcW w:w="396" w:type="pct"/>
                  <w:tcBorders>
                    <w:tl2br w:val="nil"/>
                    <w:tr2bl w:val="nil"/>
                  </w:tcBorders>
                  <w:noWrap w:val="0"/>
                  <w:vAlign w:val="center"/>
                </w:tcPr>
                <w:p w14:paraId="16E3E9C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061AC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20522DED">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1D24DE22">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tcBorders>
                    <w:tl2br w:val="nil"/>
                    <w:tr2bl w:val="nil"/>
                  </w:tcBorders>
                  <w:noWrap w:val="0"/>
                  <w:tcMar>
                    <w:top w:w="0" w:type="dxa"/>
                    <w:left w:w="108" w:type="dxa"/>
                    <w:bottom w:w="0" w:type="dxa"/>
                    <w:right w:w="108" w:type="dxa"/>
                  </w:tcMar>
                  <w:vAlign w:val="center"/>
                </w:tcPr>
                <w:p w14:paraId="002F7F97">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4</w:t>
                  </w:r>
                </w:p>
              </w:tc>
              <w:tc>
                <w:tcPr>
                  <w:tcW w:w="2106" w:type="pct"/>
                  <w:tcBorders>
                    <w:tl2br w:val="nil"/>
                    <w:tr2bl w:val="nil"/>
                  </w:tcBorders>
                  <w:noWrap w:val="0"/>
                  <w:tcMar>
                    <w:top w:w="0" w:type="dxa"/>
                    <w:left w:w="108" w:type="dxa"/>
                    <w:bottom w:w="0" w:type="dxa"/>
                    <w:right w:w="108" w:type="dxa"/>
                  </w:tcMar>
                  <w:vAlign w:val="center"/>
                </w:tcPr>
                <w:p w14:paraId="5106D060">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1、江西省国家重点生态功能区产业准入负面清单（第一批）中限制类项目，大余县、上犹县、崇义县、龙南市、全南县、定南县、安远县和寻乌县按准入条件建设；江西省国家重点生态功能区产业准入负面清单（第二批）中限制类项目，石城县按准入条件建设。</w:t>
                  </w:r>
                </w:p>
              </w:tc>
              <w:tc>
                <w:tcPr>
                  <w:tcW w:w="1444" w:type="pct"/>
                  <w:tcBorders>
                    <w:tl2br w:val="nil"/>
                    <w:tr2bl w:val="nil"/>
                  </w:tcBorders>
                  <w:noWrap w:val="0"/>
                  <w:vAlign w:val="center"/>
                </w:tcPr>
                <w:p w14:paraId="4424E0DE">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vertAlign w:val="baseline"/>
                      <w:lang w:val="en-US" w:eastAsia="zh-CN"/>
                    </w:rPr>
                    <w:t>本项目</w:t>
                  </w:r>
                  <w:r>
                    <w:rPr>
                      <w:rFonts w:hint="eastAsia" w:cs="Times New Roman"/>
                      <w:color w:val="auto"/>
                      <w:sz w:val="21"/>
                      <w:szCs w:val="21"/>
                      <w:highlight w:val="none"/>
                      <w:vertAlign w:val="baseline"/>
                      <w:lang w:val="en-US" w:eastAsia="zh-CN"/>
                    </w:rPr>
                    <w:t>位于宁都县，</w:t>
                  </w:r>
                  <w:r>
                    <w:rPr>
                      <w:rFonts w:hint="eastAsia" w:ascii="Times New Roman" w:hAnsi="Times New Roman" w:eastAsia="宋体" w:cs="Times New Roman"/>
                      <w:color w:val="auto"/>
                      <w:sz w:val="21"/>
                      <w:szCs w:val="21"/>
                      <w:highlight w:val="none"/>
                      <w:vertAlign w:val="baseline"/>
                      <w:lang w:val="en-US" w:eastAsia="zh-CN"/>
                    </w:rPr>
                    <w:t>不属于江西省国家重点生态功能区产业准入负面清单（第一批）和（第二批）中的</w:t>
                  </w:r>
                  <w:r>
                    <w:rPr>
                      <w:rFonts w:hint="eastAsia" w:cs="Times New Roman"/>
                      <w:color w:val="auto"/>
                      <w:sz w:val="21"/>
                      <w:szCs w:val="21"/>
                      <w:highlight w:val="none"/>
                      <w:vertAlign w:val="baseline"/>
                      <w:lang w:val="en-US" w:eastAsia="zh-CN"/>
                    </w:rPr>
                    <w:t>限制</w:t>
                  </w:r>
                  <w:r>
                    <w:rPr>
                      <w:rFonts w:hint="eastAsia" w:ascii="Times New Roman" w:hAnsi="Times New Roman" w:eastAsia="宋体" w:cs="Times New Roman"/>
                      <w:color w:val="auto"/>
                      <w:sz w:val="21"/>
                      <w:szCs w:val="21"/>
                      <w:highlight w:val="none"/>
                      <w:vertAlign w:val="baseline"/>
                      <w:lang w:val="en-US" w:eastAsia="zh-CN"/>
                    </w:rPr>
                    <w:t>类项目</w:t>
                  </w:r>
                </w:p>
              </w:tc>
              <w:tc>
                <w:tcPr>
                  <w:tcW w:w="396" w:type="pct"/>
                  <w:tcBorders>
                    <w:tl2br w:val="nil"/>
                    <w:tr2bl w:val="nil"/>
                  </w:tcBorders>
                  <w:noWrap w:val="0"/>
                  <w:vAlign w:val="center"/>
                </w:tcPr>
                <w:p w14:paraId="6C99EE8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1A761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42EB627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67F79AD4">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tcBorders>
                    <w:tl2br w:val="nil"/>
                    <w:tr2bl w:val="nil"/>
                  </w:tcBorders>
                  <w:noWrap w:val="0"/>
                  <w:tcMar>
                    <w:top w:w="0" w:type="dxa"/>
                    <w:left w:w="108" w:type="dxa"/>
                    <w:bottom w:w="0" w:type="dxa"/>
                    <w:right w:w="108" w:type="dxa"/>
                  </w:tcMar>
                  <w:vAlign w:val="center"/>
                </w:tcPr>
                <w:p w14:paraId="3CB7B00E">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5</w:t>
                  </w:r>
                </w:p>
              </w:tc>
              <w:tc>
                <w:tcPr>
                  <w:tcW w:w="2106" w:type="pct"/>
                  <w:tcBorders>
                    <w:tl2br w:val="nil"/>
                    <w:tr2bl w:val="nil"/>
                  </w:tcBorders>
                  <w:noWrap w:val="0"/>
                  <w:tcMar>
                    <w:top w:w="0" w:type="dxa"/>
                    <w:left w:w="108" w:type="dxa"/>
                    <w:bottom w:w="0" w:type="dxa"/>
                    <w:right w:w="108" w:type="dxa"/>
                  </w:tcMar>
                  <w:vAlign w:val="center"/>
                </w:tcPr>
                <w:p w14:paraId="78485237">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禁止在饮用水水源一级保护区内新建、改建、扩建与供水设施和保护水源无关的建设项目。</w:t>
                  </w:r>
                </w:p>
              </w:tc>
              <w:tc>
                <w:tcPr>
                  <w:tcW w:w="1444" w:type="pct"/>
                  <w:tcBorders>
                    <w:tl2br w:val="nil"/>
                    <w:tr2bl w:val="nil"/>
                  </w:tcBorders>
                  <w:noWrap w:val="0"/>
                  <w:vAlign w:val="center"/>
                </w:tcPr>
                <w:p w14:paraId="3E8252B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default" w:ascii="Times New Roman" w:hAnsi="Times New Roman" w:eastAsia="宋体" w:cs="Times New Roman"/>
                      <w:color w:val="auto"/>
                      <w:sz w:val="21"/>
                      <w:szCs w:val="21"/>
                      <w:highlight w:val="none"/>
                      <w:vertAlign w:val="baseline"/>
                      <w:lang w:val="en-US" w:eastAsia="zh-CN"/>
                    </w:rPr>
                    <w:t>本项目不位于饮用水水源一级保护区内</w:t>
                  </w:r>
                </w:p>
              </w:tc>
              <w:tc>
                <w:tcPr>
                  <w:tcW w:w="396" w:type="pct"/>
                  <w:tcBorders>
                    <w:tl2br w:val="nil"/>
                    <w:tr2bl w:val="nil"/>
                  </w:tcBorders>
                  <w:noWrap w:val="0"/>
                  <w:vAlign w:val="center"/>
                </w:tcPr>
                <w:p w14:paraId="7D67987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eastAsia" w:ascii="Times New Roman" w:hAnsi="Times New Roman" w:cs="Times New Roman"/>
                      <w:color w:val="auto"/>
                      <w:lang w:val="en-US" w:eastAsia="zh-CN"/>
                    </w:rPr>
                    <w:t>符合</w:t>
                  </w:r>
                </w:p>
              </w:tc>
            </w:tr>
            <w:tr w14:paraId="6FCDA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293802F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restart"/>
                  <w:tcBorders>
                    <w:tl2br w:val="nil"/>
                    <w:tr2bl w:val="nil"/>
                  </w:tcBorders>
                  <w:noWrap w:val="0"/>
                  <w:tcMar>
                    <w:top w:w="0" w:type="dxa"/>
                    <w:left w:w="108" w:type="dxa"/>
                    <w:bottom w:w="0" w:type="dxa"/>
                    <w:right w:w="108" w:type="dxa"/>
                  </w:tcMar>
                  <w:vAlign w:val="center"/>
                </w:tcPr>
                <w:p w14:paraId="3F2A877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不符合空间布局要求活动的退出要求</w:t>
                  </w:r>
                </w:p>
              </w:tc>
              <w:tc>
                <w:tcPr>
                  <w:tcW w:w="288" w:type="pct"/>
                  <w:vMerge w:val="restart"/>
                  <w:tcBorders>
                    <w:tl2br w:val="nil"/>
                    <w:tr2bl w:val="nil"/>
                  </w:tcBorders>
                  <w:noWrap w:val="0"/>
                  <w:tcMar>
                    <w:top w:w="0" w:type="dxa"/>
                    <w:left w:w="108" w:type="dxa"/>
                    <w:bottom w:w="0" w:type="dxa"/>
                    <w:right w:w="108" w:type="dxa"/>
                  </w:tcMar>
                  <w:vAlign w:val="center"/>
                </w:tcPr>
                <w:p w14:paraId="4FC6BCDE">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6</w:t>
                  </w:r>
                </w:p>
              </w:tc>
              <w:tc>
                <w:tcPr>
                  <w:tcW w:w="2106" w:type="pct"/>
                  <w:tcBorders>
                    <w:tl2br w:val="nil"/>
                    <w:tr2bl w:val="nil"/>
                  </w:tcBorders>
                  <w:noWrap w:val="0"/>
                  <w:tcMar>
                    <w:top w:w="0" w:type="dxa"/>
                    <w:left w:w="108" w:type="dxa"/>
                    <w:bottom w:w="0" w:type="dxa"/>
                    <w:right w:w="108" w:type="dxa"/>
                  </w:tcMar>
                  <w:vAlign w:val="center"/>
                </w:tcPr>
                <w:p w14:paraId="297D20D9">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1、现有生态红线内不符合生态功能活动限期退出或关停。</w:t>
                  </w:r>
                </w:p>
              </w:tc>
              <w:tc>
                <w:tcPr>
                  <w:tcW w:w="1444" w:type="pct"/>
                  <w:tcBorders>
                    <w:tl2br w:val="nil"/>
                    <w:tr2bl w:val="nil"/>
                  </w:tcBorders>
                  <w:noWrap w:val="0"/>
                  <w:vAlign w:val="center"/>
                </w:tcPr>
                <w:p w14:paraId="58D78AA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default" w:ascii="Times New Roman" w:hAnsi="Times New Roman" w:eastAsia="宋体" w:cs="Times New Roman"/>
                      <w:color w:val="auto"/>
                      <w:sz w:val="21"/>
                      <w:szCs w:val="21"/>
                      <w:highlight w:val="none"/>
                      <w:vertAlign w:val="baseline"/>
                      <w:lang w:val="en-US" w:eastAsia="zh-CN"/>
                    </w:rPr>
                    <w:t>本项目不位于生态红线范围内</w:t>
                  </w:r>
                </w:p>
              </w:tc>
              <w:tc>
                <w:tcPr>
                  <w:tcW w:w="396" w:type="pct"/>
                  <w:tcBorders>
                    <w:tl2br w:val="nil"/>
                    <w:tr2bl w:val="nil"/>
                  </w:tcBorders>
                  <w:noWrap w:val="0"/>
                  <w:vAlign w:val="center"/>
                </w:tcPr>
                <w:p w14:paraId="17FDF37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388AF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0038DFF8">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15865780">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07794EB8">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10616A7C">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2、现有饮用水水源一级保护区内与供水设施和保护水源无关的建设项目拆除或关闭。</w:t>
                  </w:r>
                </w:p>
              </w:tc>
              <w:tc>
                <w:tcPr>
                  <w:tcW w:w="1444" w:type="pct"/>
                  <w:tcBorders>
                    <w:tl2br w:val="nil"/>
                    <w:tr2bl w:val="nil"/>
                  </w:tcBorders>
                  <w:noWrap w:val="0"/>
                  <w:vAlign w:val="center"/>
                </w:tcPr>
                <w:p w14:paraId="73BE704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vertAlign w:val="baseline"/>
                      <w:lang w:val="en-US" w:eastAsia="zh-CN"/>
                    </w:rPr>
                    <w:t>本项目不在饮用水水源一级保护区内</w:t>
                  </w:r>
                </w:p>
              </w:tc>
              <w:tc>
                <w:tcPr>
                  <w:tcW w:w="396" w:type="pct"/>
                  <w:tcBorders>
                    <w:tl2br w:val="nil"/>
                    <w:tr2bl w:val="nil"/>
                  </w:tcBorders>
                  <w:noWrap w:val="0"/>
                  <w:vAlign w:val="center"/>
                </w:tcPr>
                <w:p w14:paraId="6DC40D4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21D0D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4CD372E3">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tcBorders>
                    <w:tl2br w:val="nil"/>
                    <w:tr2bl w:val="nil"/>
                  </w:tcBorders>
                  <w:noWrap w:val="0"/>
                  <w:vAlign w:val="center"/>
                </w:tcPr>
                <w:p w14:paraId="740598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其他空间布</w:t>
                  </w:r>
                </w:p>
                <w:p w14:paraId="113F02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局约束要求</w:t>
                  </w:r>
                </w:p>
              </w:tc>
              <w:tc>
                <w:tcPr>
                  <w:tcW w:w="288" w:type="pct"/>
                  <w:tcBorders>
                    <w:tl2br w:val="nil"/>
                    <w:tr2bl w:val="nil"/>
                  </w:tcBorders>
                  <w:noWrap w:val="0"/>
                  <w:vAlign w:val="center"/>
                </w:tcPr>
                <w:p w14:paraId="2E092647">
                  <w:pPr>
                    <w:pStyle w:val="127"/>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2106" w:type="pct"/>
                  <w:tcBorders>
                    <w:tl2br w:val="nil"/>
                    <w:tr2bl w:val="nil"/>
                  </w:tcBorders>
                  <w:noWrap w:val="0"/>
                  <w:tcMar>
                    <w:top w:w="0" w:type="dxa"/>
                    <w:left w:w="108" w:type="dxa"/>
                    <w:bottom w:w="0" w:type="dxa"/>
                    <w:right w:w="108" w:type="dxa"/>
                  </w:tcMar>
                  <w:vAlign w:val="center"/>
                </w:tcPr>
                <w:p w14:paraId="7AC451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一般生态空间中零散城镇村建设用地、永久基本农田、特殊用地等，按国土空间规划的要求开展相关活动和开发行为。</w:t>
                  </w:r>
                </w:p>
              </w:tc>
              <w:tc>
                <w:tcPr>
                  <w:tcW w:w="1444" w:type="pct"/>
                  <w:tcBorders>
                    <w:tl2br w:val="nil"/>
                    <w:tr2bl w:val="nil"/>
                  </w:tcBorders>
                  <w:noWrap w:val="0"/>
                  <w:vAlign w:val="center"/>
                </w:tcPr>
                <w:p w14:paraId="498ACB02">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w:t>
                  </w:r>
                  <w:r>
                    <w:rPr>
                      <w:rFonts w:hint="eastAsia" w:ascii="Times New Roman" w:hAnsi="Times New Roman" w:cs="Times New Roman"/>
                      <w:color w:val="auto"/>
                      <w:kern w:val="2"/>
                      <w:sz w:val="21"/>
                      <w:szCs w:val="21"/>
                      <w:lang w:val="en-US" w:eastAsia="zh-CN" w:bidi="ar-SA"/>
                    </w:rPr>
                    <w:t>用地为工业用地</w:t>
                  </w:r>
                  <w:r>
                    <w:rPr>
                      <w:rFonts w:hint="eastAsia" w:ascii="Times New Roman" w:hAnsi="Times New Roman" w:eastAsia="宋体" w:cs="Times New Roman"/>
                      <w:color w:val="auto"/>
                      <w:kern w:val="2"/>
                      <w:sz w:val="21"/>
                      <w:szCs w:val="21"/>
                      <w:lang w:val="en-US" w:eastAsia="zh-CN" w:bidi="ar-SA"/>
                    </w:rPr>
                    <w:t>，符合规划。</w:t>
                  </w:r>
                </w:p>
              </w:tc>
              <w:tc>
                <w:tcPr>
                  <w:tcW w:w="396" w:type="pct"/>
                  <w:tcBorders>
                    <w:tl2br w:val="nil"/>
                    <w:tr2bl w:val="nil"/>
                  </w:tcBorders>
                  <w:noWrap w:val="0"/>
                  <w:vAlign w:val="center"/>
                </w:tcPr>
                <w:p w14:paraId="5257C93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符合</w:t>
                  </w:r>
                </w:p>
              </w:tc>
            </w:tr>
            <w:tr w14:paraId="01642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restart"/>
                  <w:tcBorders>
                    <w:tl2br w:val="nil"/>
                    <w:tr2bl w:val="nil"/>
                  </w:tcBorders>
                  <w:noWrap w:val="0"/>
                  <w:tcMar>
                    <w:top w:w="0" w:type="dxa"/>
                    <w:left w:w="108" w:type="dxa"/>
                    <w:bottom w:w="0" w:type="dxa"/>
                    <w:right w:w="108" w:type="dxa"/>
                  </w:tcMar>
                  <w:vAlign w:val="center"/>
                </w:tcPr>
                <w:p w14:paraId="29E7743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505" w:type="pct"/>
                  <w:tcBorders>
                    <w:tl2br w:val="nil"/>
                    <w:tr2bl w:val="nil"/>
                  </w:tcBorders>
                  <w:noWrap w:val="0"/>
                  <w:tcMar>
                    <w:top w:w="0" w:type="dxa"/>
                    <w:left w:w="108" w:type="dxa"/>
                    <w:bottom w:w="0" w:type="dxa"/>
                    <w:right w:w="108" w:type="dxa"/>
                  </w:tcMar>
                  <w:vAlign w:val="center"/>
                </w:tcPr>
                <w:p w14:paraId="45A4E96E">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允许排放量要求</w:t>
                  </w:r>
                </w:p>
              </w:tc>
              <w:tc>
                <w:tcPr>
                  <w:tcW w:w="288" w:type="pct"/>
                  <w:tcBorders>
                    <w:tl2br w:val="nil"/>
                    <w:tr2bl w:val="nil"/>
                  </w:tcBorders>
                  <w:noWrap w:val="0"/>
                  <w:tcMar>
                    <w:top w:w="0" w:type="dxa"/>
                    <w:left w:w="108" w:type="dxa"/>
                    <w:bottom w:w="0" w:type="dxa"/>
                    <w:right w:w="108" w:type="dxa"/>
                  </w:tcMar>
                  <w:vAlign w:val="center"/>
                </w:tcPr>
                <w:p w14:paraId="4FD42CA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Times New Roman"/>
                      <w:color w:val="auto"/>
                      <w:lang w:eastAsia="zh-CN"/>
                    </w:rPr>
                  </w:pPr>
                  <w:r>
                    <w:rPr>
                      <w:rFonts w:hint="eastAsia" w:cs="Times New Roman"/>
                      <w:color w:val="auto"/>
                      <w:lang w:val="en-US" w:eastAsia="zh-CN"/>
                    </w:rPr>
                    <w:t>8</w:t>
                  </w:r>
                </w:p>
              </w:tc>
              <w:tc>
                <w:tcPr>
                  <w:tcW w:w="2106" w:type="pct"/>
                  <w:tcBorders>
                    <w:tl2br w:val="nil"/>
                    <w:tr2bl w:val="nil"/>
                  </w:tcBorders>
                  <w:noWrap w:val="0"/>
                  <w:tcMar>
                    <w:top w:w="0" w:type="dxa"/>
                    <w:left w:w="108" w:type="dxa"/>
                    <w:bottom w:w="0" w:type="dxa"/>
                    <w:right w:w="108" w:type="dxa"/>
                  </w:tcMar>
                  <w:vAlign w:val="center"/>
                </w:tcPr>
                <w:p w14:paraId="5D076D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到 2025 年，赣州市全市化学需氧量、氨氮、氮氧化物、挥发性有机物重点工程减排量分别为</w:t>
                  </w:r>
                  <w:r>
                    <w:rPr>
                      <w:rFonts w:hint="default" w:ascii="Times New Roman" w:hAnsi="Times New Roman" w:eastAsia="宋体" w:cs="Times New Roman"/>
                      <w:color w:val="auto"/>
                      <w:kern w:val="2"/>
                      <w:sz w:val="21"/>
                      <w:szCs w:val="21"/>
                      <w:lang w:val="en-US" w:eastAsia="zh-CN" w:bidi="ar-SA"/>
                    </w:rPr>
                    <w:t xml:space="preserve">13451 </w:t>
                  </w:r>
                  <w:r>
                    <w:rPr>
                      <w:rFonts w:hint="eastAsia" w:ascii="Times New Roman" w:hAnsi="Times New Roman" w:eastAsia="宋体" w:cs="Times New Roman"/>
                      <w:color w:val="auto"/>
                      <w:kern w:val="2"/>
                      <w:sz w:val="21"/>
                      <w:szCs w:val="21"/>
                      <w:lang w:val="en-US" w:eastAsia="zh-CN" w:bidi="ar-SA"/>
                    </w:rPr>
                    <w:t>吨、</w:t>
                  </w:r>
                  <w:r>
                    <w:rPr>
                      <w:rFonts w:hint="default" w:ascii="Times New Roman" w:hAnsi="Times New Roman" w:eastAsia="宋体" w:cs="Times New Roman"/>
                      <w:color w:val="auto"/>
                      <w:kern w:val="2"/>
                      <w:sz w:val="21"/>
                      <w:szCs w:val="21"/>
                      <w:lang w:val="en-US" w:eastAsia="zh-CN" w:bidi="ar-SA"/>
                    </w:rPr>
                    <w:t xml:space="preserve">873 </w:t>
                  </w:r>
                  <w:r>
                    <w:rPr>
                      <w:rFonts w:hint="eastAsia" w:ascii="Times New Roman" w:hAnsi="Times New Roman" w:eastAsia="宋体" w:cs="Times New Roman"/>
                      <w:color w:val="auto"/>
                      <w:kern w:val="2"/>
                      <w:sz w:val="21"/>
                      <w:szCs w:val="21"/>
                      <w:lang w:val="en-US" w:eastAsia="zh-CN" w:bidi="ar-SA"/>
                    </w:rPr>
                    <w:t>吨、</w:t>
                  </w:r>
                  <w:r>
                    <w:rPr>
                      <w:rFonts w:hint="default" w:ascii="Times New Roman" w:hAnsi="Times New Roman" w:eastAsia="宋体" w:cs="Times New Roman"/>
                      <w:color w:val="auto"/>
                      <w:kern w:val="2"/>
                      <w:sz w:val="21"/>
                      <w:szCs w:val="21"/>
                      <w:lang w:val="en-US" w:eastAsia="zh-CN" w:bidi="ar-SA"/>
                    </w:rPr>
                    <w:t xml:space="preserve">873 </w:t>
                  </w:r>
                  <w:r>
                    <w:rPr>
                      <w:rFonts w:hint="eastAsia" w:ascii="Times New Roman" w:hAnsi="Times New Roman" w:eastAsia="宋体" w:cs="Times New Roman"/>
                      <w:color w:val="auto"/>
                      <w:kern w:val="2"/>
                      <w:sz w:val="21"/>
                      <w:szCs w:val="21"/>
                      <w:lang w:val="en-US" w:eastAsia="zh-CN" w:bidi="ar-SA"/>
                    </w:rPr>
                    <w:t>吨、</w:t>
                  </w:r>
                  <w:r>
                    <w:rPr>
                      <w:rFonts w:hint="default" w:ascii="Times New Roman" w:hAnsi="Times New Roman" w:eastAsia="宋体" w:cs="Times New Roman"/>
                      <w:color w:val="auto"/>
                      <w:kern w:val="2"/>
                      <w:sz w:val="21"/>
                      <w:szCs w:val="21"/>
                      <w:lang w:val="en-US" w:eastAsia="zh-CN" w:bidi="ar-SA"/>
                    </w:rPr>
                    <w:t xml:space="preserve">1518 </w:t>
                  </w:r>
                  <w:r>
                    <w:rPr>
                      <w:rFonts w:hint="eastAsia" w:ascii="Times New Roman" w:hAnsi="Times New Roman" w:eastAsia="宋体" w:cs="Times New Roman"/>
                      <w:color w:val="auto"/>
                      <w:kern w:val="2"/>
                      <w:sz w:val="21"/>
                      <w:szCs w:val="21"/>
                      <w:lang w:val="en-US" w:eastAsia="zh-CN" w:bidi="ar-SA"/>
                    </w:rPr>
                    <w:t>吨。</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十五五</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及以后执行省级下达的管控指标要求。</w:t>
                  </w:r>
                </w:p>
              </w:tc>
              <w:tc>
                <w:tcPr>
                  <w:tcW w:w="1444" w:type="pct"/>
                  <w:tcBorders>
                    <w:tl2br w:val="nil"/>
                    <w:tr2bl w:val="nil"/>
                  </w:tcBorders>
                  <w:noWrap w:val="0"/>
                  <w:vAlign w:val="center"/>
                </w:tcPr>
                <w:p w14:paraId="2781166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项目主要大气污染物为</w:t>
                  </w:r>
                  <w:r>
                    <w:rPr>
                      <w:rFonts w:hint="eastAsia" w:ascii="Times New Roman" w:hAnsi="Times New Roman" w:eastAsia="宋体" w:cs="Times New Roman"/>
                      <w:b w:val="0"/>
                      <w:bCs/>
                      <w:color w:val="auto"/>
                      <w:kern w:val="2"/>
                      <w:sz w:val="21"/>
                      <w:szCs w:val="21"/>
                      <w:lang w:val="en-US" w:eastAsia="zh-CN" w:bidi="ar-SA"/>
                    </w:rPr>
                    <w:t>油烟、颗粒物、二氧化硫、氮氧化物、硫化氢和氨，</w:t>
                  </w:r>
                  <w:r>
                    <w:rPr>
                      <w:rFonts w:hint="eastAsia" w:ascii="Times New Roman" w:hAnsi="Times New Roman" w:eastAsia="宋体" w:cs="Times New Roman"/>
                      <w:b w:val="0"/>
                      <w:bCs/>
                      <w:color w:val="auto"/>
                      <w:sz w:val="21"/>
                      <w:szCs w:val="21"/>
                      <w:lang w:val="en-US" w:eastAsia="zh-CN"/>
                    </w:rPr>
                    <w:t>燃气灶燃烧废气中的</w:t>
                  </w:r>
                  <w:r>
                    <w:rPr>
                      <w:rFonts w:hint="eastAsia" w:cs="Times New Roman"/>
                      <w:b w:val="0"/>
                      <w:bCs/>
                      <w:color w:val="auto"/>
                      <w:sz w:val="21"/>
                      <w:szCs w:val="21"/>
                      <w:lang w:val="en-US" w:eastAsia="zh-CN"/>
                    </w:rPr>
                    <w:t>颗粒物、二氧化硫、氮氧化物经收集后</w:t>
                  </w:r>
                  <w:r>
                    <w:rPr>
                      <w:rFonts w:hint="eastAsia" w:ascii="Times New Roman" w:hAnsi="Times New Roman" w:eastAsia="宋体" w:cs="Times New Roman"/>
                      <w:b w:val="0"/>
                      <w:bCs/>
                      <w:color w:val="auto"/>
                      <w:sz w:val="21"/>
                      <w:szCs w:val="21"/>
                      <w:lang w:val="en-US" w:eastAsia="zh-CN"/>
                    </w:rPr>
                    <w:t>通过</w:t>
                  </w:r>
                  <w:r>
                    <w:rPr>
                      <w:rFonts w:hint="eastAsia" w:cs="Times New Roman"/>
                      <w:b w:val="0"/>
                      <w:bCs/>
                      <w:color w:val="auto"/>
                      <w:sz w:val="21"/>
                      <w:szCs w:val="21"/>
                      <w:lang w:val="en-US" w:eastAsia="zh-CN"/>
                    </w:rPr>
                    <w:t>静电油烟净化装置</w:t>
                  </w:r>
                  <w:r>
                    <w:rPr>
                      <w:rFonts w:hint="eastAsia" w:ascii="Times New Roman" w:hAnsi="Times New Roman" w:eastAsia="宋体" w:cs="Times New Roman"/>
                      <w:b w:val="0"/>
                      <w:bCs/>
                      <w:color w:val="auto"/>
                      <w:sz w:val="21"/>
                      <w:szCs w:val="21"/>
                      <w:lang w:val="en-US" w:eastAsia="zh-CN"/>
                    </w:rPr>
                    <w:t>处理达标后经</w:t>
                  </w:r>
                  <w:r>
                    <w:rPr>
                      <w:rFonts w:hint="eastAsia" w:cs="Times New Roman"/>
                      <w:b w:val="0"/>
                      <w:bCs/>
                      <w:color w:val="auto"/>
                      <w:sz w:val="21"/>
                      <w:szCs w:val="21"/>
                      <w:lang w:val="en-US" w:eastAsia="zh-CN"/>
                    </w:rPr>
                    <w:t>各自专用排烟管道</w:t>
                  </w:r>
                  <w:r>
                    <w:rPr>
                      <w:rFonts w:hint="eastAsia" w:ascii="Times New Roman" w:hAnsi="Times New Roman" w:eastAsia="宋体" w:cs="Times New Roman"/>
                      <w:b w:val="0"/>
                      <w:bCs/>
                      <w:color w:val="auto"/>
                      <w:sz w:val="21"/>
                      <w:szCs w:val="21"/>
                      <w:lang w:val="en-US" w:eastAsia="zh-CN"/>
                    </w:rPr>
                    <w:t>排放</w:t>
                  </w:r>
                  <w:r>
                    <w:rPr>
                      <w:rFonts w:hint="eastAsia" w:cs="Times New Roman"/>
                      <w:b w:val="0"/>
                      <w:bCs/>
                      <w:color w:val="auto"/>
                      <w:sz w:val="21"/>
                      <w:szCs w:val="21"/>
                      <w:lang w:val="en-US" w:eastAsia="zh-CN"/>
                    </w:rPr>
                    <w:t>；</w:t>
                  </w:r>
                </w:p>
                <w:p w14:paraId="39DCB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锅炉废气中的颗粒物、二氧化硫、氮氧化物</w:t>
                  </w:r>
                  <w:r>
                    <w:rPr>
                      <w:rFonts w:hint="eastAsia" w:ascii="Times New Roman" w:hAnsi="Times New Roman" w:eastAsia="宋体" w:cs="Times New Roman"/>
                      <w:b w:val="0"/>
                      <w:bCs/>
                      <w:color w:val="auto"/>
                      <w:sz w:val="21"/>
                      <w:szCs w:val="21"/>
                      <w:lang w:val="en-US" w:eastAsia="zh-CN"/>
                    </w:rPr>
                    <w:t>通过</w:t>
                  </w:r>
                  <w:r>
                    <w:rPr>
                      <w:rFonts w:hint="eastAsia" w:cs="Times New Roman"/>
                      <w:b w:val="0"/>
                      <w:bCs/>
                      <w:color w:val="auto"/>
                      <w:sz w:val="21"/>
                      <w:szCs w:val="21"/>
                      <w:lang w:val="en-US" w:eastAsia="zh-CN"/>
                    </w:rPr>
                    <w:t>低氮燃烧技术处理后经各自专用排气筒</w:t>
                  </w:r>
                  <w:r>
                    <w:rPr>
                      <w:rFonts w:hint="eastAsia" w:ascii="Times New Roman" w:hAnsi="Times New Roman" w:eastAsia="宋体" w:cs="Times New Roman"/>
                      <w:b w:val="0"/>
                      <w:bCs/>
                      <w:color w:val="auto"/>
                      <w:sz w:val="21"/>
                      <w:szCs w:val="21"/>
                      <w:lang w:val="en-US" w:eastAsia="zh-CN"/>
                    </w:rPr>
                    <w:t>排放</w:t>
                  </w:r>
                  <w:r>
                    <w:rPr>
                      <w:rFonts w:hint="eastAsia" w:cs="Times New Roman"/>
                      <w:b w:val="0"/>
                      <w:bCs/>
                      <w:color w:val="auto"/>
                      <w:sz w:val="21"/>
                      <w:szCs w:val="21"/>
                      <w:lang w:val="en-US" w:eastAsia="zh-CN"/>
                    </w:rPr>
                    <w:t>；</w:t>
                  </w:r>
                </w:p>
                <w:p w14:paraId="087AB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本项目废水主要分为生活污水、生产废水</w:t>
                  </w:r>
                  <w:r>
                    <w:rPr>
                      <w:rFonts w:hint="eastAsia" w:cs="Times New Roman"/>
                      <w:color w:val="auto"/>
                      <w:kern w:val="0"/>
                      <w:sz w:val="21"/>
                      <w:szCs w:val="21"/>
                      <w:lang w:val="en-US" w:eastAsia="zh-CN" w:bidi="ar"/>
                    </w:rPr>
                    <w:t>和纯水制备浓水</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纯水制备浓水可</w:t>
                  </w:r>
                  <w:r>
                    <w:rPr>
                      <w:rFonts w:hint="eastAsia" w:cs="Times New Roman"/>
                      <w:color w:val="auto"/>
                      <w:sz w:val="21"/>
                      <w:szCs w:val="21"/>
                      <w:highlight w:val="none"/>
                      <w:lang w:val="en-US" w:eastAsia="zh-CN"/>
                    </w:rPr>
                    <w:t>不经过污水处理站处理直接</w:t>
                  </w:r>
                  <w:r>
                    <w:rPr>
                      <w:rFonts w:hint="default" w:ascii="Times New Roman" w:hAnsi="Times New Roman" w:cs="Times New Roman"/>
                      <w:color w:val="auto"/>
                      <w:sz w:val="21"/>
                      <w:szCs w:val="21"/>
                      <w:highlight w:val="none"/>
                      <w:lang w:val="en-US" w:eastAsia="zh-CN"/>
                    </w:rPr>
                    <w:t>和</w:t>
                  </w:r>
                  <w:r>
                    <w:rPr>
                      <w:rFonts w:hint="eastAsia" w:ascii="Times New Roman" w:hAnsi="Times New Roman" w:cs="Times New Roman"/>
                      <w:color w:val="auto"/>
                      <w:sz w:val="21"/>
                      <w:szCs w:val="21"/>
                      <w:highlight w:val="none"/>
                      <w:lang w:val="en-US" w:eastAsia="zh-CN"/>
                    </w:rPr>
                    <w:t>污水处理站</w:t>
                  </w:r>
                  <w:r>
                    <w:rPr>
                      <w:rFonts w:hint="default" w:ascii="Times New Roman" w:hAnsi="Times New Roman" w:cs="Times New Roman"/>
                      <w:color w:val="auto"/>
                      <w:sz w:val="21"/>
                      <w:szCs w:val="21"/>
                      <w:highlight w:val="none"/>
                      <w:lang w:val="en-US" w:eastAsia="zh-CN"/>
                    </w:rPr>
                    <w:t>处理过的废水一起经总排口排入污水管网</w:t>
                  </w:r>
                  <w:r>
                    <w:rPr>
                      <w:rFonts w:hint="eastAsia" w:cs="Times New Roman"/>
                      <w:color w:val="auto"/>
                      <w:kern w:val="0"/>
                      <w:sz w:val="21"/>
                      <w:szCs w:val="21"/>
                      <w:lang w:val="en-US" w:eastAsia="zh-CN" w:bidi="ar"/>
                    </w:rPr>
                    <w:t>，</w:t>
                  </w:r>
                  <w:r>
                    <w:rPr>
                      <w:rFonts w:hint="eastAsia" w:ascii="Times New Roman" w:hAnsi="Times New Roman" w:eastAsia="宋体" w:cs="Times New Roman"/>
                      <w:b w:val="0"/>
                      <w:bCs/>
                      <w:color w:val="auto"/>
                      <w:kern w:val="2"/>
                      <w:sz w:val="21"/>
                      <w:szCs w:val="21"/>
                      <w:lang w:val="en-US" w:eastAsia="zh-CN" w:bidi="ar-SA"/>
                    </w:rPr>
                    <w:t>生活污水经化粪池处理后和生产废水一起进入自建污水处理站处理达标后通过污水管网进入宁都县第二污水处理厂处理达标后，最终排入梅江。</w:t>
                  </w:r>
                </w:p>
                <w:p w14:paraId="25C41897">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vertAlign w:val="baseline"/>
                      <w:lang w:val="en-US" w:eastAsia="zh-CN"/>
                    </w:rPr>
                    <w:t>不涉及</w:t>
                  </w:r>
                  <w:r>
                    <w:rPr>
                      <w:rFonts w:hint="eastAsia" w:cs="Times New Roman"/>
                      <w:color w:val="auto"/>
                      <w:kern w:val="0"/>
                      <w:sz w:val="21"/>
                      <w:szCs w:val="21"/>
                      <w:highlight w:val="none"/>
                      <w:lang w:val="en-US" w:eastAsia="zh-CN" w:bidi="ar"/>
                    </w:rPr>
                    <w:t>挥发性有机物</w:t>
                  </w:r>
                  <w:r>
                    <w:rPr>
                      <w:rFonts w:hint="default" w:ascii="Times New Roman" w:hAnsi="Times New Roman" w:eastAsia="宋体" w:cs="Times New Roman"/>
                      <w:color w:val="auto"/>
                      <w:kern w:val="0"/>
                      <w:sz w:val="21"/>
                      <w:szCs w:val="21"/>
                      <w:highlight w:val="none"/>
                      <w:lang w:val="en-US" w:eastAsia="zh-CN" w:bidi="ar"/>
                    </w:rPr>
                    <w:t>排放总量</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氮氧化物</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化学需氧量、氨氮</w:t>
                  </w:r>
                  <w:r>
                    <w:rPr>
                      <w:color w:val="auto"/>
                      <w:sz w:val="21"/>
                      <w:szCs w:val="21"/>
                    </w:rPr>
                    <w:t>排放总量</w:t>
                  </w:r>
                  <w:r>
                    <w:rPr>
                      <w:rFonts w:hint="eastAsia"/>
                      <w:color w:val="auto"/>
                      <w:sz w:val="21"/>
                      <w:szCs w:val="21"/>
                    </w:rPr>
                    <w:t>符合赣州市</w:t>
                  </w:r>
                  <w:r>
                    <w:rPr>
                      <w:rFonts w:hint="eastAsia"/>
                      <w:color w:val="auto"/>
                      <w:sz w:val="21"/>
                      <w:szCs w:val="21"/>
                      <w:lang w:val="en-US" w:eastAsia="zh-CN"/>
                    </w:rPr>
                    <w:t>宁都县</w:t>
                  </w:r>
                  <w:r>
                    <w:rPr>
                      <w:rFonts w:hint="eastAsia"/>
                      <w:color w:val="auto"/>
                      <w:sz w:val="21"/>
                      <w:szCs w:val="21"/>
                    </w:rPr>
                    <w:t>要求</w:t>
                  </w:r>
                  <w:r>
                    <w:rPr>
                      <w:rFonts w:hint="eastAsia"/>
                      <w:color w:val="auto"/>
                      <w:sz w:val="21"/>
                      <w:szCs w:val="21"/>
                      <w:lang w:eastAsia="zh-CN"/>
                    </w:rPr>
                    <w:t>。</w:t>
                  </w:r>
                </w:p>
              </w:tc>
              <w:tc>
                <w:tcPr>
                  <w:tcW w:w="396" w:type="pct"/>
                  <w:tcBorders>
                    <w:tl2br w:val="nil"/>
                    <w:tr2bl w:val="nil"/>
                  </w:tcBorders>
                  <w:noWrap w:val="0"/>
                  <w:vAlign w:val="center"/>
                </w:tcPr>
                <w:p w14:paraId="19FD206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Times New Roman"/>
                      <w:b w:val="0"/>
                      <w:bCs/>
                      <w:color w:val="auto"/>
                      <w:sz w:val="21"/>
                      <w:szCs w:val="21"/>
                      <w:lang w:val="en-US" w:eastAsia="zh-CN"/>
                    </w:rPr>
                  </w:pPr>
                  <w:r>
                    <w:rPr>
                      <w:rFonts w:hint="eastAsia" w:ascii="Times New Roman" w:hAnsi="Times New Roman" w:cs="Times New Roman"/>
                      <w:color w:val="auto"/>
                      <w:lang w:val="en-US" w:eastAsia="zh-CN"/>
                    </w:rPr>
                    <w:t>符合</w:t>
                  </w:r>
                </w:p>
              </w:tc>
            </w:tr>
            <w:tr w14:paraId="67A8A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74E8127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tcBorders>
                    <w:tl2br w:val="nil"/>
                    <w:tr2bl w:val="nil"/>
                  </w:tcBorders>
                  <w:noWrap w:val="0"/>
                  <w:tcMar>
                    <w:top w:w="0" w:type="dxa"/>
                    <w:left w:w="108" w:type="dxa"/>
                    <w:bottom w:w="0" w:type="dxa"/>
                    <w:right w:w="108" w:type="dxa"/>
                  </w:tcMar>
                  <w:vAlign w:val="center"/>
                </w:tcPr>
                <w:p w14:paraId="4A07B7A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现有源提标升级改造</w:t>
                  </w:r>
                </w:p>
              </w:tc>
              <w:tc>
                <w:tcPr>
                  <w:tcW w:w="288" w:type="pct"/>
                  <w:tcBorders>
                    <w:tl2br w:val="nil"/>
                    <w:tr2bl w:val="nil"/>
                  </w:tcBorders>
                  <w:noWrap w:val="0"/>
                  <w:tcMar>
                    <w:top w:w="0" w:type="dxa"/>
                    <w:left w:w="108" w:type="dxa"/>
                    <w:bottom w:w="0" w:type="dxa"/>
                    <w:right w:w="108" w:type="dxa"/>
                  </w:tcMar>
                  <w:vAlign w:val="center"/>
                </w:tcPr>
                <w:p w14:paraId="42C2C9B9">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Times New Roman"/>
                      <w:color w:val="auto"/>
                      <w:lang w:eastAsia="zh-CN"/>
                    </w:rPr>
                  </w:pPr>
                  <w:r>
                    <w:rPr>
                      <w:rFonts w:hint="eastAsia" w:cs="Times New Roman"/>
                      <w:color w:val="auto"/>
                      <w:lang w:val="en-US" w:eastAsia="zh-CN"/>
                    </w:rPr>
                    <w:t>9</w:t>
                  </w:r>
                </w:p>
              </w:tc>
              <w:tc>
                <w:tcPr>
                  <w:tcW w:w="2106" w:type="pct"/>
                  <w:tcBorders>
                    <w:tl2br w:val="nil"/>
                    <w:tr2bl w:val="nil"/>
                  </w:tcBorders>
                  <w:noWrap w:val="0"/>
                  <w:tcMar>
                    <w:top w:w="0" w:type="dxa"/>
                    <w:left w:w="108" w:type="dxa"/>
                    <w:bottom w:w="0" w:type="dxa"/>
                    <w:right w:w="108" w:type="dxa"/>
                  </w:tcMar>
                  <w:vAlign w:val="center"/>
                </w:tcPr>
                <w:p w14:paraId="568636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依法严把准入关，县级及以上城市建成区不再审批35蒸吨</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小时及以下燃煤锅炉。</w:t>
                  </w:r>
                </w:p>
              </w:tc>
              <w:tc>
                <w:tcPr>
                  <w:tcW w:w="1444" w:type="pct"/>
                  <w:tcBorders>
                    <w:tl2br w:val="nil"/>
                    <w:tr2bl w:val="nil"/>
                  </w:tcBorders>
                  <w:noWrap w:val="0"/>
                  <w:vAlign w:val="center"/>
                </w:tcPr>
                <w:p w14:paraId="458B1F5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本项目不含有</w:t>
                  </w:r>
                  <w:r>
                    <w:rPr>
                      <w:rFonts w:hint="eastAsia" w:ascii="Times New Roman" w:hAnsi="Times New Roman" w:eastAsia="宋体" w:cs="Times New Roman"/>
                      <w:color w:val="auto"/>
                      <w:kern w:val="2"/>
                      <w:sz w:val="21"/>
                      <w:szCs w:val="21"/>
                      <w:lang w:val="en-US" w:eastAsia="zh-CN" w:bidi="ar-SA"/>
                    </w:rPr>
                    <w:t>燃煤锅炉，不属于此类项目</w:t>
                  </w:r>
                </w:p>
              </w:tc>
              <w:tc>
                <w:tcPr>
                  <w:tcW w:w="396" w:type="pct"/>
                  <w:tcBorders>
                    <w:tl2br w:val="nil"/>
                    <w:tr2bl w:val="nil"/>
                  </w:tcBorders>
                  <w:noWrap w:val="0"/>
                  <w:vAlign w:val="center"/>
                </w:tcPr>
                <w:p w14:paraId="51492E3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Times New Roman"/>
                      <w:color w:val="auto"/>
                      <w:lang w:val="en-US" w:eastAsia="zh-CN"/>
                    </w:rPr>
                  </w:pPr>
                  <w:r>
                    <w:rPr>
                      <w:rFonts w:hint="eastAsia" w:ascii="Times New Roman" w:hAnsi="Times New Roman" w:cs="Times New Roman"/>
                      <w:color w:val="auto"/>
                      <w:lang w:val="en-US" w:eastAsia="zh-CN"/>
                    </w:rPr>
                    <w:t>符合</w:t>
                  </w:r>
                </w:p>
              </w:tc>
            </w:tr>
            <w:tr w14:paraId="0C5C6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restart"/>
                  <w:tcBorders>
                    <w:tl2br w:val="nil"/>
                    <w:tr2bl w:val="nil"/>
                  </w:tcBorders>
                  <w:noWrap w:val="0"/>
                  <w:tcMar>
                    <w:top w:w="0" w:type="dxa"/>
                    <w:left w:w="108" w:type="dxa"/>
                    <w:bottom w:w="0" w:type="dxa"/>
                    <w:right w:w="108" w:type="dxa"/>
                  </w:tcMar>
                  <w:vAlign w:val="center"/>
                </w:tcPr>
                <w:p w14:paraId="6E3107C9">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环境风险防控</w:t>
                  </w:r>
                </w:p>
              </w:tc>
              <w:tc>
                <w:tcPr>
                  <w:tcW w:w="505" w:type="pct"/>
                  <w:vMerge w:val="restart"/>
                  <w:tcBorders>
                    <w:tl2br w:val="nil"/>
                    <w:tr2bl w:val="nil"/>
                  </w:tcBorders>
                  <w:noWrap w:val="0"/>
                  <w:tcMar>
                    <w:top w:w="0" w:type="dxa"/>
                    <w:left w:w="108" w:type="dxa"/>
                    <w:bottom w:w="0" w:type="dxa"/>
                    <w:right w:w="108" w:type="dxa"/>
                  </w:tcMar>
                  <w:vAlign w:val="center"/>
                </w:tcPr>
                <w:p w14:paraId="5EA85BF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联防联控要求</w:t>
                  </w:r>
                </w:p>
              </w:tc>
              <w:tc>
                <w:tcPr>
                  <w:tcW w:w="288" w:type="pct"/>
                  <w:vMerge w:val="restart"/>
                  <w:tcBorders>
                    <w:tl2br w:val="nil"/>
                    <w:tr2bl w:val="nil"/>
                  </w:tcBorders>
                  <w:noWrap w:val="0"/>
                  <w:tcMar>
                    <w:top w:w="0" w:type="dxa"/>
                    <w:left w:w="108" w:type="dxa"/>
                    <w:bottom w:w="0" w:type="dxa"/>
                    <w:right w:w="108" w:type="dxa"/>
                  </w:tcMar>
                  <w:vAlign w:val="center"/>
                </w:tcPr>
                <w:p w14:paraId="78CCEEB3">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2106" w:type="pct"/>
                  <w:tcBorders>
                    <w:tl2br w:val="nil"/>
                    <w:tr2bl w:val="nil"/>
                  </w:tcBorders>
                  <w:noWrap w:val="0"/>
                  <w:tcMar>
                    <w:top w:w="0" w:type="dxa"/>
                    <w:left w:w="108" w:type="dxa"/>
                    <w:bottom w:w="0" w:type="dxa"/>
                    <w:right w:w="108" w:type="dxa"/>
                  </w:tcMar>
                  <w:vAlign w:val="center"/>
                </w:tcPr>
                <w:p w14:paraId="721D1878">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1、积极参与和龙岩市区域大气污染防治联防联控合作及和广东省跨界河流水污染联防联控协作工作，推动省界生态环境特征相似区域环境管控要求协调统一。</w:t>
                  </w:r>
                </w:p>
              </w:tc>
              <w:tc>
                <w:tcPr>
                  <w:tcW w:w="1444" w:type="pct"/>
                  <w:tcBorders>
                    <w:tl2br w:val="nil"/>
                    <w:tr2bl w:val="nil"/>
                  </w:tcBorders>
                  <w:noWrap w:val="0"/>
                  <w:vAlign w:val="center"/>
                </w:tcPr>
                <w:p w14:paraId="7FF81829">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color w:val="auto"/>
                      <w:lang w:val="en-US" w:eastAsia="zh-CN"/>
                    </w:rPr>
                    <w:t>本项目不属于</w:t>
                  </w:r>
                  <w:r>
                    <w:rPr>
                      <w:color w:val="auto"/>
                    </w:rPr>
                    <w:t>省界生态环境特征相似区域</w:t>
                  </w:r>
                </w:p>
              </w:tc>
              <w:tc>
                <w:tcPr>
                  <w:tcW w:w="396" w:type="pct"/>
                  <w:tcBorders>
                    <w:tl2br w:val="nil"/>
                    <w:tr2bl w:val="nil"/>
                  </w:tcBorders>
                  <w:noWrap w:val="0"/>
                  <w:vAlign w:val="center"/>
                </w:tcPr>
                <w:p w14:paraId="0E23418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olor w:val="auto"/>
                      <w:lang w:val="en-US" w:eastAsia="zh-CN"/>
                    </w:rPr>
                  </w:pPr>
                  <w:r>
                    <w:rPr>
                      <w:rFonts w:hint="eastAsia" w:ascii="Times New Roman" w:hAnsi="Times New Roman" w:cs="Times New Roman"/>
                      <w:color w:val="auto"/>
                      <w:lang w:val="en-US" w:eastAsia="zh-CN"/>
                    </w:rPr>
                    <w:t>符合</w:t>
                  </w:r>
                </w:p>
              </w:tc>
            </w:tr>
            <w:tr w14:paraId="7539B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60FAC8B6">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2714F3C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341D455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5FD0B3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2、严格落实重度污染区风险管控要求，严格管控区内禁止种植食用农产品。</w:t>
                  </w:r>
                </w:p>
              </w:tc>
              <w:tc>
                <w:tcPr>
                  <w:tcW w:w="1444" w:type="pct"/>
                  <w:tcBorders>
                    <w:tl2br w:val="nil"/>
                    <w:tr2bl w:val="nil"/>
                  </w:tcBorders>
                  <w:noWrap w:val="0"/>
                  <w:vAlign w:val="center"/>
                </w:tcPr>
                <w:p w14:paraId="4C9C3EF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lang w:val="en-US"/>
                    </w:rPr>
                  </w:pPr>
                  <w:r>
                    <w:rPr>
                      <w:rFonts w:hint="eastAsia"/>
                      <w:color w:val="auto"/>
                      <w:lang w:val="en-US" w:eastAsia="zh-CN"/>
                    </w:rPr>
                    <w:t>本项目不属于种植农产品产业</w:t>
                  </w:r>
                </w:p>
              </w:tc>
              <w:tc>
                <w:tcPr>
                  <w:tcW w:w="396" w:type="pct"/>
                  <w:tcBorders>
                    <w:tl2br w:val="nil"/>
                    <w:tr2bl w:val="nil"/>
                  </w:tcBorders>
                  <w:noWrap w:val="0"/>
                  <w:vAlign w:val="center"/>
                </w:tcPr>
                <w:p w14:paraId="6A56B54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olor w:val="auto"/>
                      <w:lang w:val="en-US" w:eastAsia="zh-CN"/>
                    </w:rPr>
                  </w:pPr>
                  <w:r>
                    <w:rPr>
                      <w:rFonts w:hint="eastAsia" w:ascii="Times New Roman" w:hAnsi="Times New Roman" w:cs="Times New Roman"/>
                      <w:color w:val="auto"/>
                      <w:lang w:val="en-US" w:eastAsia="zh-CN"/>
                    </w:rPr>
                    <w:t>符合</w:t>
                  </w:r>
                </w:p>
              </w:tc>
            </w:tr>
            <w:tr w14:paraId="2190B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17822CFF">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6F541F9D">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18FFB7E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05622DFE">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3、纳入疑似污染地块的，应当依法开展土壤污染环境质量状况调查，确定为污染地块后，经治理与修复，并符合相应规划用地土壤环境质量标准要求后，方可进入用地程序。</w:t>
                  </w:r>
                </w:p>
              </w:tc>
              <w:tc>
                <w:tcPr>
                  <w:tcW w:w="1444" w:type="pct"/>
                  <w:tcBorders>
                    <w:tl2br w:val="nil"/>
                    <w:tr2bl w:val="nil"/>
                  </w:tcBorders>
                  <w:noWrap w:val="0"/>
                  <w:vAlign w:val="center"/>
                </w:tcPr>
                <w:p w14:paraId="1A1CC4FD">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vertAlign w:val="baseline"/>
                      <w:lang w:val="en-US" w:eastAsia="zh-CN"/>
                    </w:rPr>
                    <w:t>本项目不涉及</w:t>
                  </w:r>
                </w:p>
              </w:tc>
              <w:tc>
                <w:tcPr>
                  <w:tcW w:w="396" w:type="pct"/>
                  <w:tcBorders>
                    <w:tl2br w:val="nil"/>
                    <w:tr2bl w:val="nil"/>
                  </w:tcBorders>
                  <w:noWrap w:val="0"/>
                  <w:vAlign w:val="center"/>
                </w:tcPr>
                <w:p w14:paraId="5FEA4E7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2A2BC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tcMar>
                    <w:top w:w="0" w:type="dxa"/>
                    <w:left w:w="108" w:type="dxa"/>
                    <w:bottom w:w="0" w:type="dxa"/>
                    <w:right w:w="108" w:type="dxa"/>
                  </w:tcMar>
                  <w:vAlign w:val="center"/>
                </w:tcPr>
                <w:p w14:paraId="61582740">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tcMar>
                    <w:top w:w="0" w:type="dxa"/>
                    <w:left w:w="108" w:type="dxa"/>
                    <w:bottom w:w="0" w:type="dxa"/>
                    <w:right w:w="108" w:type="dxa"/>
                  </w:tcMar>
                  <w:vAlign w:val="center"/>
                </w:tcPr>
                <w:p w14:paraId="3F2F9929">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tcMar>
                    <w:top w:w="0" w:type="dxa"/>
                    <w:left w:w="108" w:type="dxa"/>
                    <w:bottom w:w="0" w:type="dxa"/>
                    <w:right w:w="108" w:type="dxa"/>
                  </w:tcMar>
                  <w:vAlign w:val="center"/>
                </w:tcPr>
                <w:p w14:paraId="4A052AD2">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2DE5B793">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4、工业园区应建立三级环境风险防控体系。</w:t>
                  </w:r>
                </w:p>
              </w:tc>
              <w:tc>
                <w:tcPr>
                  <w:tcW w:w="1444" w:type="pct"/>
                  <w:tcBorders>
                    <w:tl2br w:val="nil"/>
                    <w:tr2bl w:val="nil"/>
                  </w:tcBorders>
                  <w:noWrap w:val="0"/>
                  <w:vAlign w:val="center"/>
                </w:tcPr>
                <w:p w14:paraId="298C53ED">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color w:val="auto"/>
                      <w:lang w:val="en-US" w:eastAsia="zh-CN"/>
                    </w:rPr>
                    <w:t>本项目所在园区已建立三级环境风险防控体系</w:t>
                  </w:r>
                </w:p>
              </w:tc>
              <w:tc>
                <w:tcPr>
                  <w:tcW w:w="396" w:type="pct"/>
                  <w:tcBorders>
                    <w:tl2br w:val="nil"/>
                    <w:tr2bl w:val="nil"/>
                  </w:tcBorders>
                  <w:noWrap w:val="0"/>
                  <w:vAlign w:val="center"/>
                </w:tcPr>
                <w:p w14:paraId="2410B57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3DC98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02E59813">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1463C50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4A2E7AF7">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616DD7BB">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5、紧邻居住、科教、医院等环境敏感点的工业用地，禁止规划环境风险等级高的建设项目。</w:t>
                  </w:r>
                </w:p>
              </w:tc>
              <w:tc>
                <w:tcPr>
                  <w:tcW w:w="1444" w:type="pct"/>
                  <w:tcBorders>
                    <w:tl2br w:val="nil"/>
                    <w:tr2bl w:val="nil"/>
                  </w:tcBorders>
                  <w:noWrap w:val="0"/>
                  <w:vAlign w:val="center"/>
                </w:tcPr>
                <w:p w14:paraId="1FA4352F">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vertAlign w:val="baseline"/>
                      <w:lang w:val="en-US" w:eastAsia="zh-CN"/>
                    </w:rPr>
                    <w:t>本项目不涉及</w:t>
                  </w:r>
                </w:p>
              </w:tc>
              <w:tc>
                <w:tcPr>
                  <w:tcW w:w="396" w:type="pct"/>
                  <w:tcBorders>
                    <w:tl2br w:val="nil"/>
                    <w:tr2bl w:val="nil"/>
                  </w:tcBorders>
                  <w:noWrap w:val="0"/>
                  <w:vAlign w:val="center"/>
                </w:tcPr>
                <w:p w14:paraId="1818138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3A536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3C4D34DB">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1AD00DE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375629DD">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73374D9E">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6、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1444" w:type="pct"/>
                  <w:tcBorders>
                    <w:tl2br w:val="nil"/>
                    <w:tr2bl w:val="nil"/>
                  </w:tcBorders>
                  <w:noWrap w:val="0"/>
                  <w:vAlign w:val="center"/>
                </w:tcPr>
                <w:p w14:paraId="2D27C2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本项目废水主要分为生活污水、生产废水</w:t>
                  </w:r>
                  <w:r>
                    <w:rPr>
                      <w:rFonts w:hint="eastAsia" w:cs="Times New Roman"/>
                      <w:color w:val="auto"/>
                      <w:kern w:val="0"/>
                      <w:sz w:val="21"/>
                      <w:szCs w:val="21"/>
                      <w:lang w:val="en-US" w:eastAsia="zh-CN" w:bidi="ar"/>
                    </w:rPr>
                    <w:t>和纯水制备浓水</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纯水制备浓水可</w:t>
                  </w:r>
                  <w:r>
                    <w:rPr>
                      <w:rFonts w:hint="eastAsia" w:cs="Times New Roman"/>
                      <w:color w:val="auto"/>
                      <w:sz w:val="21"/>
                      <w:szCs w:val="21"/>
                      <w:highlight w:val="none"/>
                      <w:lang w:val="en-US" w:eastAsia="zh-CN"/>
                    </w:rPr>
                    <w:t>不经过污水处理站处理直接</w:t>
                  </w:r>
                  <w:r>
                    <w:rPr>
                      <w:rFonts w:hint="default" w:ascii="Times New Roman" w:hAnsi="Times New Roman" w:cs="Times New Roman"/>
                      <w:color w:val="auto"/>
                      <w:sz w:val="21"/>
                      <w:szCs w:val="21"/>
                      <w:highlight w:val="none"/>
                      <w:lang w:val="en-US" w:eastAsia="zh-CN"/>
                    </w:rPr>
                    <w:t>和</w:t>
                  </w:r>
                  <w:r>
                    <w:rPr>
                      <w:rFonts w:hint="eastAsia" w:ascii="Times New Roman" w:hAnsi="Times New Roman" w:cs="Times New Roman"/>
                      <w:color w:val="auto"/>
                      <w:sz w:val="21"/>
                      <w:szCs w:val="21"/>
                      <w:highlight w:val="none"/>
                      <w:lang w:val="en-US" w:eastAsia="zh-CN"/>
                    </w:rPr>
                    <w:t>污水处理站</w:t>
                  </w:r>
                  <w:r>
                    <w:rPr>
                      <w:rFonts w:hint="default" w:ascii="Times New Roman" w:hAnsi="Times New Roman" w:cs="Times New Roman"/>
                      <w:color w:val="auto"/>
                      <w:sz w:val="21"/>
                      <w:szCs w:val="21"/>
                      <w:highlight w:val="none"/>
                      <w:lang w:val="en-US" w:eastAsia="zh-CN"/>
                    </w:rPr>
                    <w:t>处理过的废水一起经总排口排入污水管网</w:t>
                  </w:r>
                  <w:r>
                    <w:rPr>
                      <w:rFonts w:hint="eastAsia" w:cs="Times New Roman"/>
                      <w:color w:val="auto"/>
                      <w:kern w:val="0"/>
                      <w:sz w:val="21"/>
                      <w:szCs w:val="21"/>
                      <w:lang w:val="en-US" w:eastAsia="zh-CN" w:bidi="ar"/>
                    </w:rPr>
                    <w:t>，</w:t>
                  </w:r>
                  <w:r>
                    <w:rPr>
                      <w:rFonts w:hint="eastAsia" w:ascii="Times New Roman" w:hAnsi="Times New Roman" w:eastAsia="宋体" w:cs="Times New Roman"/>
                      <w:b w:val="0"/>
                      <w:bCs/>
                      <w:color w:val="auto"/>
                      <w:kern w:val="2"/>
                      <w:sz w:val="21"/>
                      <w:szCs w:val="21"/>
                      <w:lang w:val="en-US" w:eastAsia="zh-CN" w:bidi="ar-SA"/>
                    </w:rPr>
                    <w:t>生活污水经化粪池处理后和生产废水一起进入自建污水处理站处理达标后通过污水管网进入宁都县第二污水处理厂处理达标后，最终排入梅江。</w:t>
                  </w:r>
                </w:p>
                <w:p w14:paraId="6CDBEBF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val="0"/>
                      <w:color w:val="auto"/>
                      <w:sz w:val="21"/>
                      <w:szCs w:val="21"/>
                      <w:highlight w:val="none"/>
                      <w:vertAlign w:val="baseline"/>
                      <w:lang w:val="en-US" w:eastAsia="zh-CN"/>
                    </w:rPr>
                    <w:t>项目自建污水处理站已设置防渗处理措施，</w:t>
                  </w:r>
                  <w:r>
                    <w:rPr>
                      <w:rFonts w:hint="eastAsia" w:ascii="Times New Roman" w:hAnsi="Times New Roman" w:eastAsia="宋体" w:cs="Times New Roman"/>
                      <w:b w:val="0"/>
                      <w:bCs w:val="0"/>
                      <w:color w:val="auto"/>
                      <w:sz w:val="21"/>
                      <w:szCs w:val="21"/>
                      <w:highlight w:val="none"/>
                      <w:vertAlign w:val="baseline"/>
                      <w:lang w:val="en-US" w:eastAsia="zh-CN"/>
                    </w:rPr>
                    <w:t>防止因渗漏污染地下水、土壤，以及因事故废水直排污染地表水体。</w:t>
                  </w:r>
                </w:p>
                <w:p w14:paraId="4BD2CE86">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项目对厂区进行防渗处理，危险废物暂存于危废暂存间，</w:t>
                  </w:r>
                  <w:r>
                    <w:rPr>
                      <w:rFonts w:hint="eastAsia"/>
                      <w:color w:val="auto"/>
                      <w:lang w:val="en-US" w:eastAsia="zh-CN"/>
                    </w:rPr>
                    <w:t>危险废物的存放和处置均按照《危险废物贮存污染控制标准》(GB18597-2023)中规定。</w:t>
                  </w:r>
                </w:p>
              </w:tc>
              <w:tc>
                <w:tcPr>
                  <w:tcW w:w="396" w:type="pct"/>
                  <w:tcBorders>
                    <w:tl2br w:val="nil"/>
                    <w:tr2bl w:val="nil"/>
                  </w:tcBorders>
                  <w:noWrap w:val="0"/>
                  <w:vAlign w:val="center"/>
                </w:tcPr>
                <w:p w14:paraId="0091F99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2198C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restart"/>
                  <w:tcBorders>
                    <w:tl2br w:val="nil"/>
                    <w:tr2bl w:val="nil"/>
                  </w:tcBorders>
                  <w:noWrap w:val="0"/>
                  <w:tcMar>
                    <w:top w:w="0" w:type="dxa"/>
                    <w:left w:w="108" w:type="dxa"/>
                    <w:bottom w:w="0" w:type="dxa"/>
                    <w:right w:w="108" w:type="dxa"/>
                  </w:tcMar>
                  <w:vAlign w:val="center"/>
                </w:tcPr>
                <w:p w14:paraId="35105F4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资源利用效率要求</w:t>
                  </w:r>
                </w:p>
              </w:tc>
              <w:tc>
                <w:tcPr>
                  <w:tcW w:w="505" w:type="pct"/>
                  <w:vMerge w:val="restart"/>
                  <w:tcBorders>
                    <w:tl2br w:val="nil"/>
                    <w:tr2bl w:val="nil"/>
                  </w:tcBorders>
                  <w:noWrap w:val="0"/>
                  <w:tcMar>
                    <w:top w:w="0" w:type="dxa"/>
                    <w:left w:w="108" w:type="dxa"/>
                    <w:bottom w:w="0" w:type="dxa"/>
                    <w:right w:w="108" w:type="dxa"/>
                  </w:tcMar>
                  <w:vAlign w:val="center"/>
                </w:tcPr>
                <w:p w14:paraId="4EB84B2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水资源利用总量要求</w:t>
                  </w:r>
                </w:p>
              </w:tc>
              <w:tc>
                <w:tcPr>
                  <w:tcW w:w="288" w:type="pct"/>
                  <w:vMerge w:val="restart"/>
                  <w:tcBorders>
                    <w:tl2br w:val="nil"/>
                    <w:tr2bl w:val="nil"/>
                  </w:tcBorders>
                  <w:noWrap w:val="0"/>
                  <w:tcMar>
                    <w:top w:w="0" w:type="dxa"/>
                    <w:left w:w="108" w:type="dxa"/>
                    <w:bottom w:w="0" w:type="dxa"/>
                    <w:right w:w="108" w:type="dxa"/>
                  </w:tcMar>
                  <w:vAlign w:val="center"/>
                </w:tcPr>
                <w:p w14:paraId="20920E73">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1</w:t>
                  </w:r>
                  <w:r>
                    <w:rPr>
                      <w:rFonts w:hint="eastAsia" w:cs="Times New Roman"/>
                      <w:color w:val="auto"/>
                      <w:lang w:val="en-US" w:eastAsia="zh-CN"/>
                    </w:rPr>
                    <w:t>1</w:t>
                  </w:r>
                </w:p>
              </w:tc>
              <w:tc>
                <w:tcPr>
                  <w:tcW w:w="2106" w:type="pct"/>
                  <w:tcBorders>
                    <w:tl2br w:val="nil"/>
                    <w:tr2bl w:val="nil"/>
                  </w:tcBorders>
                  <w:noWrap w:val="0"/>
                  <w:tcMar>
                    <w:top w:w="0" w:type="dxa"/>
                    <w:left w:w="108" w:type="dxa"/>
                    <w:bottom w:w="0" w:type="dxa"/>
                    <w:right w:w="108" w:type="dxa"/>
                  </w:tcMar>
                  <w:vAlign w:val="center"/>
                </w:tcPr>
                <w:p w14:paraId="3F4DBF4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1、到202</w:t>
                  </w:r>
                  <w:r>
                    <w:rPr>
                      <w:rFonts w:hint="eastAsia" w:cs="Times New Roman"/>
                      <w:color w:val="auto"/>
                      <w:lang w:val="en-US" w:eastAsia="zh-CN"/>
                    </w:rPr>
                    <w:t>5</w:t>
                  </w:r>
                  <w:r>
                    <w:rPr>
                      <w:rFonts w:hint="default" w:ascii="Times New Roman" w:hAnsi="Times New Roman" w:cs="Times New Roman"/>
                      <w:color w:val="auto"/>
                    </w:rPr>
                    <w:t>年赣州市区域用水总量不得超过35.</w:t>
                  </w:r>
                  <w:r>
                    <w:rPr>
                      <w:rFonts w:hint="eastAsia" w:cs="Times New Roman"/>
                      <w:color w:val="auto"/>
                      <w:lang w:val="en-US" w:eastAsia="zh-CN"/>
                    </w:rPr>
                    <w:t>97</w:t>
                  </w:r>
                  <w:r>
                    <w:rPr>
                      <w:rFonts w:hint="default" w:ascii="Times New Roman" w:hAnsi="Times New Roman" w:cs="Times New Roman"/>
                      <w:color w:val="auto"/>
                    </w:rPr>
                    <w:t>亿立方米。</w:t>
                  </w:r>
                </w:p>
              </w:tc>
              <w:tc>
                <w:tcPr>
                  <w:tcW w:w="1444" w:type="pct"/>
                  <w:tcBorders>
                    <w:tl2br w:val="nil"/>
                    <w:tr2bl w:val="nil"/>
                  </w:tcBorders>
                  <w:noWrap w:val="0"/>
                  <w:vAlign w:val="center"/>
                </w:tcPr>
                <w:p w14:paraId="69F1D0D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eastAsia"/>
                      <w:color w:val="auto"/>
                      <w:lang w:val="en-US" w:eastAsia="zh-CN"/>
                    </w:rPr>
                    <w:t>本项目用水符合区域用水总量标准</w:t>
                  </w:r>
                </w:p>
              </w:tc>
              <w:tc>
                <w:tcPr>
                  <w:tcW w:w="396" w:type="pct"/>
                  <w:tcBorders>
                    <w:tl2br w:val="nil"/>
                    <w:tr2bl w:val="nil"/>
                  </w:tcBorders>
                  <w:noWrap w:val="0"/>
                  <w:vAlign w:val="center"/>
                </w:tcPr>
                <w:p w14:paraId="70A217B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eastAsia"/>
                      <w:color w:val="auto"/>
                      <w:lang w:val="en-US" w:eastAsia="zh-CN"/>
                    </w:rPr>
                  </w:pPr>
                  <w:r>
                    <w:rPr>
                      <w:rFonts w:hint="eastAsia" w:ascii="Times New Roman" w:hAnsi="Times New Roman" w:cs="Times New Roman"/>
                      <w:color w:val="auto"/>
                      <w:lang w:val="en-US" w:eastAsia="zh-CN"/>
                    </w:rPr>
                    <w:t>符合</w:t>
                  </w:r>
                </w:p>
              </w:tc>
            </w:tr>
            <w:tr w14:paraId="2AA85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0D5655EF">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vMerge w:val="continue"/>
                  <w:tcBorders>
                    <w:tl2br w:val="nil"/>
                    <w:tr2bl w:val="nil"/>
                  </w:tcBorders>
                  <w:noWrap w:val="0"/>
                  <w:vAlign w:val="center"/>
                </w:tcPr>
                <w:p w14:paraId="0C1CD74F">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88" w:type="pct"/>
                  <w:vMerge w:val="continue"/>
                  <w:tcBorders>
                    <w:tl2br w:val="nil"/>
                    <w:tr2bl w:val="nil"/>
                  </w:tcBorders>
                  <w:noWrap w:val="0"/>
                  <w:vAlign w:val="center"/>
                </w:tcPr>
                <w:p w14:paraId="3515238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2106" w:type="pct"/>
                  <w:tcBorders>
                    <w:tl2br w:val="nil"/>
                    <w:tr2bl w:val="nil"/>
                  </w:tcBorders>
                  <w:noWrap w:val="0"/>
                  <w:tcMar>
                    <w:top w:w="0" w:type="dxa"/>
                    <w:left w:w="108" w:type="dxa"/>
                    <w:bottom w:w="0" w:type="dxa"/>
                    <w:right w:w="108" w:type="dxa"/>
                  </w:tcMar>
                  <w:vAlign w:val="center"/>
                </w:tcPr>
                <w:p w14:paraId="07793172">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2、农业灌溉水有效利用效率不低于0.5</w:t>
                  </w:r>
                  <w:r>
                    <w:rPr>
                      <w:rFonts w:hint="eastAsia" w:cs="Times New Roman"/>
                      <w:color w:val="auto"/>
                      <w:lang w:val="en-US" w:eastAsia="zh-CN"/>
                    </w:rPr>
                    <w:t>27</w:t>
                  </w:r>
                  <w:r>
                    <w:rPr>
                      <w:rFonts w:hint="default" w:ascii="Times New Roman" w:hAnsi="Times New Roman" w:cs="Times New Roman"/>
                      <w:color w:val="auto"/>
                    </w:rPr>
                    <w:t>。</w:t>
                  </w:r>
                </w:p>
              </w:tc>
              <w:tc>
                <w:tcPr>
                  <w:tcW w:w="1444" w:type="pct"/>
                  <w:tcBorders>
                    <w:tl2br w:val="nil"/>
                    <w:tr2bl w:val="nil"/>
                  </w:tcBorders>
                  <w:noWrap w:val="0"/>
                  <w:vAlign w:val="center"/>
                </w:tcPr>
                <w:p w14:paraId="6C80D41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vertAlign w:val="baseline"/>
                      <w:lang w:val="en-US" w:eastAsia="zh-CN"/>
                    </w:rPr>
                    <w:t>本项目无农业灌溉水</w:t>
                  </w:r>
                </w:p>
              </w:tc>
              <w:tc>
                <w:tcPr>
                  <w:tcW w:w="396" w:type="pct"/>
                  <w:tcBorders>
                    <w:tl2br w:val="nil"/>
                    <w:tr2bl w:val="nil"/>
                  </w:tcBorders>
                  <w:noWrap w:val="0"/>
                  <w:vAlign w:val="center"/>
                </w:tcPr>
                <w:p w14:paraId="0AC8882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r w14:paraId="24791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6A378AC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tcBorders>
                    <w:tl2br w:val="nil"/>
                    <w:tr2bl w:val="nil"/>
                  </w:tcBorders>
                  <w:noWrap w:val="0"/>
                  <w:tcMar>
                    <w:top w:w="0" w:type="dxa"/>
                    <w:left w:w="108" w:type="dxa"/>
                    <w:bottom w:w="0" w:type="dxa"/>
                    <w:right w:w="108" w:type="dxa"/>
                  </w:tcMar>
                  <w:vAlign w:val="center"/>
                </w:tcPr>
                <w:p w14:paraId="6935A9CA">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地下水开采要求</w:t>
                  </w:r>
                </w:p>
              </w:tc>
              <w:tc>
                <w:tcPr>
                  <w:tcW w:w="288" w:type="pct"/>
                  <w:tcBorders>
                    <w:tl2br w:val="nil"/>
                    <w:tr2bl w:val="nil"/>
                  </w:tcBorders>
                  <w:noWrap w:val="0"/>
                  <w:tcMar>
                    <w:top w:w="0" w:type="dxa"/>
                    <w:left w:w="108" w:type="dxa"/>
                    <w:bottom w:w="0" w:type="dxa"/>
                    <w:right w:w="108" w:type="dxa"/>
                  </w:tcMar>
                  <w:vAlign w:val="center"/>
                </w:tcPr>
                <w:p w14:paraId="59344F39">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1</w:t>
                  </w:r>
                  <w:r>
                    <w:rPr>
                      <w:rFonts w:hint="eastAsia" w:cs="Times New Roman"/>
                      <w:color w:val="auto"/>
                      <w:lang w:val="en-US" w:eastAsia="zh-CN"/>
                    </w:rPr>
                    <w:t>2</w:t>
                  </w:r>
                </w:p>
              </w:tc>
              <w:tc>
                <w:tcPr>
                  <w:tcW w:w="2106" w:type="pct"/>
                  <w:tcBorders>
                    <w:tl2br w:val="nil"/>
                    <w:tr2bl w:val="nil"/>
                  </w:tcBorders>
                  <w:noWrap w:val="0"/>
                  <w:tcMar>
                    <w:top w:w="0" w:type="dxa"/>
                    <w:left w:w="108" w:type="dxa"/>
                    <w:bottom w:w="0" w:type="dxa"/>
                    <w:right w:w="108" w:type="dxa"/>
                  </w:tcMar>
                  <w:vAlign w:val="center"/>
                </w:tcPr>
                <w:p w14:paraId="7B34AB84">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禁止在赣州市中心城区新增取用地下水。</w:t>
                  </w:r>
                </w:p>
              </w:tc>
              <w:tc>
                <w:tcPr>
                  <w:tcW w:w="1444" w:type="pct"/>
                  <w:tcBorders>
                    <w:tl2br w:val="nil"/>
                    <w:tr2bl w:val="nil"/>
                  </w:tcBorders>
                  <w:noWrap w:val="0"/>
                  <w:vAlign w:val="center"/>
                </w:tcPr>
                <w:p w14:paraId="0E260D9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eastAsia"/>
                      <w:color w:val="auto"/>
                      <w:lang w:val="en-US" w:eastAsia="zh-CN"/>
                    </w:rPr>
                    <w:t>本项目用水来自</w:t>
                  </w:r>
                  <w:r>
                    <w:rPr>
                      <w:rFonts w:hint="eastAsia" w:cs="Times New Roman"/>
                      <w:color w:val="auto"/>
                      <w:sz w:val="21"/>
                      <w:szCs w:val="21"/>
                      <w:lang w:val="en-US" w:eastAsia="zh-CN"/>
                    </w:rPr>
                    <w:t>当地市政供水管网</w:t>
                  </w:r>
                </w:p>
              </w:tc>
              <w:tc>
                <w:tcPr>
                  <w:tcW w:w="396" w:type="pct"/>
                  <w:tcBorders>
                    <w:tl2br w:val="nil"/>
                    <w:tr2bl w:val="nil"/>
                  </w:tcBorders>
                  <w:noWrap w:val="0"/>
                  <w:vAlign w:val="center"/>
                </w:tcPr>
                <w:p w14:paraId="6782C40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eastAsia"/>
                      <w:color w:val="auto"/>
                      <w:lang w:val="en-US" w:eastAsia="zh-CN"/>
                    </w:rPr>
                  </w:pPr>
                  <w:r>
                    <w:rPr>
                      <w:rFonts w:hint="eastAsia" w:ascii="Times New Roman" w:hAnsi="Times New Roman" w:cs="Times New Roman"/>
                      <w:color w:val="auto"/>
                      <w:lang w:val="en-US" w:eastAsia="zh-CN"/>
                    </w:rPr>
                    <w:t>符合</w:t>
                  </w:r>
                </w:p>
              </w:tc>
            </w:tr>
            <w:tr w14:paraId="50518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44E10F0F">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tcBorders>
                    <w:tl2br w:val="nil"/>
                    <w:tr2bl w:val="nil"/>
                  </w:tcBorders>
                  <w:noWrap w:val="0"/>
                  <w:tcMar>
                    <w:top w:w="0" w:type="dxa"/>
                    <w:left w:w="108" w:type="dxa"/>
                    <w:bottom w:w="0" w:type="dxa"/>
                    <w:right w:w="108" w:type="dxa"/>
                  </w:tcMar>
                  <w:vAlign w:val="center"/>
                </w:tcPr>
                <w:p w14:paraId="6193424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能源利用总量及效率要求</w:t>
                  </w:r>
                </w:p>
              </w:tc>
              <w:tc>
                <w:tcPr>
                  <w:tcW w:w="288" w:type="pct"/>
                  <w:tcBorders>
                    <w:tl2br w:val="nil"/>
                    <w:tr2bl w:val="nil"/>
                  </w:tcBorders>
                  <w:noWrap w:val="0"/>
                  <w:tcMar>
                    <w:top w:w="0" w:type="dxa"/>
                    <w:left w:w="108" w:type="dxa"/>
                    <w:bottom w:w="0" w:type="dxa"/>
                    <w:right w:w="108" w:type="dxa"/>
                  </w:tcMar>
                  <w:vAlign w:val="center"/>
                </w:tcPr>
                <w:p w14:paraId="1A7A7EA7">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2106" w:type="pct"/>
                  <w:tcBorders>
                    <w:tl2br w:val="nil"/>
                    <w:tr2bl w:val="nil"/>
                  </w:tcBorders>
                  <w:noWrap w:val="0"/>
                  <w:tcMar>
                    <w:top w:w="0" w:type="dxa"/>
                    <w:left w:w="108" w:type="dxa"/>
                    <w:bottom w:w="0" w:type="dxa"/>
                    <w:right w:w="108" w:type="dxa"/>
                  </w:tcMar>
                  <w:vAlign w:val="center"/>
                </w:tcPr>
                <w:p w14:paraId="7A074B9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ascii="Times New Roman" w:hAnsi="Times New Roman" w:eastAsia="宋体" w:cs="Times New Roman"/>
                      <w:color w:val="auto"/>
                      <w:lang w:val="en-US" w:eastAsia="zh-CN"/>
                    </w:rPr>
                    <w:t xml:space="preserve">到 </w:t>
                  </w:r>
                  <w:r>
                    <w:rPr>
                      <w:rFonts w:hint="default" w:ascii="Times New Roman" w:hAnsi="Times New Roman" w:eastAsia="宋体" w:cs="Times New Roman"/>
                      <w:color w:val="auto"/>
                      <w:lang w:val="en-US" w:eastAsia="zh-CN"/>
                    </w:rPr>
                    <w:t xml:space="preserve">2025 </w:t>
                  </w:r>
                  <w:r>
                    <w:rPr>
                      <w:rFonts w:hint="eastAsia" w:ascii="Times New Roman" w:hAnsi="Times New Roman" w:eastAsia="宋体" w:cs="Times New Roman"/>
                      <w:color w:val="auto"/>
                      <w:lang w:val="en-US" w:eastAsia="zh-CN"/>
                    </w:rPr>
                    <w:t xml:space="preserve">年，全市万元地区生产综治能耗比 </w:t>
                  </w:r>
                  <w:r>
                    <w:rPr>
                      <w:rFonts w:hint="default" w:ascii="Times New Roman" w:hAnsi="Times New Roman" w:eastAsia="宋体" w:cs="Times New Roman"/>
                      <w:color w:val="auto"/>
                      <w:lang w:val="en-US" w:eastAsia="zh-CN"/>
                    </w:rPr>
                    <w:t xml:space="preserve">2020 </w:t>
                  </w:r>
                  <w:r>
                    <w:rPr>
                      <w:rFonts w:hint="eastAsia" w:ascii="Times New Roman" w:hAnsi="Times New Roman" w:eastAsia="宋体" w:cs="Times New Roman"/>
                      <w:color w:val="auto"/>
                      <w:lang w:val="en-US" w:eastAsia="zh-CN"/>
                    </w:rPr>
                    <w:t xml:space="preserve">年基础目标下降 </w:t>
                  </w:r>
                  <w:r>
                    <w:rPr>
                      <w:rFonts w:hint="default" w:ascii="Times New Roman" w:hAnsi="Times New Roman" w:eastAsia="宋体" w:cs="Times New Roman"/>
                      <w:color w:val="auto"/>
                      <w:lang w:val="en-US" w:eastAsia="zh-CN"/>
                    </w:rPr>
                    <w:t>12.5%</w:t>
                  </w:r>
                  <w:r>
                    <w:rPr>
                      <w:rFonts w:hint="eastAsia" w:ascii="Times New Roman" w:hAnsi="Times New Roman" w:eastAsia="宋体" w:cs="Times New Roman"/>
                      <w:color w:val="auto"/>
                      <w:lang w:val="en-US" w:eastAsia="zh-CN"/>
                    </w:rPr>
                    <w:t xml:space="preserve">，激励目标下降 </w:t>
                  </w:r>
                  <w:r>
                    <w:rPr>
                      <w:rFonts w:hint="default" w:ascii="Times New Roman" w:hAnsi="Times New Roman" w:eastAsia="宋体" w:cs="Times New Roman"/>
                      <w:color w:val="auto"/>
                      <w:lang w:val="en-US" w:eastAsia="zh-CN"/>
                    </w:rPr>
                    <w:t>13%</w:t>
                  </w:r>
                  <w:r>
                    <w:rPr>
                      <w:rFonts w:hint="eastAsia" w:ascii="Times New Roman" w:hAnsi="Times New Roman" w:eastAsia="宋体" w:cs="Times New Roman"/>
                      <w:color w:val="auto"/>
                      <w:lang w:val="en-US" w:eastAsia="zh-CN"/>
                    </w:rPr>
                    <w:t>。</w:t>
                  </w:r>
                </w:p>
              </w:tc>
              <w:tc>
                <w:tcPr>
                  <w:tcW w:w="1444" w:type="pct"/>
                  <w:tcBorders>
                    <w:tl2br w:val="nil"/>
                    <w:tr2bl w:val="nil"/>
                  </w:tcBorders>
                  <w:noWrap w:val="0"/>
                  <w:vAlign w:val="center"/>
                </w:tcPr>
                <w:p w14:paraId="6DF2E00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color w:val="auto"/>
                    </w:rPr>
                  </w:pPr>
                  <w:r>
                    <w:rPr>
                      <w:rFonts w:hint="eastAsia"/>
                      <w:color w:val="auto"/>
                      <w:lang w:val="en-US" w:eastAsia="zh-CN"/>
                    </w:rPr>
                    <w:t>本项目符合区域能源规划</w:t>
                  </w:r>
                </w:p>
              </w:tc>
              <w:tc>
                <w:tcPr>
                  <w:tcW w:w="396" w:type="pct"/>
                  <w:tcBorders>
                    <w:tl2br w:val="nil"/>
                    <w:tr2bl w:val="nil"/>
                  </w:tcBorders>
                  <w:noWrap w:val="0"/>
                  <w:vAlign w:val="center"/>
                </w:tcPr>
                <w:p w14:paraId="2AA2610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eastAsia"/>
                      <w:color w:val="auto"/>
                      <w:lang w:val="en-US" w:eastAsia="zh-CN"/>
                    </w:rPr>
                  </w:pPr>
                  <w:r>
                    <w:rPr>
                      <w:rFonts w:hint="eastAsia" w:ascii="Times New Roman" w:hAnsi="Times New Roman" w:cs="Times New Roman"/>
                      <w:color w:val="auto"/>
                      <w:lang w:val="en-US" w:eastAsia="zh-CN"/>
                    </w:rPr>
                    <w:t>符合</w:t>
                  </w:r>
                </w:p>
              </w:tc>
            </w:tr>
            <w:tr w14:paraId="2AD2C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9" w:type="pct"/>
                  <w:vMerge w:val="continue"/>
                  <w:tcBorders>
                    <w:tl2br w:val="nil"/>
                    <w:tr2bl w:val="nil"/>
                  </w:tcBorders>
                  <w:noWrap w:val="0"/>
                  <w:vAlign w:val="center"/>
                </w:tcPr>
                <w:p w14:paraId="25AD90DF">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p>
              </w:tc>
              <w:tc>
                <w:tcPr>
                  <w:tcW w:w="505" w:type="pct"/>
                  <w:tcBorders>
                    <w:tl2br w:val="nil"/>
                    <w:tr2bl w:val="nil"/>
                  </w:tcBorders>
                  <w:noWrap w:val="0"/>
                  <w:tcMar>
                    <w:top w:w="0" w:type="dxa"/>
                    <w:left w:w="108" w:type="dxa"/>
                    <w:bottom w:w="0" w:type="dxa"/>
                    <w:right w:w="108" w:type="dxa"/>
                  </w:tcMar>
                  <w:vAlign w:val="center"/>
                </w:tcPr>
                <w:p w14:paraId="3896E19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禁燃区要求</w:t>
                  </w:r>
                </w:p>
              </w:tc>
              <w:tc>
                <w:tcPr>
                  <w:tcW w:w="288" w:type="pct"/>
                  <w:tcBorders>
                    <w:tl2br w:val="nil"/>
                    <w:tr2bl w:val="nil"/>
                  </w:tcBorders>
                  <w:noWrap w:val="0"/>
                  <w:tcMar>
                    <w:top w:w="0" w:type="dxa"/>
                    <w:left w:w="108" w:type="dxa"/>
                    <w:bottom w:w="0" w:type="dxa"/>
                    <w:right w:w="108" w:type="dxa"/>
                  </w:tcMar>
                  <w:vAlign w:val="center"/>
                </w:tcPr>
                <w:p w14:paraId="45A9D6A5">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2106" w:type="pct"/>
                  <w:tcBorders>
                    <w:tl2br w:val="nil"/>
                    <w:tr2bl w:val="nil"/>
                  </w:tcBorders>
                  <w:noWrap w:val="0"/>
                  <w:tcMar>
                    <w:top w:w="0" w:type="dxa"/>
                    <w:left w:w="108" w:type="dxa"/>
                    <w:bottom w:w="0" w:type="dxa"/>
                    <w:right w:w="108" w:type="dxa"/>
                  </w:tcMar>
                  <w:vAlign w:val="center"/>
                </w:tcPr>
                <w:p w14:paraId="165A6A10">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1、禁止在赣州市划定的高污染燃料禁燃区燃用高污染燃料，及新建、扩建燃用高污染燃料的项目和设施。</w:t>
                  </w:r>
                </w:p>
                <w:p w14:paraId="3999016C">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2、禁燃区内现有使用高污染燃料的区域应分期分批次淘汰或实施清洁能源改造。</w:t>
                  </w:r>
                </w:p>
              </w:tc>
              <w:tc>
                <w:tcPr>
                  <w:tcW w:w="1444" w:type="pct"/>
                  <w:tcBorders>
                    <w:tl2br w:val="nil"/>
                    <w:tr2bl w:val="nil"/>
                  </w:tcBorders>
                  <w:noWrap w:val="0"/>
                  <w:vAlign w:val="center"/>
                </w:tcPr>
                <w:p w14:paraId="4EB84AD1">
                  <w:pPr>
                    <w:pStyle w:val="127"/>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cs="Times New Roman"/>
                      <w:color w:val="auto"/>
                    </w:rPr>
                  </w:pPr>
                  <w:r>
                    <w:rPr>
                      <w:rFonts w:hint="eastAsia" w:ascii="Times New Roman" w:hAnsi="Times New Roman" w:eastAsia="宋体" w:cs="Times New Roman"/>
                      <w:color w:val="auto"/>
                      <w:sz w:val="21"/>
                      <w:szCs w:val="21"/>
                      <w:highlight w:val="none"/>
                      <w:vertAlign w:val="baseline"/>
                      <w:lang w:val="en-US" w:eastAsia="zh-CN"/>
                    </w:rPr>
                    <w:t>本项目不涉及高污染燃料</w:t>
                  </w:r>
                </w:p>
              </w:tc>
              <w:tc>
                <w:tcPr>
                  <w:tcW w:w="396" w:type="pct"/>
                  <w:tcBorders>
                    <w:tl2br w:val="nil"/>
                    <w:tr2bl w:val="nil"/>
                  </w:tcBorders>
                  <w:noWrap w:val="0"/>
                  <w:vAlign w:val="center"/>
                </w:tcPr>
                <w:p w14:paraId="7196D6A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lang w:val="en-US" w:eastAsia="zh-CN"/>
                    </w:rPr>
                    <w:t>符合</w:t>
                  </w:r>
                </w:p>
              </w:tc>
            </w:tr>
          </w:tbl>
          <w:p w14:paraId="34D94853">
            <w:pPr>
              <w:pStyle w:val="124"/>
              <w:bidi w:val="0"/>
              <w:rPr>
                <w:rFonts w:hint="default" w:cs="Times New Roman"/>
                <w:color w:val="auto"/>
                <w:sz w:val="24"/>
                <w:szCs w:val="24"/>
                <w:lang w:val="en-US" w:eastAsia="zh-CN"/>
              </w:rPr>
            </w:pPr>
            <w:r>
              <w:rPr>
                <w:rFonts w:hint="eastAsia"/>
                <w:color w:val="auto"/>
                <w:lang w:val="en-US" w:eastAsia="zh-CN"/>
              </w:rPr>
              <w:t>根据</w:t>
            </w:r>
            <w:r>
              <w:rPr>
                <w:rFonts w:hint="eastAsia" w:ascii="宋体" w:hAnsi="宋体" w:eastAsia="宋体" w:cs="宋体"/>
                <w:color w:val="auto"/>
                <w:highlight w:val="none"/>
                <w:lang w:val="en-US" w:eastAsia="zh-CN"/>
              </w:rPr>
              <w:t>《赣州市环境管控单元生态环境准入清单》的通知”</w:t>
            </w:r>
            <w:r>
              <w:rPr>
                <w:rFonts w:hint="default" w:ascii="Times New Roman" w:hAnsi="Times New Roman" w:cs="Times New Roman"/>
                <w:color w:val="auto"/>
                <w:highlight w:val="none"/>
                <w:lang w:val="en-US" w:eastAsia="zh-CN"/>
              </w:rPr>
              <w:t>（赣市环委办字[2021]5号）</w:t>
            </w:r>
            <w:r>
              <w:rPr>
                <w:rFonts w:hint="eastAsia"/>
                <w:color w:val="auto"/>
                <w:lang w:val="en-US" w:eastAsia="zh-CN"/>
              </w:rPr>
              <w:t>，本项目属于江西省赣州市宁都县重点管控单元3（环境管控单元编码：ZH36073020003），与赣州市环境管控单元生态环境准入清单符合性见表1-6。</w:t>
            </w:r>
          </w:p>
          <w:p w14:paraId="46AB2FDC">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FF0000"/>
                <w:sz w:val="24"/>
                <w:szCs w:val="24"/>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表1-</w:t>
            </w:r>
            <w:r>
              <w:rPr>
                <w:rFonts w:hint="eastAsia" w:cs="Times New Roman"/>
                <w:b/>
                <w:bCs/>
                <w:color w:val="auto"/>
                <w:kern w:val="2"/>
                <w:sz w:val="21"/>
                <w:szCs w:val="21"/>
                <w:highlight w:val="none"/>
                <w:lang w:val="en-US" w:eastAsia="zh-CN" w:bidi="ar-SA"/>
              </w:rPr>
              <w:t>6</w:t>
            </w:r>
            <w:r>
              <w:rPr>
                <w:rFonts w:hint="eastAsia" w:ascii="Times New Roman" w:hAnsi="Times New Roman"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项目与《赣州市环境管控单元生态环境准入清单》符合性分析</w:t>
            </w:r>
          </w:p>
          <w:tbl>
            <w:tblPr>
              <w:tblStyle w:val="3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50"/>
              <w:gridCol w:w="567"/>
              <w:gridCol w:w="338"/>
              <w:gridCol w:w="338"/>
              <w:gridCol w:w="677"/>
              <w:gridCol w:w="2001"/>
              <w:gridCol w:w="2122"/>
              <w:gridCol w:w="505"/>
            </w:tblGrid>
            <w:tr w14:paraId="73484B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tcBorders>
                    <w:tl2br w:val="nil"/>
                    <w:tr2bl w:val="nil"/>
                  </w:tcBorders>
                  <w:noWrap w:val="0"/>
                  <w:vAlign w:val="center"/>
                </w:tcPr>
                <w:p w14:paraId="447BBC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lang w:val="en-US" w:eastAsia="zh-CN"/>
                    </w:rPr>
                    <w:t>环境管控单元名称</w:t>
                  </w:r>
                </w:p>
              </w:tc>
              <w:tc>
                <w:tcPr>
                  <w:tcW w:w="3921" w:type="dxa"/>
                  <w:gridSpan w:val="5"/>
                  <w:tcBorders>
                    <w:tl2br w:val="nil"/>
                    <w:tr2bl w:val="nil"/>
                  </w:tcBorders>
                  <w:noWrap w:val="0"/>
                  <w:vAlign w:val="center"/>
                </w:tcPr>
                <w:p w14:paraId="54AEF8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文件要求</w:t>
                  </w:r>
                </w:p>
              </w:tc>
              <w:tc>
                <w:tcPr>
                  <w:tcW w:w="2122" w:type="dxa"/>
                  <w:tcBorders>
                    <w:tl2br w:val="nil"/>
                    <w:tr2bl w:val="nil"/>
                  </w:tcBorders>
                  <w:noWrap w:val="0"/>
                  <w:vAlign w:val="center"/>
                </w:tcPr>
                <w:p w14:paraId="4EE190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本项目情况</w:t>
                  </w:r>
                </w:p>
              </w:tc>
              <w:tc>
                <w:tcPr>
                  <w:tcW w:w="505" w:type="dxa"/>
                  <w:tcBorders>
                    <w:tl2br w:val="nil"/>
                    <w:tr2bl w:val="nil"/>
                  </w:tcBorders>
                  <w:noWrap w:val="0"/>
                  <w:vAlign w:val="center"/>
                </w:tcPr>
                <w:p w14:paraId="0A1B8F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判定</w:t>
                  </w:r>
                </w:p>
              </w:tc>
            </w:tr>
            <w:tr w14:paraId="654446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vMerge w:val="restart"/>
                  <w:tcBorders>
                    <w:tl2br w:val="nil"/>
                    <w:tr2bl w:val="nil"/>
                  </w:tcBorders>
                  <w:noWrap w:val="0"/>
                  <w:vAlign w:val="center"/>
                </w:tcPr>
                <w:p w14:paraId="4603E2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default"/>
                      <w:color w:val="auto"/>
                      <w:lang w:val="en-US" w:eastAsia="zh-CN"/>
                    </w:rPr>
                  </w:pPr>
                  <w:r>
                    <w:rPr>
                      <w:rFonts w:hint="eastAsia"/>
                      <w:color w:val="auto"/>
                      <w:lang w:val="en-US" w:eastAsia="zh-CN"/>
                    </w:rPr>
                    <w:t>江西省赣州市宁都县重点管控单元3（环境管控单元编码：ZH36073020003）</w:t>
                  </w:r>
                </w:p>
              </w:tc>
              <w:tc>
                <w:tcPr>
                  <w:tcW w:w="567" w:type="dxa"/>
                  <w:vMerge w:val="restart"/>
                  <w:tcBorders>
                    <w:tl2br w:val="nil"/>
                    <w:tr2bl w:val="nil"/>
                  </w:tcBorders>
                  <w:noWrap w:val="0"/>
                  <w:vAlign w:val="center"/>
                </w:tcPr>
                <w:p w14:paraId="634663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空间约束</w:t>
                  </w:r>
                </w:p>
              </w:tc>
              <w:tc>
                <w:tcPr>
                  <w:tcW w:w="1353" w:type="dxa"/>
                  <w:gridSpan w:val="3"/>
                  <w:tcBorders>
                    <w:tl2br w:val="nil"/>
                    <w:tr2bl w:val="nil"/>
                  </w:tcBorders>
                  <w:noWrap w:val="0"/>
                  <w:vAlign w:val="center"/>
                </w:tcPr>
                <w:p w14:paraId="27471F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禁止开发建设活动的要求</w:t>
                  </w:r>
                </w:p>
              </w:tc>
              <w:tc>
                <w:tcPr>
                  <w:tcW w:w="2001" w:type="dxa"/>
                  <w:tcBorders>
                    <w:tl2br w:val="nil"/>
                    <w:tr2bl w:val="nil"/>
                  </w:tcBorders>
                  <w:noWrap w:val="0"/>
                  <w:vAlign w:val="center"/>
                </w:tcPr>
                <w:p w14:paraId="6AFFCE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不得引进产业规划禁止类项目进入园区。</w:t>
                  </w:r>
                </w:p>
              </w:tc>
              <w:tc>
                <w:tcPr>
                  <w:tcW w:w="2122" w:type="dxa"/>
                  <w:vMerge w:val="restart"/>
                  <w:tcBorders>
                    <w:tl2br w:val="nil"/>
                    <w:tr2bl w:val="nil"/>
                  </w:tcBorders>
                  <w:noWrap w:val="0"/>
                  <w:vAlign w:val="center"/>
                </w:tcPr>
                <w:p w14:paraId="561839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本</w:t>
                  </w:r>
                  <w:r>
                    <w:rPr>
                      <w:rFonts w:hint="eastAsia" w:ascii="Times New Roman" w:hAnsi="Times New Roman" w:eastAsia="宋体" w:cs="Times New Roman"/>
                      <w:b w:val="0"/>
                      <w:bCs w:val="0"/>
                      <w:color w:val="auto"/>
                      <w:sz w:val="21"/>
                      <w:szCs w:val="21"/>
                      <w:highlight w:val="none"/>
                      <w:vertAlign w:val="baseline"/>
                      <w:lang w:val="en-US" w:eastAsia="zh-CN"/>
                    </w:rPr>
                    <w:t>项目为</w:t>
                  </w:r>
                  <w:r>
                    <w:rPr>
                      <w:rFonts w:hint="default" w:ascii="Times New Roman" w:hAnsi="Times New Roman" w:cs="Times New Roman"/>
                      <w:color w:val="auto"/>
                      <w:kern w:val="2"/>
                      <w:sz w:val="21"/>
                      <w:szCs w:val="21"/>
                      <w:highlight w:val="none"/>
                      <w:lang w:val="en-US" w:eastAsia="zh-CN" w:bidi="ar-SA"/>
                    </w:rPr>
                    <w:t>其他方便食品制造</w:t>
                  </w:r>
                  <w:r>
                    <w:rPr>
                      <w:rFonts w:hint="eastAsia" w:ascii="Times New Roman" w:hAnsi="Times New Roman" w:eastAsia="宋体" w:cs="Times New Roman"/>
                      <w:b w:val="0"/>
                      <w:bCs w:val="0"/>
                      <w:color w:val="auto"/>
                      <w:sz w:val="21"/>
                      <w:szCs w:val="21"/>
                      <w:highlight w:val="none"/>
                      <w:vertAlign w:val="baseline"/>
                      <w:lang w:val="en-US" w:eastAsia="zh-CN"/>
                    </w:rPr>
                    <w:t>项目，</w:t>
                  </w:r>
                  <w:r>
                    <w:rPr>
                      <w:rFonts w:hint="eastAsia" w:ascii="Times New Roman" w:hAnsi="Times New Roman" w:eastAsia="宋体" w:cs="Times New Roman"/>
                      <w:color w:val="auto"/>
                      <w:sz w:val="21"/>
                      <w:szCs w:val="21"/>
                      <w:highlight w:val="none"/>
                      <w:shd w:val="clear" w:color="auto" w:fill="auto"/>
                      <w:vertAlign w:val="baseline"/>
                      <w:lang w:val="en-US" w:eastAsia="zh-CN"/>
                    </w:rPr>
                    <w:t>不属于</w:t>
                  </w:r>
                  <w:r>
                    <w:rPr>
                      <w:rFonts w:hint="eastAsia" w:cs="Times New Roman"/>
                      <w:color w:val="auto"/>
                      <w:sz w:val="21"/>
                      <w:szCs w:val="21"/>
                      <w:highlight w:val="none"/>
                      <w:shd w:val="clear" w:color="auto" w:fill="auto"/>
                      <w:vertAlign w:val="baseline"/>
                      <w:lang w:val="en-US" w:eastAsia="zh-CN"/>
                    </w:rPr>
                    <w:t>园区</w:t>
                  </w:r>
                  <w:r>
                    <w:rPr>
                      <w:rFonts w:hint="default" w:ascii="Times New Roman" w:hAnsi="Times New Roman" w:eastAsia="宋体" w:cs="Times New Roman"/>
                      <w:color w:val="auto"/>
                      <w:kern w:val="0"/>
                      <w:sz w:val="21"/>
                      <w:szCs w:val="21"/>
                      <w:highlight w:val="none"/>
                      <w:lang w:val="en-US" w:eastAsia="zh-CN" w:bidi="ar"/>
                    </w:rPr>
                    <w:t>产业规划</w:t>
                  </w:r>
                  <w:r>
                    <w:rPr>
                      <w:rFonts w:hint="eastAsia" w:ascii="Times New Roman" w:hAnsi="Times New Roman" w:eastAsia="宋体" w:cs="Times New Roman"/>
                      <w:color w:val="auto"/>
                      <w:sz w:val="21"/>
                      <w:szCs w:val="21"/>
                      <w:highlight w:val="none"/>
                      <w:shd w:val="clear" w:color="auto" w:fill="auto"/>
                      <w:vertAlign w:val="baseline"/>
                      <w:lang w:val="en-US" w:eastAsia="zh-CN"/>
                    </w:rPr>
                    <w:t>禁止类项目</w:t>
                  </w:r>
                </w:p>
              </w:tc>
              <w:tc>
                <w:tcPr>
                  <w:tcW w:w="505" w:type="dxa"/>
                  <w:vMerge w:val="restart"/>
                  <w:tcBorders>
                    <w:tl2br w:val="nil"/>
                    <w:tr2bl w:val="nil"/>
                  </w:tcBorders>
                  <w:noWrap w:val="0"/>
                  <w:vAlign w:val="center"/>
                </w:tcPr>
                <w:p w14:paraId="6D368D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相符</w:t>
                  </w:r>
                </w:p>
              </w:tc>
            </w:tr>
            <w:tr w14:paraId="297A60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vMerge w:val="continue"/>
                  <w:tcBorders>
                    <w:tl2br w:val="nil"/>
                    <w:tr2bl w:val="nil"/>
                  </w:tcBorders>
                  <w:noWrap w:val="0"/>
                  <w:vAlign w:val="center"/>
                </w:tcPr>
                <w:p w14:paraId="5E5B29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color w:val="auto"/>
                      <w:lang w:val="en-US" w:eastAsia="zh-CN"/>
                    </w:rPr>
                  </w:pPr>
                </w:p>
              </w:tc>
              <w:tc>
                <w:tcPr>
                  <w:tcW w:w="567" w:type="dxa"/>
                  <w:vMerge w:val="continue"/>
                  <w:tcBorders>
                    <w:tl2br w:val="nil"/>
                    <w:tr2bl w:val="nil"/>
                  </w:tcBorders>
                  <w:noWrap w:val="0"/>
                  <w:vAlign w:val="center"/>
                </w:tcPr>
                <w:p w14:paraId="4F0FD4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53" w:type="dxa"/>
                  <w:gridSpan w:val="3"/>
                  <w:tcBorders>
                    <w:tl2br w:val="nil"/>
                    <w:tr2bl w:val="nil"/>
                  </w:tcBorders>
                  <w:noWrap w:val="0"/>
                  <w:vAlign w:val="center"/>
                </w:tcPr>
                <w:p w14:paraId="52C496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不符合空间布局要求活动的退出要求</w:t>
                  </w:r>
                </w:p>
              </w:tc>
              <w:tc>
                <w:tcPr>
                  <w:tcW w:w="2001" w:type="dxa"/>
                  <w:tcBorders>
                    <w:tl2br w:val="nil"/>
                    <w:tr2bl w:val="nil"/>
                  </w:tcBorders>
                  <w:noWrap w:val="0"/>
                  <w:vAlign w:val="center"/>
                </w:tcPr>
                <w:p w14:paraId="25EA8C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现有园区产业规划禁止类的企业逐步停产或关停。</w:t>
                  </w:r>
                </w:p>
              </w:tc>
              <w:tc>
                <w:tcPr>
                  <w:tcW w:w="2122" w:type="dxa"/>
                  <w:vMerge w:val="continue"/>
                  <w:tcBorders>
                    <w:tl2br w:val="nil"/>
                    <w:tr2bl w:val="nil"/>
                  </w:tcBorders>
                  <w:noWrap w:val="0"/>
                  <w:vAlign w:val="center"/>
                </w:tcPr>
                <w:p w14:paraId="375175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b w:val="0"/>
                      <w:bCs w:val="0"/>
                      <w:color w:val="auto"/>
                      <w:sz w:val="21"/>
                      <w:szCs w:val="21"/>
                      <w:highlight w:val="none"/>
                      <w:vertAlign w:val="baseline"/>
                      <w:lang w:val="en-US" w:eastAsia="zh-CN"/>
                    </w:rPr>
                  </w:pPr>
                </w:p>
              </w:tc>
              <w:tc>
                <w:tcPr>
                  <w:tcW w:w="505" w:type="dxa"/>
                  <w:vMerge w:val="continue"/>
                  <w:tcBorders>
                    <w:tl2br w:val="nil"/>
                    <w:tr2bl w:val="nil"/>
                  </w:tcBorders>
                  <w:noWrap w:val="0"/>
                  <w:vAlign w:val="center"/>
                </w:tcPr>
                <w:p w14:paraId="299D95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D7B75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vMerge w:val="continue"/>
                  <w:tcBorders>
                    <w:tl2br w:val="nil"/>
                    <w:tr2bl w:val="nil"/>
                  </w:tcBorders>
                  <w:noWrap w:val="0"/>
                  <w:vAlign w:val="center"/>
                </w:tcPr>
                <w:p w14:paraId="1C3FA3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67" w:type="dxa"/>
                  <w:vMerge w:val="restart"/>
                  <w:tcBorders>
                    <w:tl2br w:val="nil"/>
                    <w:tr2bl w:val="nil"/>
                  </w:tcBorders>
                  <w:noWrap w:val="0"/>
                  <w:vAlign w:val="center"/>
                </w:tcPr>
                <w:p w14:paraId="34F70D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污染物排放管控</w:t>
                  </w:r>
                </w:p>
              </w:tc>
              <w:tc>
                <w:tcPr>
                  <w:tcW w:w="1353" w:type="dxa"/>
                  <w:gridSpan w:val="3"/>
                  <w:tcBorders>
                    <w:tl2br w:val="nil"/>
                    <w:tr2bl w:val="nil"/>
                  </w:tcBorders>
                  <w:noWrap w:val="0"/>
                  <w:vAlign w:val="center"/>
                </w:tcPr>
                <w:p w14:paraId="4745CA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现有源提标升级改造</w:t>
                  </w:r>
                </w:p>
              </w:tc>
              <w:tc>
                <w:tcPr>
                  <w:tcW w:w="2001" w:type="dxa"/>
                  <w:tcBorders>
                    <w:tl2br w:val="nil"/>
                    <w:tr2bl w:val="nil"/>
                  </w:tcBorders>
                  <w:noWrap w:val="0"/>
                  <w:vAlign w:val="center"/>
                </w:tcPr>
                <w:p w14:paraId="15990F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企业</w:t>
                  </w:r>
                  <w:r>
                    <w:rPr>
                      <w:rFonts w:hint="eastAsia" w:cs="Times New Roman"/>
                      <w:b w:val="0"/>
                      <w:bCs w:val="0"/>
                      <w:color w:val="auto"/>
                      <w:sz w:val="21"/>
                      <w:szCs w:val="21"/>
                      <w:highlight w:val="none"/>
                      <w:vertAlign w:val="baseline"/>
                      <w:lang w:val="en-US" w:eastAsia="zh-CN"/>
                    </w:rPr>
                    <w:t>达标排放。</w:t>
                  </w:r>
                </w:p>
              </w:tc>
              <w:tc>
                <w:tcPr>
                  <w:tcW w:w="2122" w:type="dxa"/>
                  <w:tcBorders>
                    <w:tl2br w:val="nil"/>
                    <w:tr2bl w:val="nil"/>
                  </w:tcBorders>
                  <w:noWrap w:val="0"/>
                  <w:vAlign w:val="center"/>
                </w:tcPr>
                <w:p w14:paraId="21D65B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本项目废水主要分为生活污水、生产废水</w:t>
                  </w:r>
                  <w:r>
                    <w:rPr>
                      <w:rFonts w:hint="eastAsia" w:cs="Times New Roman"/>
                      <w:color w:val="auto"/>
                      <w:kern w:val="0"/>
                      <w:sz w:val="21"/>
                      <w:szCs w:val="21"/>
                      <w:lang w:val="en-US" w:eastAsia="zh-CN" w:bidi="ar"/>
                    </w:rPr>
                    <w:t>和纯水制备浓水</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纯水制备浓水可</w:t>
                  </w:r>
                  <w:r>
                    <w:rPr>
                      <w:rFonts w:hint="eastAsia" w:cs="Times New Roman"/>
                      <w:color w:val="auto"/>
                      <w:sz w:val="21"/>
                      <w:szCs w:val="21"/>
                      <w:highlight w:val="none"/>
                      <w:lang w:val="en-US" w:eastAsia="zh-CN"/>
                    </w:rPr>
                    <w:t>不经过污水处理站处理直接</w:t>
                  </w:r>
                  <w:r>
                    <w:rPr>
                      <w:rFonts w:hint="default" w:ascii="Times New Roman" w:hAnsi="Times New Roman" w:cs="Times New Roman"/>
                      <w:color w:val="auto"/>
                      <w:sz w:val="21"/>
                      <w:szCs w:val="21"/>
                      <w:highlight w:val="none"/>
                      <w:lang w:val="en-US" w:eastAsia="zh-CN"/>
                    </w:rPr>
                    <w:t>和</w:t>
                  </w:r>
                  <w:r>
                    <w:rPr>
                      <w:rFonts w:hint="eastAsia" w:ascii="Times New Roman" w:hAnsi="Times New Roman" w:cs="Times New Roman"/>
                      <w:color w:val="auto"/>
                      <w:sz w:val="21"/>
                      <w:szCs w:val="21"/>
                      <w:highlight w:val="none"/>
                      <w:lang w:val="en-US" w:eastAsia="zh-CN"/>
                    </w:rPr>
                    <w:t>污水处理站</w:t>
                  </w:r>
                  <w:r>
                    <w:rPr>
                      <w:rFonts w:hint="default" w:ascii="Times New Roman" w:hAnsi="Times New Roman" w:cs="Times New Roman"/>
                      <w:color w:val="auto"/>
                      <w:sz w:val="21"/>
                      <w:szCs w:val="21"/>
                      <w:highlight w:val="none"/>
                      <w:lang w:val="en-US" w:eastAsia="zh-CN"/>
                    </w:rPr>
                    <w:t>处理过的废水一起经总排口排入污水管网</w:t>
                  </w:r>
                  <w:r>
                    <w:rPr>
                      <w:rFonts w:hint="eastAsia" w:cs="Times New Roman"/>
                      <w:color w:val="auto"/>
                      <w:kern w:val="0"/>
                      <w:sz w:val="21"/>
                      <w:szCs w:val="21"/>
                      <w:lang w:val="en-US" w:eastAsia="zh-CN" w:bidi="ar"/>
                    </w:rPr>
                    <w:t>，</w:t>
                  </w:r>
                  <w:r>
                    <w:rPr>
                      <w:rFonts w:hint="eastAsia" w:ascii="Times New Roman" w:hAnsi="Times New Roman" w:eastAsia="宋体" w:cs="Times New Roman"/>
                      <w:b w:val="0"/>
                      <w:bCs/>
                      <w:color w:val="auto"/>
                      <w:kern w:val="2"/>
                      <w:sz w:val="21"/>
                      <w:szCs w:val="21"/>
                      <w:lang w:val="en-US" w:eastAsia="zh-CN" w:bidi="ar-SA"/>
                    </w:rPr>
                    <w:t>生活污水经化粪池处理后和生产废水一起进入自建污水处理站处理达标后通过污水管网进入宁都县第二污水处理厂处理达标后，最终排入梅江。</w:t>
                  </w:r>
                </w:p>
                <w:p w14:paraId="63DD9E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综合废水排放需满足《肉类加工工业水污染物排放标准》（GB13457-92）表 3 三级标准和宁都县第二污水处理厂接管标准中较严值。</w:t>
                  </w:r>
                </w:p>
              </w:tc>
              <w:tc>
                <w:tcPr>
                  <w:tcW w:w="505" w:type="dxa"/>
                  <w:tcBorders>
                    <w:tl2br w:val="nil"/>
                    <w:tr2bl w:val="nil"/>
                  </w:tcBorders>
                  <w:noWrap w:val="0"/>
                  <w:vAlign w:val="center"/>
                </w:tcPr>
                <w:p w14:paraId="5E9089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相符</w:t>
                  </w:r>
                </w:p>
              </w:tc>
            </w:tr>
            <w:tr w14:paraId="335A55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vMerge w:val="continue"/>
                  <w:tcBorders>
                    <w:tl2br w:val="nil"/>
                    <w:tr2bl w:val="nil"/>
                  </w:tcBorders>
                  <w:noWrap w:val="0"/>
                  <w:vAlign w:val="center"/>
                </w:tcPr>
                <w:p w14:paraId="0B46C8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67" w:type="dxa"/>
                  <w:vMerge w:val="continue"/>
                  <w:tcBorders>
                    <w:tl2br w:val="nil"/>
                    <w:tr2bl w:val="nil"/>
                  </w:tcBorders>
                  <w:noWrap w:val="0"/>
                  <w:vAlign w:val="center"/>
                </w:tcPr>
                <w:p w14:paraId="5C53FA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53" w:type="dxa"/>
                  <w:gridSpan w:val="3"/>
                  <w:tcBorders>
                    <w:tl2br w:val="nil"/>
                    <w:tr2bl w:val="nil"/>
                  </w:tcBorders>
                  <w:noWrap w:val="0"/>
                  <w:vAlign w:val="center"/>
                </w:tcPr>
                <w:p w14:paraId="064BFD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新增源等量或倍量替代</w:t>
                  </w:r>
                </w:p>
              </w:tc>
              <w:tc>
                <w:tcPr>
                  <w:tcW w:w="2001" w:type="dxa"/>
                  <w:tcBorders>
                    <w:tl2br w:val="nil"/>
                    <w:tr2bl w:val="nil"/>
                  </w:tcBorders>
                  <w:noWrap w:val="0"/>
                  <w:vAlign w:val="center"/>
                </w:tcPr>
                <w:p w14:paraId="7E4D01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新建项目污染物排放量应实施县（市）平衡，区域污染物排放总量不增加。</w:t>
                  </w:r>
                </w:p>
              </w:tc>
              <w:tc>
                <w:tcPr>
                  <w:tcW w:w="2122" w:type="dxa"/>
                  <w:tcBorders>
                    <w:tl2br w:val="nil"/>
                    <w:tr2bl w:val="nil"/>
                  </w:tcBorders>
                  <w:noWrap w:val="0"/>
                  <w:vAlign w:val="center"/>
                </w:tcPr>
                <w:p w14:paraId="0CDEAF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本项目废气、废水已申请</w:t>
                  </w:r>
                  <w:r>
                    <w:rPr>
                      <w:rFonts w:hint="eastAsia" w:cs="Times New Roman"/>
                      <w:color w:val="auto"/>
                      <w:kern w:val="0"/>
                      <w:sz w:val="21"/>
                      <w:szCs w:val="21"/>
                      <w:highlight w:val="none"/>
                      <w:lang w:val="en-US" w:eastAsia="zh-CN" w:bidi="ar"/>
                    </w:rPr>
                    <w:t>氮氧化物、</w:t>
                  </w:r>
                  <w:r>
                    <w:rPr>
                      <w:rFonts w:hint="default" w:ascii="Times New Roman" w:hAnsi="Times New Roman" w:eastAsia="宋体" w:cs="Times New Roman"/>
                      <w:color w:val="auto"/>
                      <w:kern w:val="0"/>
                      <w:sz w:val="21"/>
                      <w:szCs w:val="21"/>
                      <w:highlight w:val="none"/>
                      <w:lang w:val="en-US" w:eastAsia="zh-CN" w:bidi="ar"/>
                    </w:rPr>
                    <w:t>化学需氧量、氨氮</w:t>
                  </w:r>
                  <w:r>
                    <w:rPr>
                      <w:color w:val="auto"/>
                      <w:sz w:val="21"/>
                      <w:szCs w:val="21"/>
                    </w:rPr>
                    <w:t>排放总量</w:t>
                  </w:r>
                  <w:r>
                    <w:rPr>
                      <w:rFonts w:hint="eastAsia"/>
                      <w:color w:val="auto"/>
                      <w:sz w:val="21"/>
                      <w:szCs w:val="21"/>
                      <w:lang w:eastAsia="zh-CN"/>
                    </w:rPr>
                    <w:t>，</w:t>
                  </w:r>
                  <w:r>
                    <w:rPr>
                      <w:rFonts w:hint="eastAsia"/>
                      <w:color w:val="auto"/>
                      <w:sz w:val="21"/>
                      <w:szCs w:val="21"/>
                    </w:rPr>
                    <w:t>符合赣州市</w:t>
                  </w:r>
                  <w:r>
                    <w:rPr>
                      <w:rFonts w:hint="eastAsia"/>
                      <w:color w:val="auto"/>
                      <w:sz w:val="21"/>
                      <w:szCs w:val="21"/>
                      <w:lang w:val="en-US" w:eastAsia="zh-CN"/>
                    </w:rPr>
                    <w:t>宁都县</w:t>
                  </w:r>
                  <w:r>
                    <w:rPr>
                      <w:rFonts w:hint="eastAsia"/>
                      <w:color w:val="auto"/>
                      <w:sz w:val="21"/>
                      <w:szCs w:val="21"/>
                    </w:rPr>
                    <w:t>要求</w:t>
                  </w:r>
                </w:p>
              </w:tc>
              <w:tc>
                <w:tcPr>
                  <w:tcW w:w="505" w:type="dxa"/>
                  <w:tcBorders>
                    <w:tl2br w:val="nil"/>
                    <w:tr2bl w:val="nil"/>
                  </w:tcBorders>
                  <w:noWrap w:val="0"/>
                  <w:vAlign w:val="center"/>
                </w:tcPr>
                <w:p w14:paraId="00496A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相符</w:t>
                  </w:r>
                </w:p>
              </w:tc>
            </w:tr>
            <w:tr w14:paraId="6150F7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vMerge w:val="continue"/>
                  <w:tcBorders>
                    <w:tl2br w:val="nil"/>
                    <w:tr2bl w:val="nil"/>
                  </w:tcBorders>
                  <w:noWrap w:val="0"/>
                  <w:vAlign w:val="center"/>
                </w:tcPr>
                <w:p w14:paraId="70AF5B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67" w:type="dxa"/>
                  <w:vMerge w:val="continue"/>
                  <w:tcBorders>
                    <w:tl2br w:val="nil"/>
                    <w:tr2bl w:val="nil"/>
                  </w:tcBorders>
                  <w:noWrap w:val="0"/>
                  <w:vAlign w:val="center"/>
                </w:tcPr>
                <w:p w14:paraId="1A381B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53" w:type="dxa"/>
                  <w:gridSpan w:val="3"/>
                  <w:tcBorders>
                    <w:tl2br w:val="nil"/>
                    <w:tr2bl w:val="nil"/>
                  </w:tcBorders>
                  <w:noWrap w:val="0"/>
                  <w:vAlign w:val="center"/>
                </w:tcPr>
                <w:p w14:paraId="083EC3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新增源排放标准限值</w:t>
                  </w:r>
                </w:p>
              </w:tc>
              <w:tc>
                <w:tcPr>
                  <w:tcW w:w="2001" w:type="dxa"/>
                  <w:tcBorders>
                    <w:tl2br w:val="nil"/>
                    <w:tr2bl w:val="nil"/>
                  </w:tcBorders>
                  <w:noWrap w:val="0"/>
                  <w:vAlign w:val="center"/>
                </w:tcPr>
                <w:p w14:paraId="4E36CD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新建项目染物排放应达到行业排放标准或综合排放标准。</w:t>
                  </w:r>
                </w:p>
              </w:tc>
              <w:tc>
                <w:tcPr>
                  <w:tcW w:w="2122" w:type="dxa"/>
                  <w:tcBorders>
                    <w:tl2br w:val="nil"/>
                    <w:tr2bl w:val="nil"/>
                  </w:tcBorders>
                  <w:noWrap w:val="0"/>
                  <w:vAlign w:val="center"/>
                </w:tcPr>
                <w:p w14:paraId="3AAC07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sz w:val="21"/>
                      <w:szCs w:val="21"/>
                      <w:highlight w:val="none"/>
                      <w:vertAlign w:val="baseline"/>
                      <w:lang w:val="en-US" w:eastAsia="zh-CN"/>
                    </w:rPr>
                    <w:t>综合废水排放需满足《肉类加工工业水污染物排放标准》（GB13457-92）表 3 三级标准和宁都县第二污水处理厂接管标准中较严值。</w:t>
                  </w:r>
                </w:p>
              </w:tc>
              <w:tc>
                <w:tcPr>
                  <w:tcW w:w="505" w:type="dxa"/>
                  <w:tcBorders>
                    <w:tl2br w:val="nil"/>
                    <w:tr2bl w:val="nil"/>
                  </w:tcBorders>
                  <w:noWrap w:val="0"/>
                  <w:vAlign w:val="center"/>
                </w:tcPr>
                <w:p w14:paraId="378765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i w:val="0"/>
                      <w:iCs w:val="0"/>
                      <w:color w:val="auto"/>
                      <w:kern w:val="0"/>
                      <w:sz w:val="21"/>
                      <w:szCs w:val="21"/>
                      <w:u w:val="none"/>
                      <w:lang w:val="en-US" w:eastAsia="zh-CN" w:bidi="ar"/>
                    </w:rPr>
                  </w:pPr>
                </w:p>
              </w:tc>
            </w:tr>
            <w:tr w14:paraId="191E95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vMerge w:val="continue"/>
                  <w:tcBorders>
                    <w:tl2br w:val="nil"/>
                    <w:tr2bl w:val="nil"/>
                  </w:tcBorders>
                  <w:noWrap w:val="0"/>
                  <w:vAlign w:val="center"/>
                </w:tcPr>
                <w:p w14:paraId="67EB37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67" w:type="dxa"/>
                  <w:vMerge w:val="continue"/>
                  <w:tcBorders>
                    <w:tl2br w:val="nil"/>
                    <w:tr2bl w:val="nil"/>
                  </w:tcBorders>
                  <w:noWrap w:val="0"/>
                  <w:vAlign w:val="center"/>
                </w:tcPr>
                <w:p w14:paraId="7AC933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53" w:type="dxa"/>
                  <w:gridSpan w:val="3"/>
                  <w:tcBorders>
                    <w:tl2br w:val="nil"/>
                    <w:tr2bl w:val="nil"/>
                  </w:tcBorders>
                  <w:noWrap w:val="0"/>
                  <w:vAlign w:val="center"/>
                </w:tcPr>
                <w:p w14:paraId="1311EE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污染物排放绩效水平准入要求</w:t>
                  </w:r>
                </w:p>
              </w:tc>
              <w:tc>
                <w:tcPr>
                  <w:tcW w:w="2001" w:type="dxa"/>
                  <w:tcBorders>
                    <w:tl2br w:val="nil"/>
                    <w:tr2bl w:val="nil"/>
                  </w:tcBorders>
                  <w:noWrap w:val="0"/>
                  <w:vAlign w:val="center"/>
                </w:tcPr>
                <w:p w14:paraId="764DD4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鼓励企业加大工业用水重复利用率，特定行业工业用水重复利用率应满足该行业清洁生产要求。</w:t>
                  </w:r>
                </w:p>
              </w:tc>
              <w:tc>
                <w:tcPr>
                  <w:tcW w:w="2122" w:type="dxa"/>
                  <w:tcBorders>
                    <w:tl2br w:val="nil"/>
                    <w:tr2bl w:val="nil"/>
                  </w:tcBorders>
                  <w:noWrap w:val="0"/>
                  <w:vAlign w:val="center"/>
                </w:tcPr>
                <w:p w14:paraId="706969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本项目不涉及</w:t>
                  </w:r>
                </w:p>
              </w:tc>
              <w:tc>
                <w:tcPr>
                  <w:tcW w:w="505" w:type="dxa"/>
                  <w:tcBorders>
                    <w:tl2br w:val="nil"/>
                    <w:tr2bl w:val="nil"/>
                  </w:tcBorders>
                  <w:noWrap w:val="0"/>
                  <w:vAlign w:val="center"/>
                </w:tcPr>
                <w:p w14:paraId="2919D1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相符</w:t>
                  </w:r>
                </w:p>
              </w:tc>
            </w:tr>
            <w:tr w14:paraId="7B5E88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1650" w:type="dxa"/>
                  <w:vMerge w:val="continue"/>
                  <w:tcBorders>
                    <w:tl2br w:val="nil"/>
                    <w:tr2bl w:val="nil"/>
                  </w:tcBorders>
                  <w:noWrap w:val="0"/>
                  <w:vAlign w:val="center"/>
                </w:tcPr>
                <w:p w14:paraId="249A6F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67" w:type="dxa"/>
                  <w:vMerge w:val="continue"/>
                  <w:tcBorders>
                    <w:tl2br w:val="nil"/>
                    <w:tr2bl w:val="nil"/>
                  </w:tcBorders>
                  <w:noWrap w:val="0"/>
                  <w:vAlign w:val="center"/>
                </w:tcPr>
                <w:p w14:paraId="70334F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676" w:type="dxa"/>
                  <w:gridSpan w:val="2"/>
                  <w:vMerge w:val="restart"/>
                  <w:tcBorders>
                    <w:tl2br w:val="nil"/>
                    <w:tr2bl w:val="nil"/>
                  </w:tcBorders>
                  <w:noWrap w:val="0"/>
                  <w:vAlign w:val="center"/>
                </w:tcPr>
                <w:p w14:paraId="3479AD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园区环境风险防控要求</w:t>
                  </w:r>
                </w:p>
              </w:tc>
              <w:tc>
                <w:tcPr>
                  <w:tcW w:w="677" w:type="dxa"/>
                  <w:tcBorders>
                    <w:tl2br w:val="nil"/>
                    <w:tr2bl w:val="nil"/>
                  </w:tcBorders>
                  <w:noWrap w:val="0"/>
                  <w:vAlign w:val="center"/>
                </w:tcPr>
                <w:p w14:paraId="66D932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 xml:space="preserve">园区敏感点风 </w:t>
                  </w:r>
                </w:p>
                <w:p w14:paraId="39E244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险准入类防控要求</w:t>
                  </w:r>
                </w:p>
              </w:tc>
              <w:tc>
                <w:tcPr>
                  <w:tcW w:w="2001" w:type="dxa"/>
                  <w:tcBorders>
                    <w:tl2br w:val="nil"/>
                    <w:tr2bl w:val="nil"/>
                  </w:tcBorders>
                  <w:noWrap w:val="0"/>
                  <w:vAlign w:val="center"/>
                </w:tcPr>
                <w:p w14:paraId="3F0D59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紧邻居住、科教、医院等环境敏感点的工</w:t>
                  </w:r>
                </w:p>
                <w:p w14:paraId="681988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业用地，禁止新建环境风险等级高的建设项目。</w:t>
                  </w:r>
                </w:p>
              </w:tc>
              <w:tc>
                <w:tcPr>
                  <w:tcW w:w="2122" w:type="dxa"/>
                  <w:tcBorders>
                    <w:tl2br w:val="nil"/>
                    <w:tr2bl w:val="nil"/>
                  </w:tcBorders>
                  <w:noWrap w:val="0"/>
                  <w:vAlign w:val="center"/>
                </w:tcPr>
                <w:p w14:paraId="730696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项目不属于环境风险高的建设项目，</w:t>
                  </w:r>
                  <w:r>
                    <w:rPr>
                      <w:rFonts w:hint="eastAsia" w:ascii="Times New Roman" w:hAnsi="Times New Roman" w:eastAsia="宋体" w:cs="Times New Roman"/>
                      <w:b w:val="0"/>
                      <w:bCs w:val="0"/>
                      <w:color w:val="auto"/>
                      <w:sz w:val="21"/>
                      <w:szCs w:val="21"/>
                      <w:highlight w:val="none"/>
                      <w:vertAlign w:val="baseline"/>
                      <w:lang w:val="en-US" w:eastAsia="zh-CN"/>
                    </w:rPr>
                    <w:t>周边50米无居住、科教、医院等环境敏感点</w:t>
                  </w:r>
                </w:p>
              </w:tc>
              <w:tc>
                <w:tcPr>
                  <w:tcW w:w="505" w:type="dxa"/>
                  <w:tcBorders>
                    <w:tl2br w:val="nil"/>
                    <w:tr2bl w:val="nil"/>
                  </w:tcBorders>
                  <w:noWrap w:val="0"/>
                  <w:vAlign w:val="center"/>
                </w:tcPr>
                <w:p w14:paraId="624CE2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相符</w:t>
                  </w:r>
                </w:p>
              </w:tc>
            </w:tr>
            <w:tr w14:paraId="6763C0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1650" w:type="dxa"/>
                  <w:vMerge w:val="continue"/>
                  <w:tcBorders>
                    <w:tl2br w:val="nil"/>
                    <w:tr2bl w:val="nil"/>
                  </w:tcBorders>
                  <w:noWrap w:val="0"/>
                  <w:vAlign w:val="center"/>
                </w:tcPr>
                <w:p w14:paraId="2FEA26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67" w:type="dxa"/>
                  <w:vMerge w:val="continue"/>
                  <w:tcBorders>
                    <w:tl2br w:val="nil"/>
                    <w:tr2bl w:val="nil"/>
                  </w:tcBorders>
                  <w:noWrap w:val="0"/>
                  <w:vAlign w:val="center"/>
                </w:tcPr>
                <w:p w14:paraId="5A9488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676" w:type="dxa"/>
                  <w:gridSpan w:val="2"/>
                  <w:vMerge w:val="continue"/>
                  <w:tcBorders>
                    <w:tl2br w:val="nil"/>
                    <w:tr2bl w:val="nil"/>
                  </w:tcBorders>
                  <w:noWrap w:val="0"/>
                  <w:vAlign w:val="center"/>
                </w:tcPr>
                <w:p w14:paraId="5A85BC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p>
              </w:tc>
              <w:tc>
                <w:tcPr>
                  <w:tcW w:w="677" w:type="dxa"/>
                  <w:tcBorders>
                    <w:tl2br w:val="nil"/>
                    <w:tr2bl w:val="nil"/>
                  </w:tcBorders>
                  <w:noWrap w:val="0"/>
                  <w:vAlign w:val="center"/>
                </w:tcPr>
                <w:p w14:paraId="52C51F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园区风险防控体系要求</w:t>
                  </w:r>
                </w:p>
              </w:tc>
              <w:tc>
                <w:tcPr>
                  <w:tcW w:w="2001" w:type="dxa"/>
                  <w:tcBorders>
                    <w:tl2br w:val="nil"/>
                    <w:tr2bl w:val="nil"/>
                  </w:tcBorders>
                  <w:noWrap w:val="0"/>
                  <w:vAlign w:val="center"/>
                </w:tcPr>
                <w:p w14:paraId="477BCE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园区应建立三级环境风险防控体系。</w:t>
                  </w:r>
                </w:p>
              </w:tc>
              <w:tc>
                <w:tcPr>
                  <w:tcW w:w="2122" w:type="dxa"/>
                  <w:tcBorders>
                    <w:tl2br w:val="nil"/>
                    <w:tr2bl w:val="nil"/>
                  </w:tcBorders>
                  <w:noWrap w:val="0"/>
                  <w:vAlign w:val="center"/>
                </w:tcPr>
                <w:p w14:paraId="7B9421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olor w:val="auto"/>
                      <w:lang w:val="en-US" w:eastAsia="zh-CN"/>
                    </w:rPr>
                  </w:pPr>
                  <w:r>
                    <w:rPr>
                      <w:rFonts w:hint="eastAsia"/>
                      <w:color w:val="auto"/>
                      <w:lang w:val="en-US" w:eastAsia="zh-CN"/>
                    </w:rPr>
                    <w:t>项目所在园区已建立三级环境风险防控体系</w:t>
                  </w:r>
                </w:p>
              </w:tc>
              <w:tc>
                <w:tcPr>
                  <w:tcW w:w="505" w:type="dxa"/>
                  <w:tcBorders>
                    <w:tl2br w:val="nil"/>
                    <w:tr2bl w:val="nil"/>
                  </w:tcBorders>
                  <w:noWrap w:val="0"/>
                  <w:vAlign w:val="center"/>
                </w:tcPr>
                <w:p w14:paraId="4D9A0C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5C37A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vMerge w:val="continue"/>
                  <w:tcBorders>
                    <w:tl2br w:val="nil"/>
                    <w:tr2bl w:val="nil"/>
                  </w:tcBorders>
                  <w:noWrap w:val="0"/>
                  <w:vAlign w:val="center"/>
                </w:tcPr>
                <w:p w14:paraId="4FC5BD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67" w:type="dxa"/>
                  <w:vMerge w:val="continue"/>
                  <w:tcBorders>
                    <w:tl2br w:val="nil"/>
                    <w:tr2bl w:val="nil"/>
                  </w:tcBorders>
                  <w:noWrap w:val="0"/>
                  <w:vAlign w:val="center"/>
                </w:tcPr>
                <w:p w14:paraId="29F70E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676" w:type="dxa"/>
                  <w:gridSpan w:val="2"/>
                  <w:vMerge w:val="restart"/>
                  <w:tcBorders>
                    <w:tl2br w:val="nil"/>
                    <w:tr2bl w:val="nil"/>
                  </w:tcBorders>
                  <w:noWrap w:val="0"/>
                  <w:vAlign w:val="center"/>
                </w:tcPr>
                <w:p w14:paraId="5B0208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企业环境风险防控要求</w:t>
                  </w:r>
                </w:p>
              </w:tc>
              <w:tc>
                <w:tcPr>
                  <w:tcW w:w="677" w:type="dxa"/>
                  <w:tcBorders>
                    <w:tl2br w:val="nil"/>
                    <w:tr2bl w:val="nil"/>
                  </w:tcBorders>
                  <w:noWrap w:val="0"/>
                  <w:vAlign w:val="center"/>
                </w:tcPr>
                <w:p w14:paraId="5D887E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 xml:space="preserve">企业风险防控 </w:t>
                  </w:r>
                </w:p>
                <w:p w14:paraId="32F064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配套措施</w:t>
                  </w:r>
                </w:p>
                <w:p w14:paraId="0CA772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p>
              </w:tc>
              <w:tc>
                <w:tcPr>
                  <w:tcW w:w="2001" w:type="dxa"/>
                  <w:tcBorders>
                    <w:tl2br w:val="nil"/>
                    <w:tr2bl w:val="nil"/>
                  </w:tcBorders>
                  <w:noWrap w:val="0"/>
                  <w:vAlign w:val="center"/>
                </w:tcPr>
                <w:p w14:paraId="4B13CB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 xml:space="preserve">生产、存储危险化学品及产生大量废水的 </w:t>
                  </w:r>
                </w:p>
                <w:p w14:paraId="2F2A07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 xml:space="preserve">企业，应配套有效措施，防止因渗漏污染 </w:t>
                  </w:r>
                </w:p>
                <w:p w14:paraId="201324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地下水、土壤，以及因事故废水直排污染地表水体。</w:t>
                  </w:r>
                </w:p>
                <w:p w14:paraId="60148E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p>
              </w:tc>
              <w:tc>
                <w:tcPr>
                  <w:tcW w:w="2122" w:type="dxa"/>
                  <w:tcBorders>
                    <w:tl2br w:val="nil"/>
                    <w:tr2bl w:val="nil"/>
                  </w:tcBorders>
                  <w:noWrap w:val="0"/>
                  <w:vAlign w:val="center"/>
                </w:tcPr>
                <w:p w14:paraId="52330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本项目废水主要分为生活污水、生产废水</w:t>
                  </w:r>
                  <w:r>
                    <w:rPr>
                      <w:rFonts w:hint="eastAsia" w:cs="Times New Roman"/>
                      <w:color w:val="auto"/>
                      <w:kern w:val="0"/>
                      <w:sz w:val="21"/>
                      <w:szCs w:val="21"/>
                      <w:lang w:val="en-US" w:eastAsia="zh-CN" w:bidi="ar"/>
                    </w:rPr>
                    <w:t>和纯水制备浓水</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纯水制备浓水可</w:t>
                  </w:r>
                  <w:r>
                    <w:rPr>
                      <w:rFonts w:hint="eastAsia" w:cs="Times New Roman"/>
                      <w:color w:val="auto"/>
                      <w:sz w:val="21"/>
                      <w:szCs w:val="21"/>
                      <w:highlight w:val="none"/>
                      <w:lang w:val="en-US" w:eastAsia="zh-CN"/>
                    </w:rPr>
                    <w:t>不经过污水处理站处理直接</w:t>
                  </w:r>
                  <w:r>
                    <w:rPr>
                      <w:rFonts w:hint="default" w:ascii="Times New Roman" w:hAnsi="Times New Roman" w:cs="Times New Roman"/>
                      <w:color w:val="auto"/>
                      <w:sz w:val="21"/>
                      <w:szCs w:val="21"/>
                      <w:highlight w:val="none"/>
                      <w:lang w:val="en-US" w:eastAsia="zh-CN"/>
                    </w:rPr>
                    <w:t>和</w:t>
                  </w:r>
                  <w:r>
                    <w:rPr>
                      <w:rFonts w:hint="eastAsia" w:ascii="Times New Roman" w:hAnsi="Times New Roman" w:cs="Times New Roman"/>
                      <w:color w:val="auto"/>
                      <w:sz w:val="21"/>
                      <w:szCs w:val="21"/>
                      <w:highlight w:val="none"/>
                      <w:lang w:val="en-US" w:eastAsia="zh-CN"/>
                    </w:rPr>
                    <w:t>污水处理站</w:t>
                  </w:r>
                  <w:r>
                    <w:rPr>
                      <w:rFonts w:hint="default" w:ascii="Times New Roman" w:hAnsi="Times New Roman" w:cs="Times New Roman"/>
                      <w:color w:val="auto"/>
                      <w:sz w:val="21"/>
                      <w:szCs w:val="21"/>
                      <w:highlight w:val="none"/>
                      <w:lang w:val="en-US" w:eastAsia="zh-CN"/>
                    </w:rPr>
                    <w:t>处理过的废水一起经总排口排入污水管网</w:t>
                  </w:r>
                  <w:r>
                    <w:rPr>
                      <w:rFonts w:hint="eastAsia" w:cs="Times New Roman"/>
                      <w:color w:val="auto"/>
                      <w:kern w:val="0"/>
                      <w:sz w:val="21"/>
                      <w:szCs w:val="21"/>
                      <w:lang w:val="en-US" w:eastAsia="zh-CN" w:bidi="ar"/>
                    </w:rPr>
                    <w:t>，</w:t>
                  </w:r>
                  <w:r>
                    <w:rPr>
                      <w:rFonts w:hint="eastAsia" w:ascii="Times New Roman" w:hAnsi="Times New Roman" w:eastAsia="宋体" w:cs="Times New Roman"/>
                      <w:b w:val="0"/>
                      <w:bCs/>
                      <w:color w:val="auto"/>
                      <w:kern w:val="2"/>
                      <w:sz w:val="21"/>
                      <w:szCs w:val="21"/>
                      <w:lang w:val="en-US" w:eastAsia="zh-CN" w:bidi="ar-SA"/>
                    </w:rPr>
                    <w:t>生活污水经化粪池处理后和生产废水一起进入自建污水处理站处理达标后通过污水管网进入宁都县第二污水处理厂处理达标后，最终排入梅江。</w:t>
                  </w:r>
                </w:p>
                <w:p w14:paraId="15ABF7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项目污水处理站已设置防渗处理措施，</w:t>
                  </w:r>
                  <w:r>
                    <w:rPr>
                      <w:rFonts w:hint="eastAsia" w:ascii="Times New Roman" w:hAnsi="Times New Roman" w:eastAsia="宋体" w:cs="Times New Roman"/>
                      <w:b w:val="0"/>
                      <w:bCs w:val="0"/>
                      <w:color w:val="auto"/>
                      <w:sz w:val="21"/>
                      <w:szCs w:val="21"/>
                      <w:highlight w:val="none"/>
                      <w:vertAlign w:val="baseline"/>
                      <w:lang w:val="en-US" w:eastAsia="zh-CN"/>
                    </w:rPr>
                    <w:t>防止因渗漏污染地下水、土壤，以及因事故废水直排污染地表水体。</w:t>
                  </w:r>
                </w:p>
              </w:tc>
              <w:tc>
                <w:tcPr>
                  <w:tcW w:w="505" w:type="dxa"/>
                  <w:tcBorders>
                    <w:tl2br w:val="nil"/>
                    <w:tr2bl w:val="nil"/>
                  </w:tcBorders>
                  <w:noWrap w:val="0"/>
                  <w:vAlign w:val="center"/>
                </w:tcPr>
                <w:p w14:paraId="7B5771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相符</w:t>
                  </w:r>
                </w:p>
              </w:tc>
            </w:tr>
            <w:tr w14:paraId="67257A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vMerge w:val="continue"/>
                  <w:tcBorders>
                    <w:tl2br w:val="nil"/>
                    <w:tr2bl w:val="nil"/>
                  </w:tcBorders>
                  <w:noWrap w:val="0"/>
                  <w:vAlign w:val="center"/>
                </w:tcPr>
                <w:p w14:paraId="58C781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67" w:type="dxa"/>
                  <w:vMerge w:val="continue"/>
                  <w:tcBorders>
                    <w:tl2br w:val="nil"/>
                    <w:tr2bl w:val="nil"/>
                  </w:tcBorders>
                  <w:noWrap w:val="0"/>
                  <w:vAlign w:val="center"/>
                </w:tcPr>
                <w:p w14:paraId="4CC3B9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676" w:type="dxa"/>
                  <w:gridSpan w:val="2"/>
                  <w:vMerge w:val="continue"/>
                  <w:tcBorders>
                    <w:tl2br w:val="nil"/>
                    <w:tr2bl w:val="nil"/>
                  </w:tcBorders>
                  <w:noWrap w:val="0"/>
                  <w:vAlign w:val="center"/>
                </w:tcPr>
                <w:p w14:paraId="27C9B3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p>
              </w:tc>
              <w:tc>
                <w:tcPr>
                  <w:tcW w:w="677" w:type="dxa"/>
                  <w:tcBorders>
                    <w:tl2br w:val="nil"/>
                    <w:tr2bl w:val="nil"/>
                  </w:tcBorders>
                  <w:noWrap w:val="0"/>
                  <w:vAlign w:val="center"/>
                </w:tcPr>
                <w:p w14:paraId="796935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企业生产过程风险防控要求</w:t>
                  </w:r>
                </w:p>
              </w:tc>
              <w:tc>
                <w:tcPr>
                  <w:tcW w:w="2001" w:type="dxa"/>
                  <w:tcBorders>
                    <w:tl2br w:val="nil"/>
                    <w:tr2bl w:val="nil"/>
                  </w:tcBorders>
                  <w:noWrap w:val="0"/>
                  <w:vAlign w:val="center"/>
                </w:tcPr>
                <w:p w14:paraId="1C8520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 xml:space="preserve">产生、利用或处置固体废物（含危险废物）的企业，在贮存、转 </w:t>
                  </w:r>
                </w:p>
                <w:p w14:paraId="05AE73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 xml:space="preserve">移、利用、处置固体废物（含危险废物）过程中，应配套防扬 </w:t>
                  </w:r>
                </w:p>
                <w:p w14:paraId="6396AA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散、防流失、防渗漏及其他防止污染环境的措施。</w:t>
                  </w:r>
                </w:p>
                <w:p w14:paraId="234234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p>
              </w:tc>
              <w:tc>
                <w:tcPr>
                  <w:tcW w:w="2122" w:type="dxa"/>
                  <w:tcBorders>
                    <w:tl2br w:val="nil"/>
                    <w:tr2bl w:val="nil"/>
                  </w:tcBorders>
                  <w:noWrap w:val="0"/>
                  <w:vAlign w:val="center"/>
                </w:tcPr>
                <w:p w14:paraId="298A9D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i w:val="0"/>
                      <w:iCs w:val="0"/>
                      <w:color w:val="auto"/>
                      <w:sz w:val="21"/>
                      <w:szCs w:val="21"/>
                      <w:u w:val="none"/>
                      <w:lang w:val="en-US" w:eastAsia="zh-CN"/>
                    </w:rPr>
                    <w:t>项目对厂区进行防渗处理，危险废物暂存于危废暂存间，危险废物的存放和处置均按照</w:t>
                  </w:r>
                  <w:r>
                    <w:rPr>
                      <w:rFonts w:hint="eastAsia"/>
                      <w:color w:val="auto"/>
                      <w:lang w:val="en-US" w:eastAsia="zh-CN"/>
                    </w:rPr>
                    <w:t>《危险废物贮存污染控制标准》（GB18597-2023）中的规定</w:t>
                  </w:r>
                </w:p>
              </w:tc>
              <w:tc>
                <w:tcPr>
                  <w:tcW w:w="505" w:type="dxa"/>
                  <w:tcBorders>
                    <w:tl2br w:val="nil"/>
                    <w:tr2bl w:val="nil"/>
                  </w:tcBorders>
                  <w:noWrap w:val="0"/>
                  <w:vAlign w:val="center"/>
                </w:tcPr>
                <w:p w14:paraId="5BA929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911A1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50" w:type="dxa"/>
                  <w:vMerge w:val="continue"/>
                  <w:tcBorders>
                    <w:tl2br w:val="nil"/>
                    <w:tr2bl w:val="nil"/>
                  </w:tcBorders>
                  <w:noWrap w:val="0"/>
                  <w:vAlign w:val="center"/>
                </w:tcPr>
                <w:p w14:paraId="6F561C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67" w:type="dxa"/>
                  <w:vMerge w:val="continue"/>
                  <w:tcBorders>
                    <w:tl2br w:val="nil"/>
                    <w:tr2bl w:val="nil"/>
                  </w:tcBorders>
                  <w:noWrap w:val="0"/>
                  <w:vAlign w:val="center"/>
                </w:tcPr>
                <w:p w14:paraId="6868D5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338" w:type="dxa"/>
                  <w:tcBorders>
                    <w:tl2br w:val="nil"/>
                    <w:tr2bl w:val="nil"/>
                  </w:tcBorders>
                  <w:noWrap w:val="0"/>
                  <w:vAlign w:val="center"/>
                </w:tcPr>
                <w:p w14:paraId="2C22EF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资源利用效率要求</w:t>
                  </w:r>
                </w:p>
              </w:tc>
              <w:tc>
                <w:tcPr>
                  <w:tcW w:w="338" w:type="dxa"/>
                  <w:tcBorders>
                    <w:tl2br w:val="nil"/>
                    <w:tr2bl w:val="nil"/>
                  </w:tcBorders>
                  <w:noWrap w:val="0"/>
                  <w:vAlign w:val="center"/>
                </w:tcPr>
                <w:p w14:paraId="088C94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水资源利用效率要求</w:t>
                  </w:r>
                </w:p>
              </w:tc>
              <w:tc>
                <w:tcPr>
                  <w:tcW w:w="677" w:type="dxa"/>
                  <w:tcBorders>
                    <w:tl2br w:val="nil"/>
                    <w:tr2bl w:val="nil"/>
                  </w:tcBorders>
                  <w:noWrap w:val="0"/>
                  <w:vAlign w:val="center"/>
                </w:tcPr>
                <w:p w14:paraId="0DD775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 xml:space="preserve">水资源 </w:t>
                  </w:r>
                </w:p>
                <w:p w14:paraId="503AC1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 xml:space="preserve">重复利 </w:t>
                  </w:r>
                </w:p>
                <w:p w14:paraId="6B56D2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 xml:space="preserve">用率要 </w:t>
                  </w:r>
                </w:p>
                <w:p w14:paraId="0D63E1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求</w:t>
                  </w:r>
                </w:p>
                <w:p w14:paraId="445910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p>
              </w:tc>
              <w:tc>
                <w:tcPr>
                  <w:tcW w:w="2001" w:type="dxa"/>
                  <w:tcBorders>
                    <w:tl2br w:val="nil"/>
                    <w:tr2bl w:val="nil"/>
                  </w:tcBorders>
                  <w:noWrap w:val="0"/>
                  <w:vAlign w:val="center"/>
                </w:tcPr>
                <w:p w14:paraId="221FC4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企业工业用水重复率执行行业标准要求。</w:t>
                  </w:r>
                </w:p>
                <w:p w14:paraId="372586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p>
              </w:tc>
              <w:tc>
                <w:tcPr>
                  <w:tcW w:w="2122" w:type="dxa"/>
                  <w:tcBorders>
                    <w:tl2br w:val="nil"/>
                    <w:tr2bl w:val="nil"/>
                  </w:tcBorders>
                  <w:noWrap w:val="0"/>
                  <w:vAlign w:val="center"/>
                </w:tcPr>
                <w:p w14:paraId="62F6FE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本项目不涉及</w:t>
                  </w:r>
                </w:p>
              </w:tc>
              <w:tc>
                <w:tcPr>
                  <w:tcW w:w="505" w:type="dxa"/>
                  <w:tcBorders>
                    <w:tl2br w:val="nil"/>
                    <w:tr2bl w:val="nil"/>
                  </w:tcBorders>
                  <w:noWrap w:val="0"/>
                  <w:vAlign w:val="center"/>
                </w:tcPr>
                <w:p w14:paraId="0890FB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相符</w:t>
                  </w:r>
                </w:p>
              </w:tc>
            </w:tr>
          </w:tbl>
          <w:p w14:paraId="402B5F07">
            <w:pPr>
              <w:pStyle w:val="124"/>
              <w:bidi w:val="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经表1-</w:t>
            </w:r>
            <w:r>
              <w:rPr>
                <w:rFonts w:hint="eastAsia" w:cs="Times New Roman"/>
                <w:color w:val="FF0000"/>
                <w:lang w:val="en-US" w:eastAsia="zh-CN"/>
              </w:rPr>
              <w:t>5</w:t>
            </w:r>
            <w:r>
              <w:rPr>
                <w:rFonts w:hint="default" w:ascii="Times New Roman" w:hAnsi="Times New Roman" w:eastAsia="宋体" w:cs="Times New Roman"/>
                <w:color w:val="FF0000"/>
                <w:lang w:val="en-US" w:eastAsia="zh-CN"/>
              </w:rPr>
              <w:t>、表1-</w:t>
            </w:r>
            <w:r>
              <w:rPr>
                <w:rFonts w:hint="eastAsia" w:cs="Times New Roman"/>
                <w:color w:val="FF0000"/>
                <w:lang w:val="en-US" w:eastAsia="zh-CN"/>
              </w:rPr>
              <w:t>6</w:t>
            </w:r>
            <w:r>
              <w:rPr>
                <w:rFonts w:hint="default" w:ascii="Times New Roman" w:hAnsi="Times New Roman" w:eastAsia="宋体" w:cs="Times New Roman"/>
                <w:color w:val="FF0000"/>
                <w:lang w:val="en-US" w:eastAsia="zh-CN"/>
              </w:rPr>
              <w:t>分析，本项目符合赣州市生态环境总体准入清单、赣州市环境管控单元生态环境准入清单要求。</w:t>
            </w:r>
          </w:p>
          <w:p w14:paraId="6343BDF3">
            <w:pPr>
              <w:pStyle w:val="10"/>
              <w:bidi w:val="0"/>
              <w:rPr>
                <w:rFonts w:hint="default"/>
                <w:b w:val="0"/>
                <w:bCs w:val="0"/>
                <w:color w:val="FF0000"/>
                <w:highlight w:val="none"/>
                <w:lang w:val="en-US" w:eastAsia="zh-CN"/>
              </w:rPr>
            </w:pPr>
            <w:r>
              <w:rPr>
                <w:rFonts w:hint="default"/>
                <w:b w:val="0"/>
                <w:bCs w:val="0"/>
                <w:color w:val="FF0000"/>
                <w:highlight w:val="none"/>
                <w:lang w:val="en-US" w:eastAsia="zh-CN"/>
              </w:rPr>
              <w:t>综上所述，本项目符合“三线一单”要求。</w:t>
            </w:r>
          </w:p>
          <w:p w14:paraId="3A4B16A0">
            <w:pPr>
              <w:pStyle w:val="124"/>
              <w:bidi w:val="0"/>
              <w:rPr>
                <w:rFonts w:hint="default" w:ascii="Times New Roman" w:hAnsi="Times New Roman" w:cs="Times New Roman"/>
                <w:b/>
                <w:bCs/>
                <w:color w:val="auto"/>
                <w:sz w:val="24"/>
                <w:szCs w:val="24"/>
                <w:highlight w:val="none"/>
                <w:lang w:val="en-US" w:eastAsia="zh-CN"/>
              </w:rPr>
            </w:pPr>
            <w:r>
              <w:rPr>
                <w:rFonts w:hint="eastAsia"/>
                <w:b/>
                <w:bCs/>
                <w:color w:val="auto"/>
                <w:lang w:val="en-US" w:eastAsia="zh-CN"/>
              </w:rPr>
              <w:t>（五）</w:t>
            </w:r>
            <w:r>
              <w:rPr>
                <w:b/>
                <w:bCs/>
                <w:color w:val="auto"/>
                <w:sz w:val="24"/>
                <w:szCs w:val="24"/>
                <w:highlight w:val="none"/>
              </w:rPr>
              <w:t>与</w:t>
            </w:r>
            <w:r>
              <w:rPr>
                <w:rFonts w:hint="eastAsia"/>
                <w:b/>
                <w:bCs/>
                <w:color w:val="auto"/>
                <w:sz w:val="24"/>
                <w:szCs w:val="24"/>
                <w:highlight w:val="none"/>
                <w:lang w:val="en-US" w:eastAsia="zh-CN"/>
              </w:rPr>
              <w:t>其他</w:t>
            </w:r>
            <w:r>
              <w:rPr>
                <w:rFonts w:hint="eastAsia"/>
                <w:b/>
                <w:bCs/>
                <w:color w:val="auto"/>
                <w:sz w:val="24"/>
                <w:szCs w:val="24"/>
                <w:highlight w:val="none"/>
              </w:rPr>
              <w:t>文件</w:t>
            </w:r>
            <w:r>
              <w:rPr>
                <w:b/>
                <w:bCs/>
                <w:color w:val="auto"/>
                <w:sz w:val="24"/>
                <w:szCs w:val="24"/>
                <w:highlight w:val="none"/>
              </w:rPr>
              <w:t>相符性分析</w:t>
            </w:r>
          </w:p>
          <w:p w14:paraId="00CC442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与《长江经济带发展负面清单指南(试行，2022年版)的通知》(长江办[2022]7号)相符性分析</w:t>
            </w:r>
          </w:p>
          <w:p w14:paraId="7272F5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对照《推动长江经济带发展领导小组办公室关于印发&lt;长江经济带发展负面清单指南(试行，2022年版)&gt;的通知》(长江办[2022]7号)，本项目涉及</w:t>
            </w:r>
            <w:r>
              <w:rPr>
                <w:rFonts w:hint="eastAsia" w:cs="Times New Roman"/>
                <w:color w:val="auto"/>
                <w:sz w:val="24"/>
                <w:szCs w:val="24"/>
                <w:lang w:val="en-US" w:eastAsia="zh-CN"/>
              </w:rPr>
              <w:t>内容</w:t>
            </w:r>
            <w:r>
              <w:rPr>
                <w:rFonts w:hint="eastAsia" w:ascii="Times New Roman" w:hAnsi="Times New Roman" w:eastAsia="宋体" w:cs="Times New Roman"/>
                <w:color w:val="auto"/>
                <w:sz w:val="24"/>
                <w:szCs w:val="24"/>
                <w:lang w:val="en-US" w:eastAsia="zh-CN"/>
              </w:rPr>
              <w:t>与该文相符性分析见表1-</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w:t>
            </w:r>
          </w:p>
          <w:p w14:paraId="141B1315">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1-7</w:t>
            </w:r>
            <w:r>
              <w:rPr>
                <w:rFonts w:hint="eastAsia"/>
                <w:b/>
                <w:bCs/>
                <w:color w:val="auto"/>
                <w:sz w:val="21"/>
                <w:szCs w:val="21"/>
              </w:rPr>
              <w:t xml:space="preserve">  </w:t>
            </w:r>
            <w:r>
              <w:rPr>
                <w:b/>
                <w:bCs/>
                <w:color w:val="auto"/>
                <w:sz w:val="21"/>
                <w:szCs w:val="21"/>
              </w:rPr>
              <w:t>与</w:t>
            </w:r>
            <w:r>
              <w:rPr>
                <w:rFonts w:hint="eastAsia"/>
                <w:b/>
                <w:bCs/>
                <w:color w:val="auto"/>
                <w:sz w:val="21"/>
                <w:szCs w:val="21"/>
              </w:rPr>
              <w:t>“长江办</w:t>
            </w:r>
            <w:r>
              <w:rPr>
                <w:b/>
                <w:bCs/>
                <w:color w:val="auto"/>
                <w:sz w:val="21"/>
                <w:szCs w:val="21"/>
              </w:rPr>
              <w:t>〔202</w:t>
            </w:r>
            <w:r>
              <w:rPr>
                <w:rFonts w:hint="eastAsia"/>
                <w:b/>
                <w:bCs/>
                <w:color w:val="auto"/>
                <w:sz w:val="21"/>
                <w:szCs w:val="21"/>
              </w:rPr>
              <w:t>2</w:t>
            </w:r>
            <w:r>
              <w:rPr>
                <w:b/>
                <w:bCs/>
                <w:color w:val="auto"/>
                <w:sz w:val="21"/>
                <w:szCs w:val="21"/>
              </w:rPr>
              <w:t>〕</w:t>
            </w:r>
            <w:r>
              <w:rPr>
                <w:rFonts w:hint="eastAsia"/>
                <w:b/>
                <w:bCs/>
                <w:color w:val="auto"/>
                <w:sz w:val="21"/>
                <w:szCs w:val="21"/>
              </w:rPr>
              <w:t>7</w:t>
            </w:r>
            <w:r>
              <w:rPr>
                <w:b/>
                <w:bCs/>
                <w:color w:val="auto"/>
                <w:sz w:val="21"/>
                <w:szCs w:val="21"/>
              </w:rPr>
              <w:t>号</w:t>
            </w:r>
            <w:r>
              <w:rPr>
                <w:rFonts w:hint="eastAsia"/>
                <w:b/>
                <w:bCs/>
                <w:color w:val="auto"/>
                <w:sz w:val="21"/>
                <w:szCs w:val="21"/>
              </w:rPr>
              <w:t>”</w:t>
            </w:r>
            <w:r>
              <w:rPr>
                <w:b/>
                <w:bCs/>
                <w:color w:val="auto"/>
                <w:sz w:val="21"/>
                <w:szCs w:val="21"/>
              </w:rPr>
              <w:t>文相符性分析表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41"/>
              <w:gridCol w:w="3509"/>
              <w:gridCol w:w="3818"/>
              <w:gridCol w:w="650"/>
            </w:tblGrid>
            <w:tr w14:paraId="673F3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341" w:type="dxa"/>
                  <w:tcBorders>
                    <w:tl2br w:val="nil"/>
                    <w:tr2bl w:val="nil"/>
                  </w:tcBorders>
                  <w:noWrap w:val="0"/>
                  <w:vAlign w:val="center"/>
                </w:tcPr>
                <w:p w14:paraId="30CF26D2">
                  <w:pPr>
                    <w:pStyle w:val="136"/>
                    <w:adjustRightInd w:val="0"/>
                    <w:snapToGrid w:val="0"/>
                    <w:rPr>
                      <w:b/>
                      <w:color w:val="auto"/>
                    </w:rPr>
                  </w:pPr>
                  <w:r>
                    <w:rPr>
                      <w:b/>
                      <w:color w:val="auto"/>
                    </w:rPr>
                    <w:t>序号</w:t>
                  </w:r>
                </w:p>
              </w:tc>
              <w:tc>
                <w:tcPr>
                  <w:tcW w:w="3509" w:type="dxa"/>
                  <w:tcBorders>
                    <w:tl2br w:val="nil"/>
                    <w:tr2bl w:val="nil"/>
                  </w:tcBorders>
                  <w:noWrap w:val="0"/>
                  <w:vAlign w:val="center"/>
                </w:tcPr>
                <w:p w14:paraId="5253069E">
                  <w:pPr>
                    <w:pStyle w:val="136"/>
                    <w:adjustRightInd w:val="0"/>
                    <w:snapToGrid w:val="0"/>
                    <w:rPr>
                      <w:b/>
                      <w:color w:val="auto"/>
                    </w:rPr>
                  </w:pPr>
                  <w:r>
                    <w:rPr>
                      <w:rFonts w:hint="eastAsia"/>
                      <w:b/>
                      <w:color w:val="auto"/>
                    </w:rPr>
                    <w:t>“长江办</w:t>
                  </w:r>
                  <w:r>
                    <w:rPr>
                      <w:b/>
                      <w:color w:val="auto"/>
                    </w:rPr>
                    <w:t>〔202</w:t>
                  </w:r>
                  <w:r>
                    <w:rPr>
                      <w:rFonts w:hint="eastAsia"/>
                      <w:b/>
                      <w:color w:val="auto"/>
                    </w:rPr>
                    <w:t>2</w:t>
                  </w:r>
                  <w:r>
                    <w:rPr>
                      <w:b/>
                      <w:color w:val="auto"/>
                    </w:rPr>
                    <w:t>〕</w:t>
                  </w:r>
                  <w:r>
                    <w:rPr>
                      <w:rFonts w:hint="eastAsia"/>
                      <w:b/>
                      <w:color w:val="auto"/>
                    </w:rPr>
                    <w:t>7</w:t>
                  </w:r>
                  <w:r>
                    <w:rPr>
                      <w:b/>
                      <w:color w:val="auto"/>
                    </w:rPr>
                    <w:t>号</w:t>
                  </w:r>
                  <w:r>
                    <w:rPr>
                      <w:rFonts w:hint="eastAsia"/>
                      <w:b/>
                      <w:color w:val="auto"/>
                    </w:rPr>
                    <w:t>”</w:t>
                  </w:r>
                  <w:r>
                    <w:rPr>
                      <w:b/>
                      <w:color w:val="auto"/>
                    </w:rPr>
                    <w:t>文相关要求</w:t>
                  </w:r>
                  <w:r>
                    <w:rPr>
                      <w:rFonts w:hint="eastAsia"/>
                      <w:b/>
                      <w:color w:val="auto"/>
                    </w:rPr>
                    <w:t>摘录</w:t>
                  </w:r>
                </w:p>
              </w:tc>
              <w:tc>
                <w:tcPr>
                  <w:tcW w:w="3818" w:type="dxa"/>
                  <w:tcBorders>
                    <w:tl2br w:val="nil"/>
                    <w:tr2bl w:val="nil"/>
                  </w:tcBorders>
                  <w:noWrap w:val="0"/>
                  <w:vAlign w:val="center"/>
                </w:tcPr>
                <w:p w14:paraId="19BF0655">
                  <w:pPr>
                    <w:pStyle w:val="136"/>
                    <w:adjustRightInd w:val="0"/>
                    <w:snapToGrid w:val="0"/>
                    <w:rPr>
                      <w:b/>
                      <w:color w:val="auto"/>
                    </w:rPr>
                  </w:pPr>
                  <w:r>
                    <w:rPr>
                      <w:b/>
                      <w:color w:val="auto"/>
                    </w:rPr>
                    <w:t>项目情况</w:t>
                  </w:r>
                </w:p>
              </w:tc>
              <w:tc>
                <w:tcPr>
                  <w:tcW w:w="650" w:type="dxa"/>
                  <w:tcBorders>
                    <w:tl2br w:val="nil"/>
                    <w:tr2bl w:val="nil"/>
                  </w:tcBorders>
                  <w:noWrap w:val="0"/>
                  <w:vAlign w:val="center"/>
                </w:tcPr>
                <w:p w14:paraId="3EDB9E4A">
                  <w:pPr>
                    <w:pStyle w:val="136"/>
                    <w:adjustRightInd w:val="0"/>
                    <w:snapToGrid w:val="0"/>
                    <w:rPr>
                      <w:b/>
                      <w:color w:val="auto"/>
                    </w:rPr>
                  </w:pPr>
                  <w:r>
                    <w:rPr>
                      <w:b/>
                      <w:color w:val="auto"/>
                    </w:rPr>
                    <w:t>相符</w:t>
                  </w:r>
                  <w:r>
                    <w:rPr>
                      <w:rFonts w:hint="eastAsia"/>
                      <w:b/>
                      <w:color w:val="auto"/>
                    </w:rPr>
                    <w:t>性</w:t>
                  </w:r>
                </w:p>
              </w:tc>
            </w:tr>
            <w:tr w14:paraId="4150A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26" w:hRule="atLeast"/>
                <w:jc w:val="center"/>
              </w:trPr>
              <w:tc>
                <w:tcPr>
                  <w:tcW w:w="341" w:type="dxa"/>
                  <w:tcBorders>
                    <w:tl2br w:val="nil"/>
                    <w:tr2bl w:val="nil"/>
                  </w:tcBorders>
                  <w:noWrap w:val="0"/>
                  <w:vAlign w:val="center"/>
                </w:tcPr>
                <w:p w14:paraId="47C63BC3">
                  <w:pPr>
                    <w:pStyle w:val="136"/>
                    <w:adjustRightInd w:val="0"/>
                    <w:snapToGrid w:val="0"/>
                    <w:rPr>
                      <w:color w:val="auto"/>
                    </w:rPr>
                  </w:pPr>
                  <w:r>
                    <w:rPr>
                      <w:color w:val="auto"/>
                    </w:rPr>
                    <w:t>1</w:t>
                  </w:r>
                </w:p>
              </w:tc>
              <w:tc>
                <w:tcPr>
                  <w:tcW w:w="3509" w:type="dxa"/>
                  <w:tcBorders>
                    <w:tl2br w:val="nil"/>
                    <w:tr2bl w:val="nil"/>
                  </w:tcBorders>
                  <w:noWrap w:val="0"/>
                  <w:vAlign w:val="center"/>
                </w:tcPr>
                <w:p w14:paraId="646382C2">
                  <w:pPr>
                    <w:pStyle w:val="136"/>
                    <w:adjustRightInd w:val="0"/>
                    <w:snapToGrid w:val="0"/>
                    <w:jc w:val="left"/>
                    <w:rPr>
                      <w:color w:val="auto"/>
                    </w:rPr>
                  </w:pPr>
                  <w:r>
                    <w:rPr>
                      <w:color w:val="auto"/>
                    </w:rPr>
                    <w:t>禁止在自然保护区核心区、缓冲区的岸线和河段范围内投资建设旅游和生产经营项目。禁止在风景名胜区核心景区的岸线和河段范围内投资建设与风景名胜资源保护无关的项目。</w:t>
                  </w:r>
                </w:p>
              </w:tc>
              <w:tc>
                <w:tcPr>
                  <w:tcW w:w="3818" w:type="dxa"/>
                  <w:tcBorders>
                    <w:tl2br w:val="nil"/>
                    <w:tr2bl w:val="nil"/>
                  </w:tcBorders>
                  <w:noWrap w:val="0"/>
                  <w:vAlign w:val="center"/>
                </w:tcPr>
                <w:p w14:paraId="069D696D">
                  <w:pPr>
                    <w:pStyle w:val="136"/>
                    <w:adjustRightInd w:val="0"/>
                    <w:snapToGrid w:val="0"/>
                    <w:jc w:val="left"/>
                    <w:rPr>
                      <w:color w:val="auto"/>
                    </w:rPr>
                  </w:pPr>
                  <w:r>
                    <w:rPr>
                      <w:rFonts w:hint="eastAsia"/>
                      <w:color w:val="auto"/>
                    </w:rPr>
                    <w:t>项目位于</w:t>
                  </w:r>
                  <w:r>
                    <w:rPr>
                      <w:rFonts w:hint="eastAsia"/>
                      <w:color w:val="auto"/>
                      <w:lang w:val="en-US" w:eastAsia="zh-CN"/>
                    </w:rPr>
                    <w:t>宁都县江西宁都工业园区</w:t>
                  </w:r>
                  <w:r>
                    <w:rPr>
                      <w:rFonts w:hint="eastAsia"/>
                      <w:color w:val="auto"/>
                    </w:rPr>
                    <w:t>，项目区域不</w:t>
                  </w:r>
                  <w:r>
                    <w:rPr>
                      <w:rFonts w:hint="eastAsia"/>
                      <w:color w:val="auto"/>
                      <w:lang w:val="en-US" w:eastAsia="zh-CN"/>
                    </w:rPr>
                    <w:t>在</w:t>
                  </w:r>
                  <w:r>
                    <w:rPr>
                      <w:color w:val="auto"/>
                    </w:rPr>
                    <w:t>自然保护区</w:t>
                  </w:r>
                  <w:r>
                    <w:rPr>
                      <w:rFonts w:hint="eastAsia"/>
                      <w:color w:val="auto"/>
                    </w:rPr>
                    <w:t>、</w:t>
                  </w:r>
                  <w:r>
                    <w:rPr>
                      <w:color w:val="auto"/>
                    </w:rPr>
                    <w:t>风景名胜区</w:t>
                  </w:r>
                  <w:r>
                    <w:rPr>
                      <w:rFonts w:hint="eastAsia"/>
                      <w:color w:val="auto"/>
                      <w:lang w:val="en-US" w:eastAsia="zh-CN"/>
                    </w:rPr>
                    <w:t>核心区、缓冲区的</w:t>
                  </w:r>
                  <w:r>
                    <w:rPr>
                      <w:color w:val="auto"/>
                    </w:rPr>
                    <w:t>岸线和河段范围</w:t>
                  </w:r>
                  <w:r>
                    <w:rPr>
                      <w:rFonts w:hint="eastAsia"/>
                      <w:color w:val="auto"/>
                      <w:lang w:val="en-US" w:eastAsia="zh-CN"/>
                    </w:rPr>
                    <w:t>内</w:t>
                  </w:r>
                  <w:r>
                    <w:rPr>
                      <w:rFonts w:hint="eastAsia"/>
                      <w:color w:val="auto"/>
                    </w:rPr>
                    <w:t>。</w:t>
                  </w:r>
                </w:p>
              </w:tc>
              <w:tc>
                <w:tcPr>
                  <w:tcW w:w="650" w:type="dxa"/>
                  <w:tcBorders>
                    <w:tl2br w:val="nil"/>
                    <w:tr2bl w:val="nil"/>
                  </w:tcBorders>
                  <w:noWrap w:val="0"/>
                  <w:vAlign w:val="center"/>
                </w:tcPr>
                <w:p w14:paraId="5CDD4B62">
                  <w:pPr>
                    <w:pStyle w:val="136"/>
                    <w:adjustRightInd w:val="0"/>
                    <w:snapToGrid w:val="0"/>
                    <w:rPr>
                      <w:color w:val="auto"/>
                    </w:rPr>
                  </w:pPr>
                  <w:r>
                    <w:rPr>
                      <w:color w:val="auto"/>
                    </w:rPr>
                    <w:t>相符</w:t>
                  </w:r>
                </w:p>
              </w:tc>
            </w:tr>
            <w:tr w14:paraId="7C4BF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63" w:hRule="atLeast"/>
                <w:jc w:val="center"/>
              </w:trPr>
              <w:tc>
                <w:tcPr>
                  <w:tcW w:w="341" w:type="dxa"/>
                  <w:tcBorders>
                    <w:tl2br w:val="nil"/>
                    <w:tr2bl w:val="nil"/>
                  </w:tcBorders>
                  <w:noWrap w:val="0"/>
                  <w:vAlign w:val="center"/>
                </w:tcPr>
                <w:p w14:paraId="05D9DDC3">
                  <w:pPr>
                    <w:pStyle w:val="136"/>
                    <w:adjustRightInd w:val="0"/>
                    <w:snapToGrid w:val="0"/>
                    <w:rPr>
                      <w:color w:val="auto"/>
                    </w:rPr>
                  </w:pPr>
                  <w:r>
                    <w:rPr>
                      <w:color w:val="auto"/>
                    </w:rPr>
                    <w:t>2</w:t>
                  </w:r>
                </w:p>
              </w:tc>
              <w:tc>
                <w:tcPr>
                  <w:tcW w:w="3509" w:type="dxa"/>
                  <w:tcBorders>
                    <w:tl2br w:val="nil"/>
                    <w:tr2bl w:val="nil"/>
                  </w:tcBorders>
                  <w:noWrap w:val="0"/>
                  <w:vAlign w:val="center"/>
                </w:tcPr>
                <w:p w14:paraId="1D657BCD">
                  <w:pPr>
                    <w:pStyle w:val="136"/>
                    <w:adjustRightInd w:val="0"/>
                    <w:snapToGrid w:val="0"/>
                    <w:jc w:val="left"/>
                    <w:rPr>
                      <w:color w:val="auto"/>
                    </w:rPr>
                  </w:pPr>
                  <w:r>
                    <w:rPr>
                      <w:color w:val="auto"/>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818" w:type="dxa"/>
                  <w:tcBorders>
                    <w:tl2br w:val="nil"/>
                    <w:tr2bl w:val="nil"/>
                  </w:tcBorders>
                  <w:noWrap w:val="0"/>
                  <w:vAlign w:val="center"/>
                </w:tcPr>
                <w:p w14:paraId="6FBA2CA2">
                  <w:pPr>
                    <w:pStyle w:val="136"/>
                    <w:adjustRightInd w:val="0"/>
                    <w:snapToGrid w:val="0"/>
                    <w:jc w:val="left"/>
                    <w:rPr>
                      <w:color w:val="auto"/>
                    </w:rPr>
                  </w:pPr>
                  <w:r>
                    <w:rPr>
                      <w:rFonts w:hint="eastAsia"/>
                      <w:color w:val="auto"/>
                      <w:sz w:val="21"/>
                      <w:szCs w:val="21"/>
                    </w:rPr>
                    <w:t>项目</w:t>
                  </w:r>
                  <w:r>
                    <w:rPr>
                      <w:rFonts w:hint="eastAsia"/>
                      <w:color w:val="auto"/>
                      <w:sz w:val="21"/>
                      <w:szCs w:val="21"/>
                      <w:lang w:val="en-US" w:eastAsia="zh-CN"/>
                    </w:rPr>
                    <w:t>为</w:t>
                  </w:r>
                  <w:r>
                    <w:rPr>
                      <w:rFonts w:hint="eastAsia" w:ascii="Times New Roman" w:hAnsi="Times New Roman" w:cs="Times New Roman"/>
                      <w:color w:val="auto"/>
                      <w:kern w:val="2"/>
                      <w:sz w:val="21"/>
                      <w:szCs w:val="21"/>
                      <w:highlight w:val="none"/>
                      <w:lang w:val="en-US" w:eastAsia="zh-CN" w:bidi="ar-SA"/>
                    </w:rPr>
                    <w:t>其他</w:t>
                  </w:r>
                  <w:r>
                    <w:rPr>
                      <w:rFonts w:hint="eastAsia" w:cs="Times New Roman"/>
                      <w:color w:val="auto"/>
                      <w:kern w:val="2"/>
                      <w:sz w:val="21"/>
                      <w:szCs w:val="21"/>
                      <w:highlight w:val="none"/>
                      <w:lang w:val="en-US" w:eastAsia="zh-CN" w:bidi="ar-SA"/>
                    </w:rPr>
                    <w:t>方便食品制造项目，项目</w:t>
                  </w:r>
                  <w:r>
                    <w:rPr>
                      <w:rFonts w:hint="eastAsia"/>
                      <w:color w:val="auto"/>
                      <w:sz w:val="21"/>
                      <w:szCs w:val="21"/>
                    </w:rPr>
                    <w:t>厂址不</w:t>
                  </w:r>
                  <w:r>
                    <w:rPr>
                      <w:rFonts w:hint="eastAsia"/>
                      <w:color w:val="auto"/>
                      <w:sz w:val="21"/>
                      <w:szCs w:val="21"/>
                      <w:lang w:val="en-US" w:eastAsia="zh-CN"/>
                    </w:rPr>
                    <w:t>在</w:t>
                  </w:r>
                  <w:r>
                    <w:rPr>
                      <w:color w:val="auto"/>
                      <w:sz w:val="21"/>
                      <w:szCs w:val="21"/>
                    </w:rPr>
                    <w:t>饮用水水源一</w:t>
                  </w:r>
                  <w:r>
                    <w:rPr>
                      <w:rFonts w:hint="eastAsia"/>
                      <w:color w:val="auto"/>
                      <w:sz w:val="21"/>
                      <w:szCs w:val="21"/>
                    </w:rPr>
                    <w:t>、二级</w:t>
                  </w:r>
                  <w:r>
                    <w:rPr>
                      <w:color w:val="auto"/>
                      <w:sz w:val="21"/>
                      <w:szCs w:val="21"/>
                    </w:rPr>
                    <w:t>级保护区的岸线和河段范围</w:t>
                  </w:r>
                  <w:r>
                    <w:rPr>
                      <w:rFonts w:hint="eastAsia"/>
                      <w:color w:val="auto"/>
                      <w:sz w:val="21"/>
                      <w:szCs w:val="21"/>
                      <w:lang w:val="en-US" w:eastAsia="zh-CN"/>
                    </w:rPr>
                    <w:t>内</w:t>
                  </w:r>
                  <w:r>
                    <w:rPr>
                      <w:rFonts w:hint="eastAsia"/>
                      <w:color w:val="auto"/>
                      <w:sz w:val="21"/>
                      <w:szCs w:val="21"/>
                    </w:rPr>
                    <w:t>。</w:t>
                  </w:r>
                </w:p>
              </w:tc>
              <w:tc>
                <w:tcPr>
                  <w:tcW w:w="650" w:type="dxa"/>
                  <w:tcBorders>
                    <w:tl2br w:val="nil"/>
                    <w:tr2bl w:val="nil"/>
                  </w:tcBorders>
                  <w:noWrap w:val="0"/>
                  <w:vAlign w:val="center"/>
                </w:tcPr>
                <w:p w14:paraId="7A9D9B4D">
                  <w:pPr>
                    <w:pStyle w:val="136"/>
                    <w:adjustRightInd w:val="0"/>
                    <w:snapToGrid w:val="0"/>
                    <w:rPr>
                      <w:color w:val="auto"/>
                    </w:rPr>
                  </w:pPr>
                  <w:r>
                    <w:rPr>
                      <w:color w:val="auto"/>
                    </w:rPr>
                    <w:t>相符</w:t>
                  </w:r>
                </w:p>
              </w:tc>
            </w:tr>
            <w:tr w14:paraId="49126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00" w:hRule="atLeast"/>
                <w:jc w:val="center"/>
              </w:trPr>
              <w:tc>
                <w:tcPr>
                  <w:tcW w:w="341" w:type="dxa"/>
                  <w:tcBorders>
                    <w:tl2br w:val="nil"/>
                    <w:tr2bl w:val="nil"/>
                  </w:tcBorders>
                  <w:noWrap w:val="0"/>
                  <w:vAlign w:val="center"/>
                </w:tcPr>
                <w:p w14:paraId="3EA7732F">
                  <w:pPr>
                    <w:pStyle w:val="136"/>
                    <w:adjustRightInd w:val="0"/>
                    <w:snapToGrid w:val="0"/>
                    <w:rPr>
                      <w:color w:val="auto"/>
                    </w:rPr>
                  </w:pPr>
                  <w:r>
                    <w:rPr>
                      <w:color w:val="auto"/>
                    </w:rPr>
                    <w:t>3</w:t>
                  </w:r>
                </w:p>
              </w:tc>
              <w:tc>
                <w:tcPr>
                  <w:tcW w:w="3509" w:type="dxa"/>
                  <w:tcBorders>
                    <w:tl2br w:val="nil"/>
                    <w:tr2bl w:val="nil"/>
                  </w:tcBorders>
                  <w:noWrap w:val="0"/>
                  <w:vAlign w:val="center"/>
                </w:tcPr>
                <w:p w14:paraId="34A6B371">
                  <w:pPr>
                    <w:pStyle w:val="136"/>
                    <w:adjustRightInd w:val="0"/>
                    <w:snapToGrid w:val="0"/>
                    <w:jc w:val="left"/>
                    <w:rPr>
                      <w:rFonts w:hint="default" w:eastAsia="宋体"/>
                      <w:color w:val="auto"/>
                      <w:lang w:val="en-US" w:eastAsia="zh-CN"/>
                    </w:rPr>
                  </w:pPr>
                  <w:r>
                    <w:rPr>
                      <w:color w:val="auto"/>
                    </w:rPr>
                    <w:t>禁止在长江干支流、重要湖泊岸线一公里范围内新建、扩建化工园区和化工项目。</w:t>
                  </w:r>
                  <w:r>
                    <w:rPr>
                      <w:rFonts w:hint="eastAsia"/>
                      <w:color w:val="auto"/>
                      <w:lang w:val="en-US" w:eastAsia="zh-CN"/>
                    </w:rPr>
                    <w:t>禁止在长江干流岸线三公里范围内和重要支流岸线一公里范围内新建、改建、扩建尾矿库、冶炼渣库和磷石膏库，以提升安全、生态环境保护水平为目的的改建除外。</w:t>
                  </w:r>
                </w:p>
              </w:tc>
              <w:tc>
                <w:tcPr>
                  <w:tcW w:w="3818" w:type="dxa"/>
                  <w:tcBorders>
                    <w:tl2br w:val="nil"/>
                    <w:tr2bl w:val="nil"/>
                  </w:tcBorders>
                  <w:noWrap w:val="0"/>
                  <w:vAlign w:val="center"/>
                </w:tcPr>
                <w:p w14:paraId="67B6B946">
                  <w:pPr>
                    <w:pStyle w:val="136"/>
                    <w:adjustRightInd w:val="0"/>
                    <w:snapToGrid w:val="0"/>
                    <w:jc w:val="left"/>
                    <w:rPr>
                      <w:rFonts w:hint="default"/>
                      <w:color w:val="auto"/>
                      <w:lang w:val="en-US"/>
                    </w:rPr>
                  </w:pPr>
                  <w:r>
                    <w:rPr>
                      <w:rFonts w:hint="eastAsia"/>
                      <w:color w:val="auto"/>
                    </w:rPr>
                    <w:t>项目</w:t>
                  </w:r>
                  <w:r>
                    <w:rPr>
                      <w:rFonts w:hint="eastAsia"/>
                      <w:color w:val="auto"/>
                      <w:sz w:val="21"/>
                      <w:szCs w:val="21"/>
                      <w:lang w:val="en-US" w:eastAsia="zh-CN"/>
                    </w:rPr>
                    <w:t>为</w:t>
                  </w:r>
                  <w:r>
                    <w:rPr>
                      <w:rFonts w:hint="eastAsia" w:ascii="Times New Roman" w:hAnsi="Times New Roman" w:cs="Times New Roman"/>
                      <w:color w:val="auto"/>
                      <w:kern w:val="2"/>
                      <w:sz w:val="21"/>
                      <w:szCs w:val="21"/>
                      <w:highlight w:val="none"/>
                      <w:lang w:val="en-US" w:eastAsia="zh-CN" w:bidi="ar-SA"/>
                    </w:rPr>
                    <w:t>其他</w:t>
                  </w:r>
                  <w:r>
                    <w:rPr>
                      <w:rFonts w:hint="eastAsia" w:cs="Times New Roman"/>
                      <w:color w:val="auto"/>
                      <w:kern w:val="2"/>
                      <w:sz w:val="21"/>
                      <w:szCs w:val="21"/>
                      <w:highlight w:val="none"/>
                      <w:lang w:val="en-US" w:eastAsia="zh-CN" w:bidi="ar-SA"/>
                    </w:rPr>
                    <w:t>方便食品制造项目，不属于化工项目以及</w:t>
                  </w:r>
                  <w:r>
                    <w:rPr>
                      <w:rFonts w:hint="eastAsia"/>
                      <w:color w:val="auto"/>
                      <w:lang w:val="en-US" w:eastAsia="zh-CN"/>
                    </w:rPr>
                    <w:t>尾矿库、冶炼渣库和磷石膏库，且</w:t>
                  </w:r>
                  <w:r>
                    <w:rPr>
                      <w:rFonts w:hint="eastAsia" w:cs="Times New Roman"/>
                      <w:color w:val="auto"/>
                      <w:kern w:val="2"/>
                      <w:sz w:val="21"/>
                      <w:szCs w:val="21"/>
                      <w:highlight w:val="none"/>
                      <w:lang w:val="en-US" w:eastAsia="zh-CN" w:bidi="ar-SA"/>
                    </w:rPr>
                    <w:t>项目</w:t>
                  </w:r>
                  <w:r>
                    <w:rPr>
                      <w:rFonts w:hint="eastAsia"/>
                      <w:color w:val="auto"/>
                      <w:sz w:val="21"/>
                      <w:szCs w:val="21"/>
                    </w:rPr>
                    <w:t>厂址</w:t>
                  </w:r>
                  <w:r>
                    <w:rPr>
                      <w:rFonts w:hint="eastAsia" w:cs="Times New Roman"/>
                      <w:color w:val="auto"/>
                      <w:kern w:val="2"/>
                      <w:sz w:val="21"/>
                      <w:szCs w:val="21"/>
                      <w:highlight w:val="none"/>
                      <w:lang w:val="en-US" w:eastAsia="zh-CN" w:bidi="ar-SA"/>
                    </w:rPr>
                    <w:t>且</w:t>
                  </w:r>
                  <w:r>
                    <w:rPr>
                      <w:rFonts w:hint="eastAsia"/>
                      <w:color w:val="auto"/>
                      <w:lang w:eastAsia="zh-CN"/>
                    </w:rPr>
                    <w:t>不在</w:t>
                  </w:r>
                  <w:r>
                    <w:rPr>
                      <w:color w:val="auto"/>
                    </w:rPr>
                    <w:t>长江干支流、重要湖泊岸线一公里范围内</w:t>
                  </w:r>
                  <w:r>
                    <w:rPr>
                      <w:rFonts w:hint="eastAsia"/>
                      <w:color w:val="auto"/>
                    </w:rPr>
                    <w:t>。</w:t>
                  </w:r>
                </w:p>
              </w:tc>
              <w:tc>
                <w:tcPr>
                  <w:tcW w:w="650" w:type="dxa"/>
                  <w:tcBorders>
                    <w:tl2br w:val="nil"/>
                    <w:tr2bl w:val="nil"/>
                  </w:tcBorders>
                  <w:noWrap w:val="0"/>
                  <w:vAlign w:val="center"/>
                </w:tcPr>
                <w:p w14:paraId="337A912A">
                  <w:pPr>
                    <w:pStyle w:val="136"/>
                    <w:adjustRightInd w:val="0"/>
                    <w:snapToGrid w:val="0"/>
                    <w:rPr>
                      <w:color w:val="auto"/>
                    </w:rPr>
                  </w:pPr>
                  <w:r>
                    <w:rPr>
                      <w:color w:val="auto"/>
                    </w:rPr>
                    <w:t>相符</w:t>
                  </w:r>
                </w:p>
              </w:tc>
            </w:tr>
            <w:tr w14:paraId="2F38B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71" w:hRule="atLeast"/>
                <w:jc w:val="center"/>
              </w:trPr>
              <w:tc>
                <w:tcPr>
                  <w:tcW w:w="341" w:type="dxa"/>
                  <w:tcBorders>
                    <w:tl2br w:val="nil"/>
                    <w:tr2bl w:val="nil"/>
                  </w:tcBorders>
                  <w:noWrap w:val="0"/>
                  <w:vAlign w:val="center"/>
                </w:tcPr>
                <w:p w14:paraId="4696A001">
                  <w:pPr>
                    <w:pStyle w:val="136"/>
                    <w:adjustRightInd w:val="0"/>
                    <w:snapToGrid w:val="0"/>
                    <w:rPr>
                      <w:color w:val="auto"/>
                    </w:rPr>
                  </w:pPr>
                  <w:r>
                    <w:rPr>
                      <w:rFonts w:hint="eastAsia"/>
                      <w:color w:val="auto"/>
                    </w:rPr>
                    <w:t>4</w:t>
                  </w:r>
                </w:p>
              </w:tc>
              <w:tc>
                <w:tcPr>
                  <w:tcW w:w="3509" w:type="dxa"/>
                  <w:tcBorders>
                    <w:tl2br w:val="nil"/>
                    <w:tr2bl w:val="nil"/>
                  </w:tcBorders>
                  <w:noWrap w:val="0"/>
                  <w:vAlign w:val="center"/>
                </w:tcPr>
                <w:p w14:paraId="181883D3">
                  <w:pPr>
                    <w:pStyle w:val="136"/>
                    <w:adjustRightInd w:val="0"/>
                    <w:snapToGrid w:val="0"/>
                    <w:jc w:val="left"/>
                    <w:rPr>
                      <w:color w:val="auto"/>
                    </w:rPr>
                  </w:pPr>
                  <w:r>
                    <w:rPr>
                      <w:color w:val="auto"/>
                    </w:rPr>
                    <w:t>禁止在合规园区</w:t>
                  </w:r>
                  <w:r>
                    <w:rPr>
                      <w:rFonts w:hint="eastAsia"/>
                      <w:color w:val="auto"/>
                      <w:vertAlign w:val="superscript"/>
                    </w:rPr>
                    <w:t>*</w:t>
                  </w:r>
                  <w:r>
                    <w:rPr>
                      <w:color w:val="auto"/>
                    </w:rPr>
                    <w:t>外新建、扩建钢铁、石化、化工、焦化、建材、有色、制浆造纸等高污染项目。</w:t>
                  </w:r>
                </w:p>
                <w:p w14:paraId="0DCFA698">
                  <w:pPr>
                    <w:pStyle w:val="136"/>
                    <w:adjustRightInd w:val="0"/>
                    <w:snapToGrid w:val="0"/>
                    <w:jc w:val="left"/>
                    <w:rPr>
                      <w:color w:val="auto"/>
                    </w:rPr>
                  </w:pPr>
                  <w:r>
                    <w:rPr>
                      <w:rFonts w:hint="eastAsia"/>
                      <w:color w:val="auto"/>
                    </w:rPr>
                    <w:t>（合规园区指已列入《中国开发区审核公告目录》或由省级人民批准设立、审核认定的园区）</w:t>
                  </w:r>
                </w:p>
              </w:tc>
              <w:tc>
                <w:tcPr>
                  <w:tcW w:w="3818" w:type="dxa"/>
                  <w:tcBorders>
                    <w:tl2br w:val="nil"/>
                    <w:tr2bl w:val="nil"/>
                  </w:tcBorders>
                  <w:noWrap w:val="0"/>
                  <w:vAlign w:val="center"/>
                </w:tcPr>
                <w:p w14:paraId="63CAEC69">
                  <w:pPr>
                    <w:pStyle w:val="136"/>
                    <w:adjustRightInd w:val="0"/>
                    <w:snapToGrid w:val="0"/>
                    <w:jc w:val="left"/>
                    <w:rPr>
                      <w:color w:val="auto"/>
                    </w:rPr>
                  </w:pPr>
                  <w:r>
                    <w:rPr>
                      <w:rFonts w:hint="eastAsia" w:eastAsia="宋体"/>
                      <w:color w:val="auto"/>
                      <w:sz w:val="21"/>
                      <w:szCs w:val="21"/>
                    </w:rPr>
                    <w:t>本项目为</w:t>
                  </w:r>
                  <w:r>
                    <w:rPr>
                      <w:rFonts w:hint="eastAsia" w:ascii="Times New Roman" w:hAnsi="Times New Roman" w:cs="Times New Roman"/>
                      <w:color w:val="auto"/>
                      <w:kern w:val="2"/>
                      <w:sz w:val="21"/>
                      <w:szCs w:val="21"/>
                      <w:highlight w:val="none"/>
                      <w:lang w:val="en-US" w:eastAsia="zh-CN" w:bidi="ar-SA"/>
                    </w:rPr>
                    <w:t>其他</w:t>
                  </w:r>
                  <w:r>
                    <w:rPr>
                      <w:rFonts w:hint="eastAsia" w:cs="Times New Roman"/>
                      <w:color w:val="auto"/>
                      <w:kern w:val="2"/>
                      <w:sz w:val="21"/>
                      <w:szCs w:val="21"/>
                      <w:highlight w:val="none"/>
                      <w:lang w:val="en-US" w:eastAsia="zh-CN" w:bidi="ar-SA"/>
                    </w:rPr>
                    <w:t>方便食品制造项目</w:t>
                  </w:r>
                  <w:r>
                    <w:rPr>
                      <w:rFonts w:hint="eastAsia" w:eastAsia="宋体"/>
                      <w:color w:val="auto"/>
                      <w:sz w:val="21"/>
                      <w:szCs w:val="21"/>
                    </w:rPr>
                    <w:t>，</w:t>
                  </w:r>
                  <w:r>
                    <w:rPr>
                      <w:rFonts w:hint="eastAsia"/>
                      <w:color w:val="auto"/>
                      <w:sz w:val="21"/>
                      <w:szCs w:val="21"/>
                      <w:lang w:val="en-US" w:eastAsia="zh-CN"/>
                    </w:rPr>
                    <w:t>不属于高污染项目，项目</w:t>
                  </w:r>
                  <w:r>
                    <w:rPr>
                      <w:rFonts w:hint="eastAsia" w:eastAsia="宋体"/>
                      <w:color w:val="auto"/>
                      <w:sz w:val="21"/>
                      <w:szCs w:val="21"/>
                    </w:rPr>
                    <w:t>位于</w:t>
                  </w:r>
                  <w:r>
                    <w:rPr>
                      <w:rFonts w:hint="eastAsia" w:cs="Times New Roman"/>
                      <w:color w:val="auto"/>
                      <w:sz w:val="21"/>
                      <w:szCs w:val="21"/>
                      <w:lang w:val="en-US" w:eastAsia="zh-CN"/>
                    </w:rPr>
                    <w:t>江西宁都工业园区</w:t>
                  </w:r>
                  <w:r>
                    <w:rPr>
                      <w:rFonts w:hint="eastAsia" w:hAnsi="宋体" w:eastAsia="宋体"/>
                      <w:color w:val="auto"/>
                      <w:sz w:val="21"/>
                      <w:szCs w:val="21"/>
                    </w:rPr>
                    <w:t>，根据“</w:t>
                  </w:r>
                  <w:r>
                    <w:rPr>
                      <w:color w:val="auto"/>
                      <w:sz w:val="21"/>
                      <w:szCs w:val="21"/>
                    </w:rPr>
                    <w:t>江西省推动长江经济带发展领导小组办公室关于印发《江西省长江经济带发展负面清单实施细则（试行）》的通知</w:t>
                  </w:r>
                  <w:r>
                    <w:rPr>
                      <w:rFonts w:hint="eastAsia" w:hAnsi="宋体" w:eastAsia="宋体"/>
                      <w:color w:val="auto"/>
                      <w:sz w:val="21"/>
                      <w:szCs w:val="21"/>
                    </w:rPr>
                    <w:t>”（</w:t>
                  </w:r>
                  <w:r>
                    <w:rPr>
                      <w:color w:val="auto"/>
                      <w:sz w:val="21"/>
                      <w:szCs w:val="21"/>
                    </w:rPr>
                    <w:t>赣长江办[2019]13号</w:t>
                  </w:r>
                  <w:r>
                    <w:rPr>
                      <w:rFonts w:hint="eastAsia"/>
                      <w:color w:val="auto"/>
                      <w:sz w:val="21"/>
                      <w:szCs w:val="21"/>
                    </w:rPr>
                    <w:t>）</w:t>
                  </w:r>
                  <w:r>
                    <w:rPr>
                      <w:color w:val="auto"/>
                      <w:sz w:val="21"/>
                      <w:szCs w:val="21"/>
                    </w:rPr>
                    <w:t>文</w:t>
                  </w:r>
                  <w:r>
                    <w:rPr>
                      <w:rFonts w:hint="eastAsia"/>
                      <w:color w:val="auto"/>
                      <w:sz w:val="21"/>
                      <w:szCs w:val="21"/>
                    </w:rPr>
                    <w:t>件中的“附件 江西省省级以上开发区名录”可知，</w:t>
                  </w:r>
                  <w:r>
                    <w:rPr>
                      <w:rFonts w:hint="eastAsia" w:cs="Times New Roman"/>
                      <w:color w:val="auto"/>
                      <w:sz w:val="21"/>
                      <w:szCs w:val="21"/>
                      <w:lang w:val="en-US" w:eastAsia="zh-CN"/>
                    </w:rPr>
                    <w:t>江西宁都工业园区</w:t>
                  </w:r>
                  <w:r>
                    <w:rPr>
                      <w:rFonts w:hint="eastAsia"/>
                      <w:color w:val="auto"/>
                      <w:sz w:val="21"/>
                      <w:szCs w:val="21"/>
                    </w:rPr>
                    <w:t>属于该目录序号</w:t>
                  </w:r>
                  <w:r>
                    <w:rPr>
                      <w:rFonts w:hint="eastAsia"/>
                      <w:color w:val="auto"/>
                      <w:sz w:val="21"/>
                      <w:szCs w:val="21"/>
                      <w:lang w:val="en-US" w:eastAsia="zh-CN"/>
                    </w:rPr>
                    <w:t>87</w:t>
                  </w:r>
                  <w:r>
                    <w:rPr>
                      <w:rFonts w:hint="eastAsia"/>
                      <w:color w:val="auto"/>
                      <w:sz w:val="21"/>
                      <w:szCs w:val="21"/>
                    </w:rPr>
                    <w:t>项，类型为</w:t>
                  </w:r>
                  <w:r>
                    <w:rPr>
                      <w:rFonts w:hint="eastAsia"/>
                      <w:color w:val="auto"/>
                      <w:sz w:val="21"/>
                      <w:szCs w:val="21"/>
                      <w:lang w:val="en-US" w:eastAsia="zh-CN"/>
                    </w:rPr>
                    <w:t>省级工业园</w:t>
                  </w:r>
                  <w:r>
                    <w:rPr>
                      <w:rFonts w:hint="eastAsia"/>
                      <w:color w:val="auto"/>
                      <w:sz w:val="21"/>
                      <w:szCs w:val="21"/>
                    </w:rPr>
                    <w:t>；因此，项目所在的</w:t>
                  </w:r>
                  <w:r>
                    <w:rPr>
                      <w:rFonts w:hint="eastAsia" w:cs="Times New Roman"/>
                      <w:color w:val="auto"/>
                      <w:sz w:val="21"/>
                      <w:szCs w:val="21"/>
                      <w:lang w:val="en-US" w:eastAsia="zh-CN"/>
                    </w:rPr>
                    <w:t>江西宁都工业园区</w:t>
                  </w:r>
                  <w:r>
                    <w:rPr>
                      <w:rFonts w:hint="eastAsia"/>
                      <w:color w:val="auto"/>
                      <w:sz w:val="21"/>
                      <w:szCs w:val="21"/>
                    </w:rPr>
                    <w:t>为</w:t>
                  </w:r>
                  <w:r>
                    <w:rPr>
                      <w:color w:val="auto"/>
                      <w:sz w:val="21"/>
                      <w:szCs w:val="21"/>
                    </w:rPr>
                    <w:t>合规园区</w:t>
                  </w:r>
                  <w:r>
                    <w:rPr>
                      <w:rFonts w:hint="eastAsia"/>
                      <w:color w:val="auto"/>
                      <w:sz w:val="21"/>
                      <w:szCs w:val="21"/>
                    </w:rPr>
                    <w:t>。</w:t>
                  </w:r>
                </w:p>
              </w:tc>
              <w:tc>
                <w:tcPr>
                  <w:tcW w:w="650" w:type="dxa"/>
                  <w:tcBorders>
                    <w:tl2br w:val="nil"/>
                    <w:tr2bl w:val="nil"/>
                  </w:tcBorders>
                  <w:noWrap w:val="0"/>
                  <w:vAlign w:val="center"/>
                </w:tcPr>
                <w:p w14:paraId="5B549BC8">
                  <w:pPr>
                    <w:pStyle w:val="136"/>
                    <w:adjustRightInd w:val="0"/>
                    <w:snapToGrid w:val="0"/>
                    <w:rPr>
                      <w:color w:val="auto"/>
                    </w:rPr>
                  </w:pPr>
                  <w:r>
                    <w:rPr>
                      <w:color w:val="auto"/>
                    </w:rPr>
                    <w:t>相符</w:t>
                  </w:r>
                </w:p>
              </w:tc>
            </w:tr>
            <w:tr w14:paraId="52955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55" w:hRule="atLeast"/>
                <w:jc w:val="center"/>
              </w:trPr>
              <w:tc>
                <w:tcPr>
                  <w:tcW w:w="341" w:type="dxa"/>
                  <w:tcBorders>
                    <w:tl2br w:val="nil"/>
                    <w:tr2bl w:val="nil"/>
                  </w:tcBorders>
                  <w:noWrap w:val="0"/>
                  <w:vAlign w:val="center"/>
                </w:tcPr>
                <w:p w14:paraId="4C744CFD">
                  <w:pPr>
                    <w:pStyle w:val="136"/>
                    <w:adjustRightInd w:val="0"/>
                    <w:snapToGrid w:val="0"/>
                    <w:rPr>
                      <w:rFonts w:hint="eastAsia" w:eastAsia="宋体"/>
                      <w:color w:val="auto"/>
                      <w:lang w:val="en-US" w:eastAsia="zh-CN"/>
                    </w:rPr>
                  </w:pPr>
                  <w:r>
                    <w:rPr>
                      <w:rFonts w:hint="eastAsia"/>
                      <w:color w:val="auto"/>
                      <w:lang w:val="en-US" w:eastAsia="zh-CN"/>
                    </w:rPr>
                    <w:t>5</w:t>
                  </w:r>
                </w:p>
              </w:tc>
              <w:tc>
                <w:tcPr>
                  <w:tcW w:w="3509" w:type="dxa"/>
                  <w:tcBorders>
                    <w:tl2br w:val="nil"/>
                    <w:tr2bl w:val="nil"/>
                  </w:tcBorders>
                  <w:noWrap w:val="0"/>
                  <w:vAlign w:val="center"/>
                </w:tcPr>
                <w:p w14:paraId="35E05E1B">
                  <w:pPr>
                    <w:pStyle w:val="136"/>
                    <w:adjustRightInd w:val="0"/>
                    <w:snapToGrid w:val="0"/>
                    <w:jc w:val="left"/>
                    <w:rPr>
                      <w:rFonts w:hint="default" w:eastAsia="宋体"/>
                      <w:color w:val="auto"/>
                      <w:lang w:val="en-US" w:eastAsia="zh-CN"/>
                    </w:rPr>
                  </w:pPr>
                  <w:r>
                    <w:rPr>
                      <w:rFonts w:hint="eastAsia"/>
                      <w:color w:val="auto"/>
                      <w:lang w:val="en-US" w:eastAsia="zh-CN"/>
                    </w:rPr>
                    <w:t>禁止新建、扩建不符合国家石化、现代煤化工等产业布局规划的项目</w:t>
                  </w:r>
                </w:p>
              </w:tc>
              <w:tc>
                <w:tcPr>
                  <w:tcW w:w="3818" w:type="dxa"/>
                  <w:tcBorders>
                    <w:tl2br w:val="nil"/>
                    <w:tr2bl w:val="nil"/>
                  </w:tcBorders>
                  <w:noWrap w:val="0"/>
                  <w:vAlign w:val="center"/>
                </w:tcPr>
                <w:p w14:paraId="30547E16">
                  <w:pPr>
                    <w:pStyle w:val="136"/>
                    <w:adjustRightInd w:val="0"/>
                    <w:snapToGrid w:val="0"/>
                    <w:jc w:val="left"/>
                    <w:rPr>
                      <w:rFonts w:hint="default" w:eastAsia="宋体"/>
                      <w:color w:val="auto"/>
                      <w:lang w:val="en-US" w:eastAsia="zh-CN"/>
                    </w:rPr>
                  </w:pPr>
                  <w:r>
                    <w:rPr>
                      <w:rFonts w:hint="eastAsia"/>
                      <w:color w:val="auto"/>
                      <w:sz w:val="21"/>
                      <w:szCs w:val="21"/>
                      <w:lang w:val="en-US" w:eastAsia="zh-CN"/>
                    </w:rPr>
                    <w:t>本项目属于</w:t>
                  </w:r>
                  <w:r>
                    <w:rPr>
                      <w:rFonts w:hint="eastAsia" w:ascii="Times New Roman" w:hAnsi="Times New Roman" w:cs="Times New Roman"/>
                      <w:color w:val="auto"/>
                      <w:kern w:val="2"/>
                      <w:sz w:val="21"/>
                      <w:szCs w:val="21"/>
                      <w:highlight w:val="none"/>
                      <w:lang w:val="en-US" w:eastAsia="zh-CN" w:bidi="ar-SA"/>
                    </w:rPr>
                    <w:t>其他</w:t>
                  </w:r>
                  <w:r>
                    <w:rPr>
                      <w:rFonts w:hint="eastAsia" w:cs="Times New Roman"/>
                      <w:color w:val="auto"/>
                      <w:kern w:val="2"/>
                      <w:sz w:val="21"/>
                      <w:szCs w:val="21"/>
                      <w:highlight w:val="none"/>
                      <w:lang w:val="en-US" w:eastAsia="zh-CN" w:bidi="ar-SA"/>
                    </w:rPr>
                    <w:t>方便食品制造项目</w:t>
                  </w:r>
                  <w:r>
                    <w:rPr>
                      <w:rFonts w:hint="eastAsia"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不属于</w:t>
                  </w:r>
                  <w:r>
                    <w:rPr>
                      <w:rFonts w:hint="eastAsia"/>
                      <w:color w:val="auto"/>
                      <w:lang w:val="en-US" w:eastAsia="zh-CN"/>
                    </w:rPr>
                    <w:t>国家石化、现代煤化工等产业布局规划的项目。</w:t>
                  </w:r>
                </w:p>
              </w:tc>
              <w:tc>
                <w:tcPr>
                  <w:tcW w:w="650" w:type="dxa"/>
                  <w:tcBorders>
                    <w:tl2br w:val="nil"/>
                    <w:tr2bl w:val="nil"/>
                  </w:tcBorders>
                  <w:noWrap w:val="0"/>
                  <w:vAlign w:val="center"/>
                </w:tcPr>
                <w:p w14:paraId="061681C1">
                  <w:pPr>
                    <w:pStyle w:val="136"/>
                    <w:adjustRightInd w:val="0"/>
                    <w:snapToGrid w:val="0"/>
                    <w:rPr>
                      <w:color w:val="auto"/>
                    </w:rPr>
                  </w:pPr>
                  <w:r>
                    <w:rPr>
                      <w:color w:val="auto"/>
                    </w:rPr>
                    <w:t>相符</w:t>
                  </w:r>
                </w:p>
              </w:tc>
            </w:tr>
            <w:tr w14:paraId="3FAFC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55" w:hRule="atLeast"/>
                <w:jc w:val="center"/>
              </w:trPr>
              <w:tc>
                <w:tcPr>
                  <w:tcW w:w="341" w:type="dxa"/>
                  <w:tcBorders>
                    <w:tl2br w:val="nil"/>
                    <w:tr2bl w:val="nil"/>
                  </w:tcBorders>
                  <w:noWrap w:val="0"/>
                  <w:vAlign w:val="center"/>
                </w:tcPr>
                <w:p w14:paraId="432CB4EC">
                  <w:pPr>
                    <w:pStyle w:val="136"/>
                    <w:adjustRightInd w:val="0"/>
                    <w:snapToGrid w:val="0"/>
                    <w:rPr>
                      <w:rFonts w:hint="eastAsia" w:eastAsia="宋体"/>
                      <w:color w:val="auto"/>
                      <w:lang w:eastAsia="zh-CN"/>
                    </w:rPr>
                  </w:pPr>
                  <w:r>
                    <w:rPr>
                      <w:rFonts w:hint="eastAsia"/>
                      <w:color w:val="auto"/>
                      <w:lang w:val="en-US" w:eastAsia="zh-CN"/>
                    </w:rPr>
                    <w:t>6</w:t>
                  </w:r>
                </w:p>
              </w:tc>
              <w:tc>
                <w:tcPr>
                  <w:tcW w:w="3509" w:type="dxa"/>
                  <w:tcBorders>
                    <w:tl2br w:val="nil"/>
                    <w:tr2bl w:val="nil"/>
                  </w:tcBorders>
                  <w:noWrap w:val="0"/>
                  <w:vAlign w:val="center"/>
                </w:tcPr>
                <w:p w14:paraId="08088294">
                  <w:pPr>
                    <w:pStyle w:val="136"/>
                    <w:adjustRightInd w:val="0"/>
                    <w:snapToGrid w:val="0"/>
                    <w:jc w:val="left"/>
                    <w:rPr>
                      <w:color w:val="auto"/>
                    </w:rPr>
                  </w:pPr>
                  <w:r>
                    <w:rPr>
                      <w:color w:val="auto"/>
                    </w:rPr>
                    <w:t>禁止新建、扩建法律法规和相关政策明令禁止的落后产能项目。禁止新建、扩建不符合国家产能置换要求的严重过剩产能行业的项目。禁止新建、扩建不符合要求的高耗能高排放项目。</w:t>
                  </w:r>
                </w:p>
              </w:tc>
              <w:tc>
                <w:tcPr>
                  <w:tcW w:w="3818" w:type="dxa"/>
                  <w:tcBorders>
                    <w:tl2br w:val="nil"/>
                    <w:tr2bl w:val="nil"/>
                  </w:tcBorders>
                  <w:noWrap w:val="0"/>
                  <w:vAlign w:val="center"/>
                </w:tcPr>
                <w:p w14:paraId="5C2D8790">
                  <w:pPr>
                    <w:pStyle w:val="136"/>
                    <w:adjustRightInd w:val="0"/>
                    <w:snapToGrid w:val="0"/>
                    <w:jc w:val="left"/>
                    <w:rPr>
                      <w:rFonts w:hint="eastAsia" w:eastAsia="宋体"/>
                      <w:color w:val="auto"/>
                      <w:lang w:val="en-US" w:eastAsia="zh-CN"/>
                    </w:rPr>
                  </w:pPr>
                  <w:r>
                    <w:rPr>
                      <w:rFonts w:hint="eastAsia" w:ascii="Times New Roman" w:hAnsi="Times New Roman" w:cs="Times New Roman"/>
                      <w:color w:val="auto"/>
                      <w:kern w:val="2"/>
                      <w:sz w:val="21"/>
                      <w:szCs w:val="21"/>
                      <w:lang w:val="en-US" w:eastAsia="zh-CN" w:bidi="ar-SA"/>
                    </w:rPr>
                    <w:t>根据</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产业结构调整指导目录（2024年本）》</w:t>
                  </w:r>
                  <w:r>
                    <w:rPr>
                      <w:rFonts w:hint="default" w:ascii="Times New Roman" w:hAnsi="Times New Roman" w:cs="Times New Roman"/>
                      <w:color w:val="auto"/>
                      <w:sz w:val="21"/>
                      <w:szCs w:val="21"/>
                    </w:rPr>
                    <w:t>和《市场准入负面清单（20</w:t>
                  </w:r>
                  <w:r>
                    <w:rPr>
                      <w:rFonts w:hint="default" w:ascii="Times New Roman" w:hAnsi="Times New Roman" w:cs="Times New Roman"/>
                      <w:color w:val="auto"/>
                      <w:sz w:val="21"/>
                      <w:szCs w:val="21"/>
                      <w:lang w:val="en-US" w:eastAsia="zh-CN"/>
                    </w:rPr>
                    <w:t>22</w:t>
                  </w:r>
                  <w:r>
                    <w:rPr>
                      <w:rFonts w:hint="default" w:ascii="Times New Roman" w:hAnsi="Times New Roman" w:cs="Times New Roman"/>
                      <w:color w:val="auto"/>
                      <w:sz w:val="21"/>
                      <w:szCs w:val="21"/>
                    </w:rPr>
                    <w:t>年版）》</w:t>
                  </w:r>
                  <w:r>
                    <w:rPr>
                      <w:rFonts w:hint="default" w:ascii="Times New Roman" w:hAnsi="Times New Roman" w:eastAsia="宋体" w:cs="Times New Roman"/>
                      <w:color w:val="auto"/>
                      <w:kern w:val="2"/>
                      <w:sz w:val="21"/>
                      <w:szCs w:val="21"/>
                      <w:lang w:val="en-US" w:eastAsia="zh-CN" w:bidi="ar-SA"/>
                    </w:rPr>
                    <w:t>，</w:t>
                  </w:r>
                  <w:r>
                    <w:rPr>
                      <w:color w:val="auto"/>
                      <w:sz w:val="21"/>
                      <w:szCs w:val="21"/>
                      <w:highlight w:val="none"/>
                    </w:rPr>
                    <w:t>本项目属于</w:t>
                  </w:r>
                  <w:r>
                    <w:rPr>
                      <w:rFonts w:hint="default" w:ascii="Times New Roman" w:hAnsi="Times New Roman" w:eastAsia="宋体" w:cs="Times New Roman"/>
                      <w:color w:val="auto"/>
                      <w:sz w:val="21"/>
                      <w:szCs w:val="21"/>
                      <w:highlight w:val="none"/>
                      <w:lang w:val="en-US" w:eastAsia="zh-CN"/>
                    </w:rPr>
                    <w:t>鼓励类</w:t>
                  </w:r>
                  <w:r>
                    <w:rPr>
                      <w:rFonts w:hint="eastAsia" w:ascii="Times New Roman" w:hAnsi="Times New Roman" w:cs="Times New Roman"/>
                      <w:color w:val="auto"/>
                      <w:sz w:val="21"/>
                      <w:szCs w:val="21"/>
                      <w:highlight w:val="none"/>
                      <w:lang w:val="en-US" w:eastAsia="zh-CN"/>
                    </w:rPr>
                    <w:t>项目</w:t>
                  </w:r>
                  <w:r>
                    <w:rPr>
                      <w:rFonts w:hint="eastAsia"/>
                      <w:color w:val="auto"/>
                      <w:sz w:val="21"/>
                      <w:szCs w:val="21"/>
                    </w:rPr>
                    <w:t>，项目</w:t>
                  </w:r>
                  <w:r>
                    <w:rPr>
                      <w:rFonts w:hint="eastAsia"/>
                      <w:color w:val="auto"/>
                      <w:sz w:val="21"/>
                      <w:szCs w:val="21"/>
                      <w:lang w:val="en-US" w:eastAsia="zh-CN"/>
                    </w:rPr>
                    <w:t>不属于落后产能项目</w:t>
                  </w:r>
                  <w:r>
                    <w:rPr>
                      <w:rFonts w:hint="eastAsia"/>
                      <w:color w:val="auto"/>
                      <w:sz w:val="21"/>
                      <w:szCs w:val="21"/>
                      <w:lang w:eastAsia="zh-CN"/>
                    </w:rPr>
                    <w:t>，</w:t>
                  </w:r>
                  <w:r>
                    <w:rPr>
                      <w:rFonts w:hint="eastAsia"/>
                      <w:color w:val="auto"/>
                      <w:sz w:val="21"/>
                      <w:szCs w:val="21"/>
                      <w:lang w:val="en-US" w:eastAsia="zh-CN"/>
                    </w:rPr>
                    <w:t>也不属于</w:t>
                  </w:r>
                  <w:r>
                    <w:rPr>
                      <w:color w:val="auto"/>
                      <w:sz w:val="21"/>
                      <w:szCs w:val="21"/>
                    </w:rPr>
                    <w:t>高耗能高排放项目</w:t>
                  </w:r>
                  <w:r>
                    <w:rPr>
                      <w:rFonts w:hint="eastAsia"/>
                      <w:color w:val="auto"/>
                      <w:sz w:val="21"/>
                      <w:szCs w:val="21"/>
                      <w:lang w:eastAsia="zh-CN"/>
                    </w:rPr>
                    <w:t>。</w:t>
                  </w:r>
                </w:p>
              </w:tc>
              <w:tc>
                <w:tcPr>
                  <w:tcW w:w="650" w:type="dxa"/>
                  <w:tcBorders>
                    <w:tl2br w:val="nil"/>
                    <w:tr2bl w:val="nil"/>
                  </w:tcBorders>
                  <w:noWrap w:val="0"/>
                  <w:vAlign w:val="center"/>
                </w:tcPr>
                <w:p w14:paraId="35608625">
                  <w:pPr>
                    <w:pStyle w:val="136"/>
                    <w:adjustRightInd w:val="0"/>
                    <w:snapToGrid w:val="0"/>
                    <w:rPr>
                      <w:color w:val="auto"/>
                    </w:rPr>
                  </w:pPr>
                  <w:r>
                    <w:rPr>
                      <w:color w:val="auto"/>
                    </w:rPr>
                    <w:t>相符</w:t>
                  </w:r>
                </w:p>
              </w:tc>
            </w:tr>
          </w:tbl>
          <w:p w14:paraId="33CBCBDA">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从表1-</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分析可知，本项目符合《长江经济带发展负面清单指南（2022年版）》（长江办〔2022〕7号）的要求。</w:t>
            </w:r>
          </w:p>
          <w:p w14:paraId="3F885D74">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2</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与</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中华人民共和国长江保护法</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相符性分析</w:t>
            </w:r>
          </w:p>
          <w:p w14:paraId="698297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eastAsia="宋体" w:cs="Times New Roman"/>
                <w:color w:val="auto"/>
                <w:sz w:val="24"/>
                <w:szCs w:val="24"/>
                <w:lang w:val="en-US" w:eastAsia="zh-CN"/>
              </w:rPr>
              <w:t>中华人民共和国长江保护法</w:t>
            </w:r>
            <w:r>
              <w:rPr>
                <w:rFonts w:hint="eastAsia" w:ascii="Times New Roman" w:hAnsi="Times New Roman" w:eastAsia="宋体" w:cs="Times New Roman"/>
                <w:color w:val="auto"/>
                <w:sz w:val="24"/>
                <w:szCs w:val="24"/>
                <w:lang w:val="en-US" w:eastAsia="zh-CN"/>
              </w:rPr>
              <w:t>》，本项目涉及</w:t>
            </w:r>
            <w:r>
              <w:rPr>
                <w:rFonts w:hint="eastAsia" w:cs="Times New Roman"/>
                <w:color w:val="auto"/>
                <w:sz w:val="24"/>
                <w:szCs w:val="24"/>
                <w:lang w:val="en-US" w:eastAsia="zh-CN"/>
              </w:rPr>
              <w:t>内容</w:t>
            </w:r>
            <w:r>
              <w:rPr>
                <w:rFonts w:hint="eastAsia" w:ascii="Times New Roman" w:hAnsi="Times New Roman" w:eastAsia="宋体" w:cs="Times New Roman"/>
                <w:color w:val="auto"/>
                <w:sz w:val="24"/>
                <w:szCs w:val="24"/>
                <w:lang w:val="en-US" w:eastAsia="zh-CN"/>
              </w:rPr>
              <w:t>与该文相符性分析见表1-</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w:t>
            </w:r>
          </w:p>
          <w:p w14:paraId="24F70739">
            <w:pPr>
              <w:pStyle w:val="12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表1-</w:t>
            </w:r>
            <w:r>
              <w:rPr>
                <w:rFonts w:hint="eastAsia" w:cs="Times New Roman"/>
                <w:color w:val="auto"/>
                <w:highlight w:val="none"/>
                <w:lang w:val="en-US" w:eastAsia="zh-CN"/>
              </w:rPr>
              <w:t xml:space="preserve">8  </w:t>
            </w:r>
            <w:r>
              <w:rPr>
                <w:rFonts w:hint="default" w:ascii="Times New Roman" w:hAnsi="Times New Roman" w:cs="Times New Roman"/>
                <w:color w:val="auto"/>
                <w:highlight w:val="none"/>
                <w:lang w:val="en-US" w:eastAsia="zh-CN"/>
              </w:rPr>
              <w:t>与长江流域相关规划及政策符合性符合性分析</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15"/>
              <w:gridCol w:w="4601"/>
              <w:gridCol w:w="1731"/>
              <w:gridCol w:w="548"/>
            </w:tblGrid>
            <w:tr w14:paraId="036D9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15" w:type="dxa"/>
                  <w:noWrap w:val="0"/>
                  <w:tcMar>
                    <w:left w:w="28" w:type="dxa"/>
                    <w:right w:w="28" w:type="dxa"/>
                  </w:tcMar>
                  <w:vAlign w:val="center"/>
                </w:tcPr>
                <w:p w14:paraId="5C6BD680">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文件名称</w:t>
                  </w:r>
                </w:p>
              </w:tc>
              <w:tc>
                <w:tcPr>
                  <w:tcW w:w="4601" w:type="dxa"/>
                  <w:noWrap w:val="0"/>
                  <w:vAlign w:val="center"/>
                </w:tcPr>
                <w:p w14:paraId="796DA5E1">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相关要求</w:t>
                  </w:r>
                </w:p>
              </w:tc>
              <w:tc>
                <w:tcPr>
                  <w:tcW w:w="1731" w:type="dxa"/>
                  <w:noWrap w:val="0"/>
                  <w:vAlign w:val="center"/>
                </w:tcPr>
                <w:p w14:paraId="7473F478">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548" w:type="dxa"/>
                  <w:noWrap w:val="0"/>
                  <w:vAlign w:val="center"/>
                </w:tcPr>
                <w:p w14:paraId="157A4233">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14:paraId="2CF79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15" w:type="dxa"/>
                  <w:vMerge w:val="restart"/>
                  <w:noWrap w:val="0"/>
                  <w:tcMar>
                    <w:left w:w="28" w:type="dxa"/>
                    <w:right w:w="28" w:type="dxa"/>
                  </w:tcMar>
                  <w:vAlign w:val="center"/>
                </w:tcPr>
                <w:p w14:paraId="0D26A533">
                  <w:pPr>
                    <w:kinsoku w:val="0"/>
                    <w:overflowPunct w:val="0"/>
                    <w:autoSpaceDE w:val="0"/>
                    <w:autoSpaceDN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《中华人民共和国长江保护法》（2021年3月1日起施行）</w:t>
                  </w:r>
                </w:p>
              </w:tc>
              <w:tc>
                <w:tcPr>
                  <w:tcW w:w="4601" w:type="dxa"/>
                  <w:noWrap w:val="0"/>
                  <w:vAlign w:val="center"/>
                </w:tcPr>
                <w:p w14:paraId="29DEB788">
                  <w:pPr>
                    <w:pStyle w:val="147"/>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长江流域产业结构和布局应当与长江流域生态系统和资源环境承载能力相适应。禁止在长江流域重点生态功能区布局对生态系统有严重影响的企业。禁止重污染企业和项目向长江中上游转移。</w:t>
                  </w:r>
                </w:p>
              </w:tc>
              <w:tc>
                <w:tcPr>
                  <w:tcW w:w="1731" w:type="dxa"/>
                  <w:noWrap w:val="0"/>
                  <w:vAlign w:val="center"/>
                </w:tcPr>
                <w:p w14:paraId="2EC60903">
                  <w:pPr>
                    <w:pStyle w:val="147"/>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本项目选址不在长江流域重点生态功能区内，不属于对生态系统有严重影响的产业。</w:t>
                  </w:r>
                </w:p>
              </w:tc>
              <w:tc>
                <w:tcPr>
                  <w:tcW w:w="548" w:type="dxa"/>
                  <w:noWrap w:val="0"/>
                  <w:vAlign w:val="center"/>
                </w:tcPr>
                <w:p w14:paraId="1FA088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D3BD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15" w:type="dxa"/>
                  <w:vMerge w:val="continue"/>
                  <w:noWrap w:val="0"/>
                  <w:tcMar>
                    <w:left w:w="28" w:type="dxa"/>
                    <w:right w:w="28" w:type="dxa"/>
                  </w:tcMar>
                  <w:vAlign w:val="center"/>
                </w:tcPr>
                <w:p w14:paraId="5532E7DA">
                  <w:pPr>
                    <w:kinsoku w:val="0"/>
                    <w:overflowPunct w:val="0"/>
                    <w:autoSpaceDE w:val="0"/>
                    <w:autoSpaceDN w:val="0"/>
                    <w:jc w:val="center"/>
                    <w:rPr>
                      <w:rFonts w:hint="default" w:ascii="Times New Roman" w:hAnsi="Times New Roman" w:eastAsia="宋体" w:cs="Times New Roman"/>
                      <w:snapToGrid w:val="0"/>
                      <w:color w:val="auto"/>
                      <w:kern w:val="0"/>
                      <w:sz w:val="21"/>
                      <w:szCs w:val="21"/>
                      <w:highlight w:val="none"/>
                    </w:rPr>
                  </w:pPr>
                </w:p>
              </w:tc>
              <w:tc>
                <w:tcPr>
                  <w:tcW w:w="4601" w:type="dxa"/>
                  <w:noWrap w:val="0"/>
                  <w:vAlign w:val="center"/>
                </w:tcPr>
                <w:p w14:paraId="575DE029">
                  <w:pPr>
                    <w:pStyle w:val="147"/>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禁止在长江干支流岸线一公里范围内新建、扩建化工园区和化工项目。</w:t>
                  </w:r>
                </w:p>
                <w:p w14:paraId="33AF3471">
                  <w:pPr>
                    <w:pStyle w:val="147"/>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禁止在长江干流岸线三公里范围内和重要支流岸线一公里范围内新建、改建、扩建尾矿库；但是以提升安全、生态环境保护水平为目的的改建除外。</w:t>
                  </w:r>
                </w:p>
              </w:tc>
              <w:tc>
                <w:tcPr>
                  <w:tcW w:w="1731" w:type="dxa"/>
                  <w:noWrap w:val="0"/>
                  <w:vAlign w:val="center"/>
                </w:tcPr>
                <w:p w14:paraId="7E064CB2">
                  <w:pPr>
                    <w:pStyle w:val="147"/>
                    <w:jc w:val="center"/>
                    <w:rPr>
                      <w:rFonts w:hint="default" w:ascii="Times New Roman" w:hAnsi="Times New Roman" w:eastAsia="宋体" w:cs="Times New Roman"/>
                      <w:color w:val="auto"/>
                      <w:sz w:val="21"/>
                      <w:szCs w:val="21"/>
                      <w:highlight w:val="none"/>
                    </w:rPr>
                  </w:pPr>
                  <w:r>
                    <w:rPr>
                      <w:rFonts w:hint="eastAsia"/>
                      <w:color w:val="auto"/>
                    </w:rPr>
                    <w:t>项目</w:t>
                  </w:r>
                  <w:r>
                    <w:rPr>
                      <w:rFonts w:hint="eastAsia"/>
                      <w:color w:val="auto"/>
                      <w:sz w:val="21"/>
                      <w:szCs w:val="21"/>
                      <w:lang w:val="en-US" w:eastAsia="zh-CN"/>
                    </w:rPr>
                    <w:t>为</w:t>
                  </w:r>
                  <w:r>
                    <w:rPr>
                      <w:rFonts w:hint="eastAsia" w:ascii="Times New Roman" w:hAnsi="Times New Roman" w:cs="Times New Roman"/>
                      <w:color w:val="auto"/>
                      <w:kern w:val="2"/>
                      <w:sz w:val="21"/>
                      <w:szCs w:val="21"/>
                      <w:highlight w:val="none"/>
                      <w:lang w:val="en-US" w:eastAsia="zh-CN" w:bidi="ar-SA"/>
                    </w:rPr>
                    <w:t>其他</w:t>
                  </w:r>
                  <w:r>
                    <w:rPr>
                      <w:rFonts w:hint="eastAsia" w:cs="Times New Roman"/>
                      <w:color w:val="auto"/>
                      <w:kern w:val="2"/>
                      <w:sz w:val="21"/>
                      <w:szCs w:val="21"/>
                      <w:highlight w:val="none"/>
                      <w:lang w:val="en-US" w:eastAsia="zh-CN" w:bidi="ar-SA"/>
                    </w:rPr>
                    <w:t>方便食品制造项目，不属于化工项目以及</w:t>
                  </w:r>
                  <w:r>
                    <w:rPr>
                      <w:rFonts w:hint="eastAsia"/>
                      <w:color w:val="auto"/>
                      <w:lang w:val="en-US" w:eastAsia="zh-CN"/>
                    </w:rPr>
                    <w:t>尾矿库，且</w:t>
                  </w:r>
                  <w:r>
                    <w:rPr>
                      <w:rFonts w:hint="eastAsia" w:cs="Times New Roman"/>
                      <w:color w:val="auto"/>
                      <w:kern w:val="2"/>
                      <w:sz w:val="21"/>
                      <w:szCs w:val="21"/>
                      <w:highlight w:val="none"/>
                      <w:lang w:val="en-US" w:eastAsia="zh-CN" w:bidi="ar-SA"/>
                    </w:rPr>
                    <w:t>项目</w:t>
                  </w:r>
                  <w:r>
                    <w:rPr>
                      <w:rFonts w:hint="eastAsia"/>
                      <w:color w:val="auto"/>
                      <w:sz w:val="21"/>
                      <w:szCs w:val="21"/>
                    </w:rPr>
                    <w:t>厂址</w:t>
                  </w:r>
                  <w:r>
                    <w:rPr>
                      <w:rFonts w:hint="eastAsia" w:cs="Times New Roman"/>
                      <w:color w:val="auto"/>
                      <w:kern w:val="2"/>
                      <w:sz w:val="21"/>
                      <w:szCs w:val="21"/>
                      <w:highlight w:val="none"/>
                      <w:lang w:val="en-US" w:eastAsia="zh-CN" w:bidi="ar-SA"/>
                    </w:rPr>
                    <w:t>且</w:t>
                  </w:r>
                  <w:r>
                    <w:rPr>
                      <w:rFonts w:hint="eastAsia"/>
                      <w:color w:val="auto"/>
                      <w:lang w:eastAsia="zh-CN"/>
                    </w:rPr>
                    <w:t>不在</w:t>
                  </w:r>
                  <w:r>
                    <w:rPr>
                      <w:color w:val="auto"/>
                    </w:rPr>
                    <w:t>长江干支流、重要湖泊岸线一公里范围内</w:t>
                  </w:r>
                  <w:r>
                    <w:rPr>
                      <w:rFonts w:hint="eastAsia"/>
                      <w:color w:val="auto"/>
                    </w:rPr>
                    <w:t>。</w:t>
                  </w:r>
                </w:p>
              </w:tc>
              <w:tc>
                <w:tcPr>
                  <w:tcW w:w="548" w:type="dxa"/>
                  <w:noWrap w:val="0"/>
                  <w:vAlign w:val="center"/>
                </w:tcPr>
                <w:p w14:paraId="08593C2B">
                  <w:pPr>
                    <w:jc w:val="center"/>
                    <w:rPr>
                      <w:rFonts w:hint="default" w:ascii="Times New Roman" w:hAnsi="Times New Roman" w:eastAsia="宋体" w:cs="Times New Roman"/>
                      <w:color w:val="auto"/>
                      <w:sz w:val="21"/>
                      <w:szCs w:val="21"/>
                      <w:highlight w:val="none"/>
                    </w:rPr>
                  </w:pPr>
                </w:p>
              </w:tc>
            </w:tr>
            <w:tr w14:paraId="4B500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15" w:type="dxa"/>
                  <w:vMerge w:val="continue"/>
                  <w:noWrap w:val="0"/>
                  <w:tcMar>
                    <w:left w:w="28" w:type="dxa"/>
                    <w:right w:w="28" w:type="dxa"/>
                  </w:tcMar>
                  <w:vAlign w:val="center"/>
                </w:tcPr>
                <w:p w14:paraId="630F0D52">
                  <w:pPr>
                    <w:kinsoku w:val="0"/>
                    <w:overflowPunct w:val="0"/>
                    <w:autoSpaceDE w:val="0"/>
                    <w:autoSpaceDN w:val="0"/>
                    <w:jc w:val="center"/>
                    <w:rPr>
                      <w:rFonts w:hint="default" w:ascii="Times New Roman" w:hAnsi="Times New Roman" w:eastAsia="宋体" w:cs="Times New Roman"/>
                      <w:snapToGrid w:val="0"/>
                      <w:color w:val="auto"/>
                      <w:kern w:val="0"/>
                      <w:sz w:val="21"/>
                      <w:szCs w:val="21"/>
                      <w:highlight w:val="none"/>
                    </w:rPr>
                  </w:pPr>
                </w:p>
              </w:tc>
              <w:tc>
                <w:tcPr>
                  <w:tcW w:w="4601" w:type="dxa"/>
                  <w:noWrap w:val="0"/>
                  <w:vAlign w:val="center"/>
                </w:tcPr>
                <w:p w14:paraId="75ECB688">
                  <w:pPr>
                    <w:pStyle w:val="147"/>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长江流域省级人民政府制定本行政区域的总磷污染控制方案，并组织实施。对磷矿、磷肥生产集中的长江干支流，有关省级人民政府应当制定更加严格的总磷排放管控要求，有效控制总磷排放总量。</w:t>
                  </w:r>
                </w:p>
                <w:p w14:paraId="25E95986">
                  <w:pPr>
                    <w:pStyle w:val="147"/>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磷矿开采加工、磷肥和含磷农药制造等企业，应当按照排污许可要求，采取有效措施控制总磷排放浓度和排放总量；对排污口和周边环境进行总磷监测，依法公开监测信息。</w:t>
                  </w:r>
                </w:p>
              </w:tc>
              <w:tc>
                <w:tcPr>
                  <w:tcW w:w="1731" w:type="dxa"/>
                  <w:noWrap w:val="0"/>
                  <w:vAlign w:val="center"/>
                </w:tcPr>
                <w:p w14:paraId="06C044C0">
                  <w:pPr>
                    <w:pStyle w:val="1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本项目为</w:t>
                  </w:r>
                  <w:r>
                    <w:rPr>
                      <w:rFonts w:hint="eastAsia" w:ascii="Times New Roman" w:hAnsi="Times New Roman" w:cs="Times New Roman"/>
                      <w:color w:val="auto"/>
                      <w:kern w:val="2"/>
                      <w:sz w:val="21"/>
                      <w:szCs w:val="21"/>
                      <w:highlight w:val="none"/>
                      <w:lang w:val="en-US" w:eastAsia="zh-CN" w:bidi="ar-SA"/>
                    </w:rPr>
                    <w:t>其他</w:t>
                  </w:r>
                  <w:r>
                    <w:rPr>
                      <w:rFonts w:hint="eastAsia" w:cs="Times New Roman"/>
                      <w:color w:val="auto"/>
                      <w:kern w:val="2"/>
                      <w:sz w:val="21"/>
                      <w:szCs w:val="21"/>
                      <w:highlight w:val="none"/>
                      <w:lang w:val="en-US" w:eastAsia="zh-CN" w:bidi="ar-SA"/>
                    </w:rPr>
                    <w:t>方便食品制造项目</w:t>
                  </w:r>
                  <w:r>
                    <w:rPr>
                      <w:rFonts w:hint="default" w:ascii="Times New Roman" w:hAnsi="Times New Roman" w:eastAsia="宋体" w:cs="Times New Roman"/>
                      <w:color w:val="auto"/>
                      <w:sz w:val="21"/>
                      <w:szCs w:val="21"/>
                      <w:highlight w:val="none"/>
                    </w:rPr>
                    <w:t>，不属于磷矿、磷肥和含磷农药项目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项目自行监测已设置总磷监测指标。</w:t>
                  </w:r>
                </w:p>
              </w:tc>
              <w:tc>
                <w:tcPr>
                  <w:tcW w:w="548" w:type="dxa"/>
                  <w:noWrap w:val="0"/>
                  <w:vAlign w:val="center"/>
                </w:tcPr>
                <w:p w14:paraId="5761D4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5773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315" w:type="dxa"/>
                  <w:vMerge w:val="continue"/>
                  <w:noWrap w:val="0"/>
                  <w:tcMar>
                    <w:left w:w="28" w:type="dxa"/>
                    <w:right w:w="28" w:type="dxa"/>
                  </w:tcMar>
                  <w:vAlign w:val="center"/>
                </w:tcPr>
                <w:p w14:paraId="40B5421F">
                  <w:pPr>
                    <w:kinsoku w:val="0"/>
                    <w:overflowPunct w:val="0"/>
                    <w:autoSpaceDE w:val="0"/>
                    <w:autoSpaceDN w:val="0"/>
                    <w:jc w:val="center"/>
                    <w:rPr>
                      <w:rFonts w:hint="default" w:ascii="Times New Roman" w:hAnsi="Times New Roman" w:eastAsia="宋体" w:cs="Times New Roman"/>
                      <w:snapToGrid w:val="0"/>
                      <w:color w:val="auto"/>
                      <w:kern w:val="0"/>
                      <w:sz w:val="21"/>
                      <w:szCs w:val="21"/>
                      <w:highlight w:val="none"/>
                    </w:rPr>
                  </w:pPr>
                </w:p>
              </w:tc>
              <w:tc>
                <w:tcPr>
                  <w:tcW w:w="4601" w:type="dxa"/>
                  <w:noWrap w:val="0"/>
                  <w:vAlign w:val="center"/>
                </w:tcPr>
                <w:p w14:paraId="3A58E84A">
                  <w:pPr>
                    <w:pStyle w:val="147"/>
                    <w:jc w:val="both"/>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禁止在长江流域河湖管理范围内倾倒、填埋、堆放、弃置、处理固体废物。长江流域县级以上地方人民政府应当加强对固体废物非法转移和倾倒的联防联控。</w:t>
                  </w:r>
                </w:p>
              </w:tc>
              <w:tc>
                <w:tcPr>
                  <w:tcW w:w="1731" w:type="dxa"/>
                  <w:noWrap w:val="0"/>
                  <w:vAlign w:val="center"/>
                </w:tcPr>
                <w:p w14:paraId="289F3512">
                  <w:pPr>
                    <w:pStyle w:val="147"/>
                    <w:ind w:firstLine="1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固废均委托相应有处置资质的单位处理，不在长江流域河湖管理范围内倾倒、填埋、堆放、弃置、处理固体废物。</w:t>
                  </w:r>
                </w:p>
              </w:tc>
              <w:tc>
                <w:tcPr>
                  <w:tcW w:w="548" w:type="dxa"/>
                  <w:noWrap w:val="0"/>
                  <w:vAlign w:val="center"/>
                </w:tcPr>
                <w:p w14:paraId="0479730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bl>
          <w:p w14:paraId="449200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从上表分析可知，本项目符合</w:t>
            </w:r>
            <w:r>
              <w:rPr>
                <w:rFonts w:hint="default" w:ascii="Times New Roman" w:hAnsi="Times New Roman" w:eastAsia="宋体" w:cs="Times New Roman"/>
                <w:snapToGrid w:val="0"/>
                <w:color w:val="auto"/>
                <w:kern w:val="0"/>
                <w:sz w:val="24"/>
                <w:szCs w:val="24"/>
                <w:highlight w:val="none"/>
              </w:rPr>
              <w:t>《中华人民共和国长江保护法》（2021年3月1日起施行</w:t>
            </w:r>
            <w:r>
              <w:rPr>
                <w:rFonts w:hint="eastAsia" w:ascii="Times New Roman" w:hAnsi="Times New Roman" w:eastAsia="宋体" w:cs="Times New Roman"/>
                <w:color w:val="auto"/>
                <w:sz w:val="24"/>
                <w:szCs w:val="24"/>
                <w:lang w:val="en-US" w:eastAsia="zh-CN"/>
              </w:rPr>
              <w:t>）的要求。</w:t>
            </w:r>
          </w:p>
          <w:p w14:paraId="63D04C4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与《中华人民共和国食品安全法》（2021</w:t>
            </w:r>
            <w:r>
              <w:rPr>
                <w:rFonts w:hint="eastAsia" w:cs="Times New Roman"/>
                <w:b/>
                <w:bCs/>
                <w:color w:val="auto"/>
                <w:sz w:val="24"/>
                <w:szCs w:val="24"/>
                <w:lang w:val="en-US" w:eastAsia="zh-CN"/>
              </w:rPr>
              <w:t>年</w:t>
            </w:r>
            <w:r>
              <w:rPr>
                <w:rFonts w:hint="eastAsia" w:ascii="Times New Roman" w:hAnsi="Times New Roman" w:eastAsia="宋体" w:cs="Times New Roman"/>
                <w:b/>
                <w:bCs/>
                <w:color w:val="auto"/>
                <w:sz w:val="24"/>
                <w:szCs w:val="24"/>
                <w:lang w:val="en-US" w:eastAsia="zh-CN"/>
              </w:rPr>
              <w:t>修正）</w:t>
            </w:r>
            <w:r>
              <w:rPr>
                <w:rFonts w:hint="eastAsia" w:cs="Times New Roman"/>
                <w:b/>
                <w:bCs/>
                <w:color w:val="auto"/>
                <w:sz w:val="24"/>
                <w:szCs w:val="24"/>
                <w:lang w:val="en-US" w:eastAsia="zh-CN"/>
              </w:rPr>
              <w:t>的</w:t>
            </w:r>
            <w:r>
              <w:rPr>
                <w:rFonts w:hint="eastAsia" w:ascii="Times New Roman" w:hAnsi="Times New Roman" w:eastAsia="宋体" w:cs="Times New Roman"/>
                <w:b/>
                <w:bCs/>
                <w:color w:val="auto"/>
                <w:sz w:val="24"/>
                <w:szCs w:val="24"/>
                <w:lang w:val="en-US" w:eastAsia="zh-CN"/>
              </w:rPr>
              <w:t>相符性分析</w:t>
            </w:r>
          </w:p>
          <w:p w14:paraId="5D4565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eastAsia="宋体" w:cs="Times New Roman"/>
                <w:color w:val="auto"/>
                <w:sz w:val="24"/>
                <w:szCs w:val="24"/>
                <w:lang w:val="en-US" w:eastAsia="zh-CN"/>
              </w:rPr>
              <w:t>中华人民共和国</w:t>
            </w:r>
            <w:r>
              <w:rPr>
                <w:rFonts w:hint="eastAsia" w:ascii="Times New Roman" w:hAnsi="Times New Roman" w:eastAsia="宋体" w:cs="Times New Roman"/>
                <w:b w:val="0"/>
                <w:bCs w:val="0"/>
                <w:color w:val="auto"/>
                <w:sz w:val="24"/>
                <w:szCs w:val="24"/>
                <w:lang w:val="en-US" w:eastAsia="zh-CN"/>
              </w:rPr>
              <w:t>食品安全法</w:t>
            </w:r>
            <w:r>
              <w:rPr>
                <w:rFonts w:hint="eastAsia" w:ascii="Times New Roman" w:hAnsi="Times New Roman" w:eastAsia="宋体" w:cs="Times New Roman"/>
                <w:color w:val="auto"/>
                <w:sz w:val="24"/>
                <w:szCs w:val="24"/>
                <w:lang w:val="en-US" w:eastAsia="zh-CN"/>
              </w:rPr>
              <w:t>》（2021</w:t>
            </w:r>
            <w:r>
              <w:rPr>
                <w:rFonts w:hint="eastAsia"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修正），本项目涉及</w:t>
            </w:r>
            <w:r>
              <w:rPr>
                <w:rFonts w:hint="eastAsia" w:cs="Times New Roman"/>
                <w:color w:val="auto"/>
                <w:sz w:val="24"/>
                <w:szCs w:val="24"/>
                <w:lang w:val="en-US" w:eastAsia="zh-CN"/>
              </w:rPr>
              <w:t>内容</w:t>
            </w:r>
            <w:r>
              <w:rPr>
                <w:rFonts w:hint="eastAsia" w:ascii="Times New Roman" w:hAnsi="Times New Roman" w:eastAsia="宋体" w:cs="Times New Roman"/>
                <w:color w:val="auto"/>
                <w:sz w:val="24"/>
                <w:szCs w:val="24"/>
                <w:lang w:val="en-US" w:eastAsia="zh-CN"/>
              </w:rPr>
              <w:t>与该文相符性分析见表1-</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w:t>
            </w:r>
          </w:p>
          <w:p w14:paraId="2B68EC33">
            <w:pPr>
              <w:pStyle w:val="129"/>
              <w:bidi w:val="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表1-</w:t>
            </w:r>
            <w:r>
              <w:rPr>
                <w:rFonts w:hint="eastAsia" w:cs="Times New Roman"/>
                <w:b/>
                <w:bCs w:val="0"/>
                <w:color w:val="auto"/>
                <w:sz w:val="21"/>
                <w:szCs w:val="21"/>
                <w:highlight w:val="none"/>
                <w:lang w:val="en-US" w:eastAsia="zh-CN"/>
              </w:rPr>
              <w:t xml:space="preserve">9  </w:t>
            </w:r>
            <w:r>
              <w:rPr>
                <w:rFonts w:hint="default" w:ascii="Times New Roman" w:hAnsi="Times New Roman" w:cs="Times New Roman"/>
                <w:b/>
                <w:bCs w:val="0"/>
                <w:color w:val="auto"/>
                <w:sz w:val="21"/>
                <w:szCs w:val="21"/>
                <w:highlight w:val="none"/>
                <w:lang w:val="en-US" w:eastAsia="zh-CN"/>
              </w:rPr>
              <w:t>与</w:t>
            </w:r>
            <w:r>
              <w:rPr>
                <w:rFonts w:hint="eastAsia" w:ascii="Times New Roman" w:hAnsi="Times New Roman" w:eastAsia="宋体" w:cs="Times New Roman"/>
                <w:b/>
                <w:bCs w:val="0"/>
                <w:color w:val="auto"/>
                <w:sz w:val="21"/>
                <w:szCs w:val="21"/>
                <w:lang w:val="en-US" w:eastAsia="zh-CN"/>
              </w:rPr>
              <w:t>《</w:t>
            </w:r>
            <w:r>
              <w:rPr>
                <w:rFonts w:hint="default" w:ascii="Times New Roman" w:hAnsi="Times New Roman" w:eastAsia="宋体" w:cs="Times New Roman"/>
                <w:b/>
                <w:bCs w:val="0"/>
                <w:color w:val="auto"/>
                <w:sz w:val="21"/>
                <w:szCs w:val="21"/>
                <w:lang w:val="en-US" w:eastAsia="zh-CN"/>
              </w:rPr>
              <w:t>中华人民共和国</w:t>
            </w:r>
            <w:r>
              <w:rPr>
                <w:rFonts w:hint="eastAsia" w:ascii="Times New Roman" w:hAnsi="Times New Roman" w:eastAsia="宋体" w:cs="Times New Roman"/>
                <w:b/>
                <w:bCs w:val="0"/>
                <w:color w:val="auto"/>
                <w:sz w:val="21"/>
                <w:szCs w:val="21"/>
                <w:lang w:val="en-US" w:eastAsia="zh-CN"/>
              </w:rPr>
              <w:t>食品安全法》（2021</w:t>
            </w:r>
            <w:r>
              <w:rPr>
                <w:rFonts w:hint="eastAsia" w:cs="Times New Roman"/>
                <w:b/>
                <w:bCs w:val="0"/>
                <w:color w:val="auto"/>
                <w:sz w:val="21"/>
                <w:szCs w:val="21"/>
                <w:lang w:val="en-US" w:eastAsia="zh-CN"/>
              </w:rPr>
              <w:t>年</w:t>
            </w:r>
            <w:r>
              <w:rPr>
                <w:rFonts w:hint="eastAsia" w:ascii="Times New Roman" w:hAnsi="Times New Roman" w:eastAsia="宋体" w:cs="Times New Roman"/>
                <w:b/>
                <w:bCs w:val="0"/>
                <w:color w:val="auto"/>
                <w:sz w:val="21"/>
                <w:szCs w:val="21"/>
                <w:lang w:val="en-US" w:eastAsia="zh-CN"/>
              </w:rPr>
              <w:t>修正）</w:t>
            </w:r>
            <w:r>
              <w:rPr>
                <w:rFonts w:hint="default" w:ascii="Times New Roman" w:hAnsi="Times New Roman" w:cs="Times New Roman"/>
                <w:b/>
                <w:bCs w:val="0"/>
                <w:color w:val="auto"/>
                <w:sz w:val="21"/>
                <w:szCs w:val="21"/>
                <w:highlight w:val="none"/>
                <w:lang w:val="en-US" w:eastAsia="zh-CN"/>
              </w:rPr>
              <w:t>符合性分析</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0"/>
              <w:gridCol w:w="3767"/>
              <w:gridCol w:w="2983"/>
              <w:gridCol w:w="735"/>
            </w:tblGrid>
            <w:tr w14:paraId="35DF4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52C8C529">
                  <w:pPr>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序号</w:t>
                  </w:r>
                </w:p>
              </w:tc>
              <w:tc>
                <w:tcPr>
                  <w:tcW w:w="3767" w:type="dxa"/>
                  <w:noWrap w:val="0"/>
                  <w:vAlign w:val="center"/>
                </w:tcPr>
                <w:p w14:paraId="72C3F934">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相关要求</w:t>
                  </w:r>
                </w:p>
              </w:tc>
              <w:tc>
                <w:tcPr>
                  <w:tcW w:w="2983" w:type="dxa"/>
                  <w:noWrap w:val="0"/>
                  <w:vAlign w:val="center"/>
                </w:tcPr>
                <w:p w14:paraId="0ABE3E2A">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735" w:type="dxa"/>
                  <w:noWrap w:val="0"/>
                  <w:vAlign w:val="center"/>
                </w:tcPr>
                <w:p w14:paraId="014378C9">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14:paraId="36A32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2BB0FB63">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w:t>
                  </w:r>
                </w:p>
              </w:tc>
              <w:tc>
                <w:tcPr>
                  <w:tcW w:w="3767" w:type="dxa"/>
                  <w:noWrap w:val="0"/>
                  <w:vAlign w:val="center"/>
                </w:tcPr>
                <w:p w14:paraId="063B2348">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具有与生产经营的食品品种、数量相适应的食品原料处理和食品加工、包装、贮存等场</w:t>
                  </w:r>
                </w:p>
                <w:p w14:paraId="29B8BCCE">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0"/>
                      <w:szCs w:val="20"/>
                      <w:lang w:val="en-US" w:eastAsia="zh-CN" w:bidi="ar"/>
                    </w:rPr>
                    <w:t>所，保持该场所环境整洁，并与有毒、有害场所以及其他污染源保持规定的距离。</w:t>
                  </w:r>
                </w:p>
              </w:tc>
              <w:tc>
                <w:tcPr>
                  <w:tcW w:w="2983" w:type="dxa"/>
                  <w:noWrap w:val="0"/>
                  <w:vAlign w:val="center"/>
                </w:tcPr>
                <w:p w14:paraId="395E890A">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lang w:val="en-US" w:eastAsia="zh-CN" w:bidi="ar"/>
                    </w:rPr>
                    <w:t>项目属于</w:t>
                  </w:r>
                  <w:r>
                    <w:rPr>
                      <w:rFonts w:hint="default" w:ascii="Times New Roman" w:hAnsi="Times New Roman" w:eastAsia="宋体" w:cs="Times New Roman"/>
                      <w:color w:val="auto"/>
                      <w:sz w:val="21"/>
                      <w:szCs w:val="21"/>
                      <w:lang w:val="en-US" w:eastAsia="zh-CN"/>
                    </w:rPr>
                    <w:t>预制菜</w:t>
                  </w:r>
                  <w:r>
                    <w:rPr>
                      <w:rFonts w:hint="eastAsia"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lang w:val="en-US" w:eastAsia="zh-CN"/>
                    </w:rPr>
                    <w:t>和工业化配餐服务项目</w:t>
                  </w:r>
                  <w:r>
                    <w:rPr>
                      <w:rFonts w:hint="eastAsia" w:ascii="宋体" w:hAnsi="宋体" w:eastAsia="宋体" w:cs="宋体"/>
                      <w:color w:val="auto"/>
                      <w:kern w:val="0"/>
                      <w:sz w:val="21"/>
                      <w:szCs w:val="21"/>
                      <w:lang w:val="en-US" w:eastAsia="zh-CN" w:bidi="ar"/>
                    </w:rPr>
                    <w:t>，配备了贮存冷库，中央厨房及预制菜车间均为封闭厂房，可有效降低外界污染对产品及副产品的影响</w:t>
                  </w:r>
                </w:p>
              </w:tc>
              <w:tc>
                <w:tcPr>
                  <w:tcW w:w="735" w:type="dxa"/>
                  <w:noWrap w:val="0"/>
                  <w:vAlign w:val="center"/>
                </w:tcPr>
                <w:p w14:paraId="323A9C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7E94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17600D94">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w:t>
                  </w:r>
                </w:p>
              </w:tc>
              <w:tc>
                <w:tcPr>
                  <w:tcW w:w="3767" w:type="dxa"/>
                  <w:noWrap w:val="0"/>
                  <w:vAlign w:val="center"/>
                </w:tcPr>
                <w:p w14:paraId="433238B2">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具有与生产经营的食品品种、数量相适应的生产经营设备或者设施，有相应的消毒、更</w:t>
                  </w:r>
                </w:p>
                <w:p w14:paraId="01ABA6E8">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0"/>
                      <w:szCs w:val="20"/>
                      <w:lang w:val="en-US" w:eastAsia="zh-CN" w:bidi="ar"/>
                    </w:rPr>
                    <w:t>衣、盥洗、采光、照明、通风、防腐、防尘、防蝇、防鼠、防虫、洗涤以及处理废水、存放垃圾和废弃物的设备或者设施。</w:t>
                  </w:r>
                </w:p>
              </w:tc>
              <w:tc>
                <w:tcPr>
                  <w:tcW w:w="2983" w:type="dxa"/>
                  <w:noWrap w:val="0"/>
                  <w:vAlign w:val="center"/>
                </w:tcPr>
                <w:p w14:paraId="15AE179C">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0"/>
                      <w:szCs w:val="20"/>
                      <w:lang w:val="en-US" w:eastAsia="zh-CN" w:bidi="ar"/>
                    </w:rPr>
                    <w:t>项目配备了相应的消毒、更衣、照明、通风、地面冲洗、生活垃圾储存等设施，生产废水设置了污水处理设施，项目产生的废水经处理后达标后排放</w:t>
                  </w:r>
                </w:p>
              </w:tc>
              <w:tc>
                <w:tcPr>
                  <w:tcW w:w="735" w:type="dxa"/>
                  <w:noWrap w:val="0"/>
                  <w:vAlign w:val="center"/>
                </w:tcPr>
                <w:p w14:paraId="54FEFA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A637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2AB8C822">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3</w:t>
                  </w:r>
                </w:p>
              </w:tc>
              <w:tc>
                <w:tcPr>
                  <w:tcW w:w="3767" w:type="dxa"/>
                  <w:noWrap w:val="0"/>
                  <w:vAlign w:val="center"/>
                </w:tcPr>
                <w:p w14:paraId="7746DE3E">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具有合理的设备布局和工艺流程，防止待加工食品与直接入口食品、原料与成品交叉污</w:t>
                  </w:r>
                </w:p>
                <w:p w14:paraId="3FF98B8C">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0"/>
                      <w:szCs w:val="20"/>
                      <w:lang w:val="en-US" w:eastAsia="zh-CN" w:bidi="ar"/>
                    </w:rPr>
                    <w:t>染，避免食品接触有毒物、不洁物。</w:t>
                  </w:r>
                </w:p>
              </w:tc>
              <w:tc>
                <w:tcPr>
                  <w:tcW w:w="2983" w:type="dxa"/>
                  <w:noWrap w:val="0"/>
                  <w:vAlign w:val="center"/>
                </w:tcPr>
                <w:p w14:paraId="64A91B16">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0"/>
                      <w:szCs w:val="20"/>
                      <w:lang w:val="en-US" w:eastAsia="zh-CN" w:bidi="ar"/>
                    </w:rPr>
                    <w:t>项目中央厨房、预制菜车间等车间划分合理明确，原料与成品分开区域储存，车间内不涉及有毒物，不会产生交叉污染</w:t>
                  </w:r>
                </w:p>
              </w:tc>
              <w:tc>
                <w:tcPr>
                  <w:tcW w:w="735" w:type="dxa"/>
                  <w:noWrap w:val="0"/>
                  <w:vAlign w:val="center"/>
                </w:tcPr>
                <w:p w14:paraId="4250CB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CE83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521D5872">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4</w:t>
                  </w:r>
                </w:p>
              </w:tc>
              <w:tc>
                <w:tcPr>
                  <w:tcW w:w="3767" w:type="dxa"/>
                  <w:noWrap w:val="0"/>
                  <w:vAlign w:val="center"/>
                </w:tcPr>
                <w:p w14:paraId="7C76F0A5">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餐具、饮具和盛放直接入口食品的容器，使用前应当洗净、消毒，炊具、用具用后应当洗净，保持清洁。</w:t>
                  </w:r>
                </w:p>
              </w:tc>
              <w:tc>
                <w:tcPr>
                  <w:tcW w:w="2983" w:type="dxa"/>
                  <w:noWrap w:val="0"/>
                  <w:vAlign w:val="center"/>
                </w:tcPr>
                <w:p w14:paraId="7168287F">
                  <w:pPr>
                    <w:pStyle w:val="147"/>
                    <w:ind w:firstLine="1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项目配备相应的消毒杀菌设备对</w:t>
                  </w:r>
                  <w:r>
                    <w:rPr>
                      <w:rFonts w:hint="eastAsia" w:ascii="宋体" w:hAnsi="宋体" w:eastAsia="宋体" w:cs="宋体"/>
                      <w:color w:val="auto"/>
                      <w:kern w:val="0"/>
                      <w:sz w:val="20"/>
                      <w:szCs w:val="20"/>
                      <w:lang w:val="en-US" w:eastAsia="zh-CN" w:bidi="ar"/>
                    </w:rPr>
                    <w:t>炊具、用具进行</w:t>
                  </w:r>
                  <w:r>
                    <w:rPr>
                      <w:rFonts w:hint="eastAsia" w:cs="Times New Roman"/>
                      <w:color w:val="auto"/>
                      <w:kern w:val="0"/>
                      <w:sz w:val="21"/>
                      <w:szCs w:val="21"/>
                      <w:highlight w:val="none"/>
                      <w:lang w:val="en-US" w:eastAsia="zh-CN" w:bidi="ar-SA"/>
                    </w:rPr>
                    <w:t>消毒杀菌</w:t>
                  </w:r>
                </w:p>
              </w:tc>
              <w:tc>
                <w:tcPr>
                  <w:tcW w:w="735" w:type="dxa"/>
                  <w:noWrap w:val="0"/>
                  <w:vAlign w:val="center"/>
                </w:tcPr>
                <w:p w14:paraId="6174468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68DFB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19AE862B">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5</w:t>
                  </w:r>
                </w:p>
              </w:tc>
              <w:tc>
                <w:tcPr>
                  <w:tcW w:w="3767" w:type="dxa"/>
                  <w:noWrap w:val="0"/>
                  <w:vAlign w:val="center"/>
                </w:tcPr>
                <w:p w14:paraId="1E02DCC2">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贮存、运输和装卸食品的容器、工具和设备应当安全、无害，保持清洁，防止食品污染，</w:t>
                  </w:r>
                </w:p>
                <w:p w14:paraId="50E68439">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并符合保证食品安全所需的温度、湿度等特殊要求，不得将食品与有毒、有害物品一同</w:t>
                  </w:r>
                </w:p>
                <w:p w14:paraId="12EDC35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贮存、运输。</w:t>
                  </w:r>
                </w:p>
              </w:tc>
              <w:tc>
                <w:tcPr>
                  <w:tcW w:w="2983" w:type="dxa"/>
                  <w:noWrap w:val="0"/>
                  <w:vAlign w:val="center"/>
                </w:tcPr>
                <w:p w14:paraId="6937C590">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贮存、运输和装卸产品的容器均为安全无害，冷藏保存</w:t>
                  </w:r>
                </w:p>
                <w:p w14:paraId="49B2D6A6">
                  <w:pPr>
                    <w:pStyle w:val="147"/>
                    <w:ind w:firstLine="1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35" w:type="dxa"/>
                  <w:noWrap w:val="0"/>
                  <w:vAlign w:val="center"/>
                </w:tcPr>
                <w:p w14:paraId="6982BD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5604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7C7E1B73">
                  <w:pPr>
                    <w:kinsoku w:val="0"/>
                    <w:overflowPunct w:val="0"/>
                    <w:autoSpaceDE w:val="0"/>
                    <w:autoSpaceDN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6</w:t>
                  </w:r>
                </w:p>
              </w:tc>
              <w:tc>
                <w:tcPr>
                  <w:tcW w:w="3767" w:type="dxa"/>
                  <w:noWrap w:val="0"/>
                  <w:vAlign w:val="center"/>
                </w:tcPr>
                <w:p w14:paraId="66BC1CE8">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直接入口的食品应当使用无毒、清洁的包装材料、餐具、饮具和容器。</w:t>
                  </w:r>
                </w:p>
              </w:tc>
              <w:tc>
                <w:tcPr>
                  <w:tcW w:w="2983" w:type="dxa"/>
                  <w:noWrap w:val="0"/>
                  <w:vAlign w:val="center"/>
                </w:tcPr>
                <w:p w14:paraId="26E9F4B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项目产品熟食均用无毒、清洁的包装材料、餐具、饮具和容器贮存。</w:t>
                  </w:r>
                </w:p>
              </w:tc>
              <w:tc>
                <w:tcPr>
                  <w:tcW w:w="735" w:type="dxa"/>
                  <w:noWrap w:val="0"/>
                  <w:vAlign w:val="center"/>
                </w:tcPr>
                <w:p w14:paraId="303859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7557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748864B0">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7</w:t>
                  </w:r>
                </w:p>
              </w:tc>
              <w:tc>
                <w:tcPr>
                  <w:tcW w:w="3767" w:type="dxa"/>
                  <w:noWrap w:val="0"/>
                  <w:vAlign w:val="center"/>
                </w:tcPr>
                <w:p w14:paraId="2C5F9F78">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食品生产经营人员应当保持个人卫生，生产经营食品时，应当将手洗净，穿戴清洁的工</w:t>
                  </w:r>
                </w:p>
                <w:p w14:paraId="0D9DD1EF">
                  <w:pPr>
                    <w:keepNext w:val="0"/>
                    <w:keepLines w:val="0"/>
                    <w:widowControl/>
                    <w:suppressLineNumbers w:val="0"/>
                    <w:jc w:val="center"/>
                    <w:rPr>
                      <w:color w:val="auto"/>
                    </w:rPr>
                  </w:pPr>
                  <w:r>
                    <w:rPr>
                      <w:rFonts w:hint="eastAsia" w:ascii="宋体" w:hAnsi="宋体" w:eastAsia="宋体" w:cs="宋体"/>
                      <w:color w:val="auto"/>
                      <w:kern w:val="0"/>
                      <w:sz w:val="20"/>
                      <w:szCs w:val="20"/>
                      <w:lang w:val="en-US" w:eastAsia="zh-CN" w:bidi="ar"/>
                    </w:rPr>
                    <w:t>作衣、帽等；销售无包装的直接入口食品时，应当使用无毒、清洁的容器、售货工具和</w:t>
                  </w:r>
                </w:p>
                <w:p w14:paraId="412B45A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设备。</w:t>
                  </w:r>
                </w:p>
              </w:tc>
              <w:tc>
                <w:tcPr>
                  <w:tcW w:w="2983" w:type="dxa"/>
                  <w:noWrap w:val="0"/>
                  <w:vAlign w:val="center"/>
                </w:tcPr>
                <w:p w14:paraId="056CF3A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项目运行期将制定工作管理制度，对预制菜车间工作人员穿戴、消毒等作出规定。</w:t>
                  </w:r>
                </w:p>
              </w:tc>
              <w:tc>
                <w:tcPr>
                  <w:tcW w:w="735" w:type="dxa"/>
                  <w:noWrap w:val="0"/>
                  <w:vAlign w:val="center"/>
                </w:tcPr>
                <w:p w14:paraId="674CAC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6DF9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7872C915">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8</w:t>
                  </w:r>
                </w:p>
              </w:tc>
              <w:tc>
                <w:tcPr>
                  <w:tcW w:w="3767" w:type="dxa"/>
                  <w:noWrap w:val="0"/>
                  <w:vAlign w:val="center"/>
                </w:tcPr>
                <w:p w14:paraId="5E7FFE7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用水应当符合国家规定的生活饮用水卫生标准。</w:t>
                  </w:r>
                </w:p>
              </w:tc>
              <w:tc>
                <w:tcPr>
                  <w:tcW w:w="2983" w:type="dxa"/>
                  <w:noWrap w:val="0"/>
                  <w:vAlign w:val="center"/>
                </w:tcPr>
                <w:p w14:paraId="7FC3F572">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项目给水来源于城镇供水管网的自来水，符合国家规定的生活饮用水卫生标准</w:t>
                  </w:r>
                </w:p>
              </w:tc>
              <w:tc>
                <w:tcPr>
                  <w:tcW w:w="735" w:type="dxa"/>
                  <w:noWrap w:val="0"/>
                  <w:vAlign w:val="center"/>
                </w:tcPr>
                <w:p w14:paraId="0B787D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744F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75CB4279">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9</w:t>
                  </w:r>
                </w:p>
              </w:tc>
              <w:tc>
                <w:tcPr>
                  <w:tcW w:w="3767" w:type="dxa"/>
                  <w:noWrap w:val="0"/>
                  <w:vAlign w:val="center"/>
                </w:tcPr>
                <w:p w14:paraId="4D4D9FBE">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使用的洗涤剂、消毒剂应当对人体安全、无害。</w:t>
                  </w:r>
                </w:p>
              </w:tc>
              <w:tc>
                <w:tcPr>
                  <w:tcW w:w="2983" w:type="dxa"/>
                  <w:noWrap w:val="0"/>
                  <w:vAlign w:val="center"/>
                </w:tcPr>
                <w:p w14:paraId="2E0E9BE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0"/>
                      <w:szCs w:val="20"/>
                      <w:lang w:val="en-US" w:eastAsia="zh-CN" w:bidi="ar"/>
                    </w:rPr>
                    <w:t>项目使用的消毒剂对人体安全、无害。</w:t>
                  </w:r>
                </w:p>
              </w:tc>
              <w:tc>
                <w:tcPr>
                  <w:tcW w:w="735" w:type="dxa"/>
                  <w:noWrap w:val="0"/>
                  <w:vAlign w:val="center"/>
                </w:tcPr>
                <w:p w14:paraId="1E750A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598F5A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从上表分析可知，本项目符合</w:t>
            </w:r>
            <w:r>
              <w:rPr>
                <w:rFonts w:hint="default" w:ascii="Times New Roman" w:hAnsi="Times New Roman" w:eastAsia="宋体" w:cs="Times New Roman"/>
                <w:snapToGrid w:val="0"/>
                <w:color w:val="auto"/>
                <w:kern w:val="0"/>
                <w:sz w:val="24"/>
                <w:szCs w:val="24"/>
                <w:highlight w:val="none"/>
              </w:rPr>
              <w:t>《中华人民共和国</w:t>
            </w:r>
            <w:r>
              <w:rPr>
                <w:rFonts w:hint="eastAsia" w:ascii="Times New Roman" w:hAnsi="Times New Roman" w:eastAsia="宋体" w:cs="Times New Roman"/>
                <w:b w:val="0"/>
                <w:bCs w:val="0"/>
                <w:color w:val="auto"/>
                <w:sz w:val="24"/>
                <w:szCs w:val="24"/>
                <w:lang w:val="en-US" w:eastAsia="zh-CN"/>
              </w:rPr>
              <w:t>食品安全法</w:t>
            </w:r>
            <w:r>
              <w:rPr>
                <w:rFonts w:hint="default" w:ascii="Times New Roman" w:hAnsi="Times New Roman" w:eastAsia="宋体" w:cs="Times New Roman"/>
                <w:snapToGrid w:val="0"/>
                <w:color w:val="auto"/>
                <w:kern w:val="0"/>
                <w:sz w:val="24"/>
                <w:szCs w:val="24"/>
                <w:highlight w:val="none"/>
              </w:rPr>
              <w:t>》</w:t>
            </w:r>
            <w:r>
              <w:rPr>
                <w:rFonts w:hint="eastAsia" w:ascii="Times New Roman" w:hAnsi="Times New Roman" w:eastAsia="宋体" w:cs="Times New Roman"/>
                <w:color w:val="auto"/>
                <w:sz w:val="24"/>
                <w:szCs w:val="24"/>
                <w:lang w:val="en-US" w:eastAsia="zh-CN"/>
              </w:rPr>
              <w:t>（2021年修正）的要求。</w:t>
            </w:r>
          </w:p>
          <w:p w14:paraId="0CE7B0C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4、与</w:t>
            </w:r>
            <w:r>
              <w:rPr>
                <w:rFonts w:hint="default" w:ascii="Times New Roman" w:hAnsi="Times New Roman" w:eastAsia="宋体" w:cs="Times New Roman"/>
                <w:b/>
                <w:bCs/>
                <w:color w:val="auto"/>
                <w:sz w:val="24"/>
                <w:szCs w:val="24"/>
                <w:lang w:val="en-US" w:eastAsia="zh-CN"/>
              </w:rPr>
              <w:fldChar w:fldCharType="begin"/>
            </w:r>
            <w:r>
              <w:rPr>
                <w:rFonts w:hint="default" w:ascii="Times New Roman" w:hAnsi="Times New Roman" w:eastAsia="宋体" w:cs="Times New Roman"/>
                <w:b/>
                <w:bCs/>
                <w:color w:val="auto"/>
                <w:sz w:val="24"/>
                <w:szCs w:val="24"/>
                <w:lang w:val="en-US" w:eastAsia="zh-CN"/>
              </w:rPr>
              <w:instrText xml:space="preserve"> HYPERLINK "http://www.baidu.com/link?url=S0rDxjLsL1f5rc_Q2gB2VYonIup55VgMTq4MpKrdX17kSn2PfBQG8CCIPJuSeR-x4c6wt0RXVJlkVka9m4mmQhNszgQFLtSbgovuKtEh_CnlTva9YsWly-Rh5N-EMgyKOM-oaR-BtmhNChvAQwkkZP0EL4EkMBzEfMN9jL35iHjHIjRQH_SoNEsaoWNw13NAPkLX4nBXaQtcnMSNn4fpov2m5beHgN8WLNFYZkaPjEdXdAAz6UyRRpfEV27mPi-tLqcoEcdtwOqr5W4qGp4_Eq" \t "https://www.baidu.com/_blank" </w:instrText>
            </w:r>
            <w:r>
              <w:rPr>
                <w:rFonts w:hint="default" w:ascii="Times New Roman" w:hAnsi="Times New Roman" w:eastAsia="宋体" w:cs="Times New Roman"/>
                <w:b/>
                <w:bCs/>
                <w:color w:val="auto"/>
                <w:sz w:val="24"/>
                <w:szCs w:val="24"/>
                <w:lang w:val="en-US" w:eastAsia="zh-CN"/>
              </w:rPr>
              <w:fldChar w:fldCharType="separate"/>
            </w:r>
            <w:r>
              <w:rPr>
                <w:rFonts w:hint="default" w:ascii="Times New Roman" w:hAnsi="Times New Roman" w:eastAsia="宋体" w:cs="Times New Roman"/>
                <w:b/>
                <w:bCs/>
                <w:color w:val="auto"/>
                <w:sz w:val="24"/>
                <w:szCs w:val="24"/>
                <w:lang w:val="en-US" w:eastAsia="zh-CN"/>
              </w:rPr>
              <w:t>《食品生产通用卫生规范》</w:t>
            </w:r>
            <w:r>
              <w:rPr>
                <w:rFonts w:hint="default" w:ascii="Times New Roman" w:hAnsi="Times New Roman" w:eastAsia="宋体" w:cs="Times New Roman"/>
                <w:b/>
                <w:bCs/>
                <w:color w:val="auto"/>
                <w:sz w:val="24"/>
                <w:szCs w:val="24"/>
                <w:lang w:val="en-US" w:eastAsia="zh-CN"/>
              </w:rPr>
              <w:fldChar w:fldCharType="end"/>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GB</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14881</w:t>
            </w:r>
            <w:r>
              <w:rPr>
                <w:rFonts w:hint="eastAsia" w:ascii="Times New Roman" w:hAnsi="Times New Roman" w:eastAsia="宋体" w:cs="Times New Roman"/>
                <w:b/>
                <w:bCs/>
                <w:color w:val="auto"/>
                <w:sz w:val="24"/>
                <w:szCs w:val="24"/>
                <w:lang w:val="en-US" w:eastAsia="zh-CN"/>
              </w:rPr>
              <w:t>-2013</w:t>
            </w:r>
            <w:r>
              <w:rPr>
                <w:rFonts w:hint="eastAsia" w:cs="Times New Roman"/>
                <w:b/>
                <w:bCs/>
                <w:color w:val="auto"/>
                <w:sz w:val="24"/>
                <w:szCs w:val="24"/>
                <w:lang w:val="en-US" w:eastAsia="zh-CN"/>
              </w:rPr>
              <w:t>）的</w:t>
            </w:r>
            <w:r>
              <w:rPr>
                <w:rFonts w:hint="eastAsia" w:ascii="Times New Roman" w:hAnsi="Times New Roman" w:eastAsia="宋体" w:cs="Times New Roman"/>
                <w:b/>
                <w:bCs/>
                <w:color w:val="auto"/>
                <w:sz w:val="24"/>
                <w:szCs w:val="24"/>
                <w:lang w:val="en-US" w:eastAsia="zh-CN"/>
              </w:rPr>
              <w:t>相符性分析</w:t>
            </w:r>
          </w:p>
          <w:p w14:paraId="1323A1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http://www.baidu.com/link?url=S0rDxjLsL1f5rc_Q2gB2VYonIup55VgMTq4MpKrdX17kSn2PfBQG8CCIPJuSeR-x4c6wt0RXVJlkVka9m4mmQhNszgQFLtSbgovuKtEh_CnlTva9YsWly-Rh5N-EMgyKOM-oaR-BtmhNChvAQwkkZP0EL4EkMBzEfMN9jL35iHjHIjRQH_SoNEsaoWNw13NAPkLX4nBXaQtcnMSNn4fpov2m5beHgN8WLNFYZkaPjEdXdAAz6UyRRpfEV27mPi-tLqcoEcdtwOqr5W4qGp4_Eq" \t "https://www.baidu.com/_blank"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《食品生产通用卫生规范》</w:t>
            </w:r>
            <w:r>
              <w:rPr>
                <w:rFonts w:hint="default" w:ascii="Times New Roman" w:hAnsi="Times New Roman" w:eastAsia="宋体" w:cs="Times New Roman"/>
                <w:b w:val="0"/>
                <w:bCs w:val="0"/>
                <w:color w:val="auto"/>
                <w:sz w:val="24"/>
                <w:szCs w:val="24"/>
                <w:lang w:val="en-US" w:eastAsia="zh-CN"/>
              </w:rPr>
              <w:fldChar w:fldCharType="end"/>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GB</w:t>
            </w:r>
            <w:r>
              <w:rPr>
                <w:rFonts w:hint="eastAsia"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14881</w:t>
            </w:r>
            <w:r>
              <w:rPr>
                <w:rFonts w:hint="eastAsia" w:ascii="Times New Roman" w:hAnsi="Times New Roman" w:eastAsia="宋体" w:cs="Times New Roman"/>
                <w:b w:val="0"/>
                <w:bCs w:val="0"/>
                <w:color w:val="auto"/>
                <w:sz w:val="24"/>
                <w:szCs w:val="24"/>
                <w:lang w:val="en-US" w:eastAsia="zh-CN"/>
              </w:rPr>
              <w:t>-2013</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，本项</w:t>
            </w:r>
            <w:r>
              <w:rPr>
                <w:rFonts w:hint="eastAsia" w:ascii="Times New Roman" w:hAnsi="Times New Roman" w:eastAsia="宋体" w:cs="Times New Roman"/>
                <w:color w:val="auto"/>
                <w:sz w:val="24"/>
                <w:szCs w:val="24"/>
                <w:lang w:val="en-US" w:eastAsia="zh-CN"/>
              </w:rPr>
              <w:t>目涉及</w:t>
            </w:r>
            <w:r>
              <w:rPr>
                <w:rFonts w:hint="eastAsia" w:cs="Times New Roman"/>
                <w:color w:val="auto"/>
                <w:sz w:val="24"/>
                <w:szCs w:val="24"/>
                <w:lang w:val="en-US" w:eastAsia="zh-CN"/>
              </w:rPr>
              <w:t>内容</w:t>
            </w:r>
            <w:r>
              <w:rPr>
                <w:rFonts w:hint="eastAsia" w:ascii="Times New Roman" w:hAnsi="Times New Roman" w:eastAsia="宋体" w:cs="Times New Roman"/>
                <w:color w:val="auto"/>
                <w:sz w:val="24"/>
                <w:szCs w:val="24"/>
                <w:lang w:val="en-US" w:eastAsia="zh-CN"/>
              </w:rPr>
              <w:t>与该文相符性分析见表1-</w:t>
            </w:r>
            <w:r>
              <w:rPr>
                <w:rFonts w:hint="eastAsia" w:cs="Times New Roman"/>
                <w:color w:val="auto"/>
                <w:sz w:val="24"/>
                <w:szCs w:val="24"/>
                <w:lang w:val="en-US" w:eastAsia="zh-CN"/>
              </w:rPr>
              <w:t>10</w:t>
            </w:r>
            <w:r>
              <w:rPr>
                <w:rFonts w:hint="eastAsia" w:ascii="Times New Roman" w:hAnsi="Times New Roman" w:eastAsia="宋体" w:cs="Times New Roman"/>
                <w:color w:val="auto"/>
                <w:sz w:val="24"/>
                <w:szCs w:val="24"/>
                <w:lang w:val="en-US" w:eastAsia="zh-CN"/>
              </w:rPr>
              <w:t>。</w:t>
            </w:r>
          </w:p>
          <w:p w14:paraId="68059BD6">
            <w:pPr>
              <w:pStyle w:val="129"/>
              <w:bidi w:val="0"/>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表1-</w:t>
            </w:r>
            <w:r>
              <w:rPr>
                <w:rFonts w:hint="eastAsia" w:cs="Times New Roman"/>
                <w:b/>
                <w:bCs w:val="0"/>
                <w:color w:val="auto"/>
                <w:sz w:val="21"/>
                <w:szCs w:val="21"/>
                <w:highlight w:val="none"/>
                <w:lang w:val="en-US" w:eastAsia="zh-CN"/>
              </w:rPr>
              <w:t xml:space="preserve">10  </w:t>
            </w:r>
            <w:r>
              <w:rPr>
                <w:rFonts w:hint="default" w:ascii="Times New Roman" w:hAnsi="Times New Roman" w:cs="Times New Roman"/>
                <w:b/>
                <w:bCs w:val="0"/>
                <w:color w:val="auto"/>
                <w:sz w:val="21"/>
                <w:szCs w:val="21"/>
                <w:highlight w:val="none"/>
                <w:lang w:val="en-US" w:eastAsia="zh-CN"/>
              </w:rPr>
              <w:t>与</w:t>
            </w:r>
            <w:r>
              <w:rPr>
                <w:rFonts w:hint="default" w:ascii="Times New Roman" w:hAnsi="Times New Roman" w:eastAsia="宋体" w:cs="Times New Roman"/>
                <w:b/>
                <w:bCs/>
                <w:color w:val="auto"/>
                <w:sz w:val="21"/>
                <w:szCs w:val="21"/>
                <w:lang w:val="en-US" w:eastAsia="zh-CN"/>
              </w:rPr>
              <w:fldChar w:fldCharType="begin"/>
            </w:r>
            <w:r>
              <w:rPr>
                <w:rFonts w:hint="default" w:ascii="Times New Roman" w:hAnsi="Times New Roman" w:eastAsia="宋体" w:cs="Times New Roman"/>
                <w:b/>
                <w:bCs/>
                <w:color w:val="auto"/>
                <w:sz w:val="21"/>
                <w:szCs w:val="21"/>
                <w:lang w:val="en-US" w:eastAsia="zh-CN"/>
              </w:rPr>
              <w:instrText xml:space="preserve"> HYPERLINK "http://www.baidu.com/link?url=S0rDxjLsL1f5rc_Q2gB2VYonIup55VgMTq4MpKrdX17kSn2PfBQG8CCIPJuSeR-x4c6wt0RXVJlkVka9m4mmQhNszgQFLtSbgovuKtEh_CnlTva9YsWly-Rh5N-EMgyKOM-oaR-BtmhNChvAQwkkZP0EL4EkMBzEfMN9jL35iHjHIjRQH_SoNEsaoWNw13NAPkLX4nBXaQtcnMSNn4fpov2m5beHgN8WLNFYZkaPjEdXdAAz6UyRRpfEV27mPi-tLqcoEcdtwOqr5W4qGp4_Eq" \t "https://www.baidu.com/_blank" </w:instrText>
            </w:r>
            <w:r>
              <w:rPr>
                <w:rFonts w:hint="default" w:ascii="Times New Roman" w:hAnsi="Times New Roman" w:eastAsia="宋体" w:cs="Times New Roman"/>
                <w:b/>
                <w:bCs/>
                <w:color w:val="auto"/>
                <w:sz w:val="21"/>
                <w:szCs w:val="21"/>
                <w:lang w:val="en-US" w:eastAsia="zh-CN"/>
              </w:rPr>
              <w:fldChar w:fldCharType="separate"/>
            </w:r>
            <w:r>
              <w:rPr>
                <w:rFonts w:hint="default" w:ascii="Times New Roman" w:hAnsi="Times New Roman" w:eastAsia="宋体" w:cs="Times New Roman"/>
                <w:b/>
                <w:bCs/>
                <w:color w:val="auto"/>
                <w:sz w:val="21"/>
                <w:szCs w:val="21"/>
                <w:lang w:val="en-US" w:eastAsia="zh-CN"/>
              </w:rPr>
              <w:t>《食品生产通用卫生规范》</w:t>
            </w:r>
            <w:r>
              <w:rPr>
                <w:rFonts w:hint="default" w:ascii="Times New Roman" w:hAnsi="Times New Roman" w:eastAsia="宋体" w:cs="Times New Roman"/>
                <w:b/>
                <w:bCs/>
                <w:color w:val="auto"/>
                <w:sz w:val="21"/>
                <w:szCs w:val="21"/>
                <w:lang w:val="en-US" w:eastAsia="zh-CN"/>
              </w:rPr>
              <w:fldChar w:fldCharType="end"/>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GB</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14881</w:t>
            </w:r>
            <w:r>
              <w:rPr>
                <w:rFonts w:hint="eastAsia" w:ascii="Times New Roman" w:hAnsi="Times New Roman" w:eastAsia="宋体" w:cs="Times New Roman"/>
                <w:b/>
                <w:bCs/>
                <w:color w:val="auto"/>
                <w:sz w:val="21"/>
                <w:szCs w:val="21"/>
                <w:lang w:val="en-US" w:eastAsia="zh-CN"/>
              </w:rPr>
              <w:t>-2013</w:t>
            </w:r>
            <w:r>
              <w:rPr>
                <w:rFonts w:hint="eastAsia" w:cs="Times New Roman"/>
                <w:b/>
                <w:bCs/>
                <w:color w:val="auto"/>
                <w:sz w:val="21"/>
                <w:szCs w:val="21"/>
                <w:lang w:val="en-US" w:eastAsia="zh-CN"/>
              </w:rPr>
              <w:t>）</w:t>
            </w:r>
            <w:r>
              <w:rPr>
                <w:rFonts w:hint="default" w:ascii="Times New Roman" w:hAnsi="Times New Roman" w:cs="Times New Roman"/>
                <w:b/>
                <w:bCs w:val="0"/>
                <w:color w:val="auto"/>
                <w:sz w:val="21"/>
                <w:szCs w:val="21"/>
                <w:highlight w:val="none"/>
                <w:lang w:val="en-US" w:eastAsia="zh-CN"/>
              </w:rPr>
              <w:t>符合性分析</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0"/>
              <w:gridCol w:w="3767"/>
              <w:gridCol w:w="2983"/>
              <w:gridCol w:w="735"/>
            </w:tblGrid>
            <w:tr w14:paraId="5E1E5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5D225D79">
                  <w:pPr>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val="en-US" w:eastAsia="zh-CN"/>
                    </w:rPr>
                    <w:t>序号</w:t>
                  </w:r>
                </w:p>
              </w:tc>
              <w:tc>
                <w:tcPr>
                  <w:tcW w:w="3767" w:type="dxa"/>
                  <w:noWrap w:val="0"/>
                  <w:vAlign w:val="center"/>
                </w:tcPr>
                <w:p w14:paraId="545794E0">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相关要求</w:t>
                  </w:r>
                </w:p>
              </w:tc>
              <w:tc>
                <w:tcPr>
                  <w:tcW w:w="2983" w:type="dxa"/>
                  <w:noWrap w:val="0"/>
                  <w:vAlign w:val="center"/>
                </w:tcPr>
                <w:p w14:paraId="5D320DD1">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735" w:type="dxa"/>
                  <w:noWrap w:val="0"/>
                  <w:vAlign w:val="center"/>
                </w:tcPr>
                <w:p w14:paraId="147B73D9">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14:paraId="6902C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14177C4C">
                  <w:pPr>
                    <w:kinsoku w:val="0"/>
                    <w:overflowPunct w:val="0"/>
                    <w:autoSpaceDE w:val="0"/>
                    <w:autoSpaceDN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1</w:t>
                  </w:r>
                </w:p>
              </w:tc>
              <w:tc>
                <w:tcPr>
                  <w:tcW w:w="3767" w:type="dxa"/>
                  <w:noWrap w:val="0"/>
                  <w:vAlign w:val="center"/>
                </w:tcPr>
                <w:p w14:paraId="2E517556">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厂区不应选择对食品有显著污染的区域。如某地对食品安全和食品</w:t>
                  </w:r>
                </w:p>
                <w:p w14:paraId="057CEA22">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宜食用性存在明显的不利影响，且无法通过采取措施加以改善，应避免在该地址建厂。</w:t>
                  </w:r>
                </w:p>
                <w:p w14:paraId="541E70C7">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厂区不应选择有害废弃物以及粉尘、有害气体、放射性物质和其他扩散性污染源不能有效清除的地址。</w:t>
                  </w:r>
                </w:p>
                <w:p w14:paraId="0DE9AD76">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厂区不宜择易发生洪涝灾害的地区，难以避开时应设计必要的防范措施。</w:t>
                  </w:r>
                </w:p>
                <w:p w14:paraId="100358E4">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厂区周围不宜有虫害大量孳生的潜在场所，难以避开时应设计必要的防范措施</w:t>
                  </w:r>
                </w:p>
              </w:tc>
              <w:tc>
                <w:tcPr>
                  <w:tcW w:w="2983" w:type="dxa"/>
                  <w:noWrap w:val="0"/>
                  <w:vAlign w:val="center"/>
                </w:tcPr>
                <w:p w14:paraId="30590630">
                  <w:pPr>
                    <w:keepNext w:val="0"/>
                    <w:keepLines w:val="0"/>
                    <w:widowControl/>
                    <w:suppressLineNumbers w:val="0"/>
                    <w:jc w:val="left"/>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项目厂区东、西、北三面均为居民，南面企业主要从事各种类型服饰的制作、销售等以及体育用品销售、工艺美术品销售、皮箱销售等，以纺织等轻工业为主，</w:t>
                  </w:r>
                  <w:r>
                    <w:rPr>
                      <w:rFonts w:hint="default" w:ascii="Times New Roman" w:hAnsi="Times New Roman" w:eastAsia="宋体" w:cs="Times New Roman"/>
                      <w:b w:val="0"/>
                      <w:bCs w:val="0"/>
                      <w:color w:val="auto"/>
                      <w:lang w:val="en-US" w:eastAsia="zh-CN"/>
                    </w:rPr>
                    <w:t>且南面企业生产厂房与本项目厂界距离均大于卫生防护距离，对本项目影响较小。</w:t>
                  </w:r>
                </w:p>
                <w:p w14:paraId="291FD27B">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项目厂区不属于易发生洪涝灾害的地区，且周围不宜有虫害大量孳生的潜在场所</w:t>
                  </w:r>
                </w:p>
              </w:tc>
              <w:tc>
                <w:tcPr>
                  <w:tcW w:w="735" w:type="dxa"/>
                  <w:noWrap w:val="0"/>
                  <w:vAlign w:val="center"/>
                </w:tcPr>
                <w:p w14:paraId="1AE5D9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7D43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7AEF6832">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w:t>
                  </w:r>
                </w:p>
              </w:tc>
              <w:tc>
                <w:tcPr>
                  <w:tcW w:w="3767" w:type="dxa"/>
                  <w:noWrap w:val="0"/>
                  <w:vAlign w:val="center"/>
                </w:tcPr>
                <w:p w14:paraId="722CEA24">
                  <w:pPr>
                    <w:keepNext w:val="0"/>
                    <w:keepLines w:val="0"/>
                    <w:widowControl/>
                    <w:suppressLineNumbers w:val="0"/>
                    <w:jc w:val="left"/>
                    <w:rPr>
                      <w:rFonts w:hint="default" w:ascii="Times New Roman" w:hAnsi="Times New Roman" w:cs="Times New Roman"/>
                      <w:color w:val="auto"/>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应考虑环境给食品生产带来的潜在污染风险，并采取适当的措施将其降至最低水平。</w:t>
                  </w:r>
                </w:p>
                <w:p w14:paraId="6F452BD3">
                  <w:pPr>
                    <w:keepNext w:val="0"/>
                    <w:keepLines w:val="0"/>
                    <w:widowControl/>
                    <w:suppressLineNumbers w:val="0"/>
                    <w:jc w:val="left"/>
                    <w:rPr>
                      <w:rFonts w:hint="default" w:ascii="Times New Roman" w:hAnsi="Times New Roman" w:cs="Times New Roman"/>
                      <w:color w:val="auto"/>
                    </w:rPr>
                  </w:pP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厂区应合理布局，各功能区域划分明显，并有适当的分离或分隔措施，防止交叉污染。</w:t>
                  </w:r>
                </w:p>
                <w:p w14:paraId="1229B373">
                  <w:pPr>
                    <w:keepNext w:val="0"/>
                    <w:keepLines w:val="0"/>
                    <w:widowControl/>
                    <w:suppressLineNumbers w:val="0"/>
                    <w:jc w:val="left"/>
                    <w:rPr>
                      <w:rFonts w:hint="default" w:ascii="Times New Roman" w:hAnsi="Times New Roman" w:cs="Times New Roman"/>
                      <w:color w:val="auto"/>
                    </w:rPr>
                  </w:pP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黑体"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厂区内的道路应铺设混凝土、沥青、或者其他硬质材料；空地应采取必要措施，如铺设水泥、地砖或铺设草坪等方式，保持环境清洁，防止正常天气下扬尘和积水等现象的发生。</w:t>
                  </w:r>
                </w:p>
                <w:p w14:paraId="4D2116DE">
                  <w:pPr>
                    <w:keepNext w:val="0"/>
                    <w:keepLines w:val="0"/>
                    <w:widowControl/>
                    <w:suppressLineNumbers w:val="0"/>
                    <w:jc w:val="left"/>
                    <w:rPr>
                      <w:rFonts w:hint="default" w:ascii="Times New Roman" w:hAnsi="Times New Roman" w:cs="Times New Roman"/>
                      <w:color w:val="auto"/>
                    </w:rPr>
                  </w:pP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厂区绿化应与生产车间保持适当距离，植被应定期维护，以防止虫害的孳生。</w:t>
                  </w:r>
                </w:p>
                <w:p w14:paraId="33156F35">
                  <w:pPr>
                    <w:keepNext w:val="0"/>
                    <w:keepLines w:val="0"/>
                    <w:widowControl/>
                    <w:suppressLineNumbers w:val="0"/>
                    <w:jc w:val="left"/>
                    <w:rPr>
                      <w:rFonts w:hint="default" w:ascii="Times New Roman" w:hAnsi="Times New Roman" w:cs="Times New Roman"/>
                      <w:color w:val="auto"/>
                    </w:rPr>
                  </w:pPr>
                  <w:r>
                    <w:rPr>
                      <w:rFonts w:hint="eastAsia" w:ascii="Times New Roman" w:hAnsi="Times New Roman" w:eastAsia="宋体"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厂区应有适当的排水系统。</w:t>
                  </w:r>
                </w:p>
                <w:p w14:paraId="374CAEF5">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lang w:val="en-US" w:eastAsia="zh-CN" w:bidi="ar"/>
                    </w:rPr>
                    <w:t>（6）</w:t>
                  </w:r>
                  <w:r>
                    <w:rPr>
                      <w:rFonts w:hint="default" w:ascii="Times New Roman" w:hAnsi="Times New Roman" w:eastAsia="黑体"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宿舍、食堂、职工娱乐设施等生活区应与生产区保持适当距离或分隔。</w:t>
                  </w:r>
                </w:p>
              </w:tc>
              <w:tc>
                <w:tcPr>
                  <w:tcW w:w="2983" w:type="dxa"/>
                  <w:noWrap w:val="0"/>
                  <w:vAlign w:val="center"/>
                </w:tcPr>
                <w:p w14:paraId="3ADE257F">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0"/>
                      <w:szCs w:val="20"/>
                      <w:lang w:val="en-US" w:eastAsia="zh-CN" w:bidi="ar"/>
                    </w:rPr>
                    <w:t>项目厂区</w:t>
                  </w:r>
                  <w:r>
                    <w:rPr>
                      <w:rFonts w:hint="default" w:ascii="Times New Roman" w:hAnsi="Times New Roman" w:eastAsia="宋体" w:cs="Times New Roman"/>
                      <w:color w:val="auto"/>
                      <w:kern w:val="0"/>
                      <w:sz w:val="21"/>
                      <w:szCs w:val="21"/>
                      <w:lang w:val="en-US" w:eastAsia="zh-CN" w:bidi="ar"/>
                    </w:rPr>
                    <w:t>合理布局，各功能区域划分明显</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生活区应与生产区保持适当距离</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并有</w:t>
                  </w:r>
                  <w:r>
                    <w:rPr>
                      <w:rFonts w:hint="eastAsia" w:ascii="Times New Roman" w:hAnsi="Times New Roman" w:eastAsia="宋体" w:cs="Times New Roman"/>
                      <w:color w:val="auto"/>
                      <w:kern w:val="0"/>
                      <w:sz w:val="21"/>
                      <w:szCs w:val="21"/>
                      <w:lang w:val="en-US" w:eastAsia="zh-CN" w:bidi="ar"/>
                    </w:rPr>
                    <w:t>种植绿植等</w:t>
                  </w:r>
                  <w:r>
                    <w:rPr>
                      <w:rFonts w:hint="default" w:ascii="Times New Roman" w:hAnsi="Times New Roman" w:eastAsia="宋体" w:cs="Times New Roman"/>
                      <w:color w:val="auto"/>
                      <w:kern w:val="0"/>
                      <w:sz w:val="21"/>
                      <w:szCs w:val="21"/>
                      <w:lang w:val="en-US" w:eastAsia="zh-CN" w:bidi="ar"/>
                    </w:rPr>
                    <w:t>分隔措施</w:t>
                  </w:r>
                  <w:r>
                    <w:rPr>
                      <w:rFonts w:hint="eastAsia" w:ascii="Times New Roman" w:hAnsi="Times New Roman" w:eastAsia="宋体" w:cs="Times New Roman"/>
                      <w:color w:val="auto"/>
                      <w:kern w:val="0"/>
                      <w:sz w:val="21"/>
                      <w:szCs w:val="21"/>
                      <w:lang w:val="en-US" w:eastAsia="zh-CN" w:bidi="ar"/>
                    </w:rPr>
                    <w:t>。</w:t>
                  </w:r>
                </w:p>
                <w:p w14:paraId="4F640D63">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厂区内的道路</w:t>
                  </w:r>
                  <w:r>
                    <w:rPr>
                      <w:rFonts w:hint="eastAsia" w:ascii="Times New Roman" w:hAnsi="Times New Roman" w:eastAsia="宋体" w:cs="Times New Roman"/>
                      <w:color w:val="auto"/>
                      <w:kern w:val="0"/>
                      <w:sz w:val="21"/>
                      <w:szCs w:val="21"/>
                      <w:lang w:val="en-US" w:eastAsia="zh-CN" w:bidi="ar"/>
                    </w:rPr>
                    <w:t>已</w:t>
                  </w:r>
                  <w:r>
                    <w:rPr>
                      <w:rFonts w:hint="default" w:ascii="Times New Roman" w:hAnsi="Times New Roman" w:eastAsia="宋体" w:cs="Times New Roman"/>
                      <w:color w:val="auto"/>
                      <w:kern w:val="0"/>
                      <w:sz w:val="21"/>
                      <w:szCs w:val="21"/>
                      <w:lang w:val="en-US" w:eastAsia="zh-CN" w:bidi="ar"/>
                    </w:rPr>
                    <w:t>铺设混凝土、沥青、或者其他硬质材料</w:t>
                  </w:r>
                  <w:r>
                    <w:rPr>
                      <w:rFonts w:hint="eastAsia" w:ascii="Times New Roman" w:hAnsi="Times New Roman" w:eastAsia="宋体" w:cs="Times New Roman"/>
                      <w:color w:val="auto"/>
                      <w:kern w:val="0"/>
                      <w:sz w:val="21"/>
                      <w:szCs w:val="21"/>
                      <w:lang w:val="en-US" w:eastAsia="zh-CN" w:bidi="ar"/>
                    </w:rPr>
                    <w:t>。</w:t>
                  </w:r>
                </w:p>
                <w:p w14:paraId="41185ECF">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厂区绿化</w:t>
                  </w:r>
                  <w:r>
                    <w:rPr>
                      <w:rFonts w:hint="eastAsia" w:ascii="Times New Roman" w:hAnsi="Times New Roman" w:eastAsia="宋体" w:cs="Times New Roman"/>
                      <w:color w:val="auto"/>
                      <w:kern w:val="0"/>
                      <w:sz w:val="21"/>
                      <w:szCs w:val="21"/>
                      <w:lang w:val="en-US" w:eastAsia="zh-CN" w:bidi="ar"/>
                    </w:rPr>
                    <w:t>均</w:t>
                  </w:r>
                  <w:r>
                    <w:rPr>
                      <w:rFonts w:hint="default" w:ascii="Times New Roman" w:hAnsi="Times New Roman" w:eastAsia="宋体" w:cs="Times New Roman"/>
                      <w:color w:val="auto"/>
                      <w:kern w:val="0"/>
                      <w:sz w:val="21"/>
                      <w:szCs w:val="21"/>
                      <w:lang w:val="en-US" w:eastAsia="zh-CN" w:bidi="ar"/>
                    </w:rPr>
                    <w:t>与生产车间保持适当距离，植被</w:t>
                  </w:r>
                  <w:r>
                    <w:rPr>
                      <w:rFonts w:hint="eastAsia" w:ascii="Times New Roman" w:hAnsi="Times New Roman" w:eastAsia="宋体" w:cs="Times New Roman"/>
                      <w:color w:val="auto"/>
                      <w:kern w:val="0"/>
                      <w:sz w:val="21"/>
                      <w:szCs w:val="21"/>
                      <w:lang w:val="en-US" w:eastAsia="zh-CN" w:bidi="ar"/>
                    </w:rPr>
                    <w:t>已安排人员</w:t>
                  </w:r>
                  <w:r>
                    <w:rPr>
                      <w:rFonts w:hint="default" w:ascii="Times New Roman" w:hAnsi="Times New Roman" w:eastAsia="宋体" w:cs="Times New Roman"/>
                      <w:color w:val="auto"/>
                      <w:kern w:val="0"/>
                      <w:sz w:val="21"/>
                      <w:szCs w:val="21"/>
                      <w:lang w:val="en-US" w:eastAsia="zh-CN" w:bidi="ar"/>
                    </w:rPr>
                    <w:t>定期维护</w:t>
                  </w:r>
                  <w:r>
                    <w:rPr>
                      <w:rFonts w:hint="eastAsia" w:ascii="Times New Roman" w:hAnsi="Times New Roman" w:eastAsia="宋体" w:cs="Times New Roman"/>
                      <w:color w:val="auto"/>
                      <w:kern w:val="0"/>
                      <w:sz w:val="21"/>
                      <w:szCs w:val="21"/>
                      <w:lang w:val="en-US" w:eastAsia="zh-CN" w:bidi="ar"/>
                    </w:rPr>
                    <w:t>。</w:t>
                  </w:r>
                </w:p>
                <w:p w14:paraId="4891E2EE">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（4）厂区已建设完善的废水收集措施以及处理措施。</w:t>
                  </w:r>
                </w:p>
              </w:tc>
              <w:tc>
                <w:tcPr>
                  <w:tcW w:w="735" w:type="dxa"/>
                  <w:noWrap w:val="0"/>
                  <w:vAlign w:val="center"/>
                </w:tcPr>
                <w:p w14:paraId="5CA8A3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88C4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59331B20">
                  <w:pPr>
                    <w:kinsoku w:val="0"/>
                    <w:overflowPunct w:val="0"/>
                    <w:autoSpaceDE w:val="0"/>
                    <w:autoSpaceDN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3</w:t>
                  </w:r>
                </w:p>
              </w:tc>
              <w:tc>
                <w:tcPr>
                  <w:tcW w:w="3767" w:type="dxa"/>
                  <w:noWrap w:val="0"/>
                  <w:vAlign w:val="center"/>
                </w:tcPr>
                <w:p w14:paraId="14FF85B8">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厂房和车间的内部设计和布局应满足食品卫生操作要求，避免食品生产中发生交叉污染。</w:t>
                  </w:r>
                </w:p>
                <w:p w14:paraId="1EAF4EA3">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黑体"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厂房和车间的设计应根据生产工艺合理布局，预防和降低产品受污染的风险。</w:t>
                  </w:r>
                </w:p>
                <w:p w14:paraId="798D9B26">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厂房和车间应根据产品特点、生产工艺、生产特性以及生产过程对清洁程度的要求合理划分作业区，并采取有效分离或分隔。如：通常可划分为清洁作业区、准清洁作业区和一般作业区；或清洁作业区和一般作业区等。一般作业区应与其他作业区域分隔。</w:t>
                  </w:r>
                </w:p>
                <w:p w14:paraId="75141E0A">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黑体"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厂房内设置的检验室应与生产区域分隔。</w:t>
                  </w:r>
                </w:p>
                <w:p w14:paraId="12ED9913">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厂房的面积和空间应与生产能力相适应，便于设备安置、清洁消毒、物料存储及人员操作。</w:t>
                  </w:r>
                </w:p>
              </w:tc>
              <w:tc>
                <w:tcPr>
                  <w:tcW w:w="2983" w:type="dxa"/>
                  <w:noWrap w:val="0"/>
                  <w:vAlign w:val="center"/>
                </w:tcPr>
                <w:p w14:paraId="1F48D5E0">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color w:val="auto"/>
                      <w:sz w:val="21"/>
                      <w:szCs w:val="21"/>
                      <w:highlight w:val="none"/>
                      <w:lang w:val="en-US" w:eastAsia="zh-CN"/>
                    </w:rPr>
                    <w:t>项目厂房和车间</w:t>
                  </w:r>
                  <w:r>
                    <w:rPr>
                      <w:rFonts w:hint="default" w:ascii="Times New Roman" w:hAnsi="Times New Roman" w:eastAsia="宋体" w:cs="Times New Roman"/>
                      <w:color w:val="auto"/>
                      <w:kern w:val="0"/>
                      <w:sz w:val="21"/>
                      <w:szCs w:val="21"/>
                      <w:lang w:val="en-US" w:eastAsia="zh-CN" w:bidi="ar"/>
                    </w:rPr>
                    <w:t>根据产品特点、生产工艺、生产特性以及生产过程对清洁程度的要求合理划分作业区，并采取有效分离或分隔</w:t>
                  </w:r>
                  <w:r>
                    <w:rPr>
                      <w:rFonts w:hint="eastAsia" w:ascii="Times New Roman" w:hAnsi="Times New Roman" w:eastAsia="宋体" w:cs="Times New Roman"/>
                      <w:color w:val="auto"/>
                      <w:sz w:val="21"/>
                      <w:szCs w:val="21"/>
                      <w:highlight w:val="none"/>
                      <w:lang w:val="en-US" w:eastAsia="zh-CN"/>
                    </w:rPr>
                    <w:t>，满足于</w:t>
                  </w:r>
                  <w:r>
                    <w:rPr>
                      <w:rFonts w:hint="default" w:ascii="Times New Roman" w:hAnsi="Times New Roman" w:eastAsia="宋体" w:cs="Times New Roman"/>
                      <w:color w:val="auto"/>
                      <w:kern w:val="0"/>
                      <w:sz w:val="21"/>
                      <w:szCs w:val="21"/>
                      <w:lang w:val="en-US" w:eastAsia="zh-CN" w:bidi="ar"/>
                    </w:rPr>
                    <w:t>食品卫生操作要求</w:t>
                  </w:r>
                  <w:r>
                    <w:rPr>
                      <w:rFonts w:hint="eastAsia" w:ascii="Times New Roman" w:hAnsi="Times New Roman" w:eastAsia="宋体" w:cs="Times New Roman"/>
                      <w:color w:val="auto"/>
                      <w:kern w:val="0"/>
                      <w:sz w:val="21"/>
                      <w:szCs w:val="21"/>
                      <w:lang w:val="en-US" w:eastAsia="zh-CN" w:bidi="ar"/>
                    </w:rPr>
                    <w:t>。</w:t>
                  </w:r>
                </w:p>
              </w:tc>
              <w:tc>
                <w:tcPr>
                  <w:tcW w:w="735" w:type="dxa"/>
                  <w:noWrap w:val="0"/>
                  <w:vAlign w:val="center"/>
                </w:tcPr>
                <w:p w14:paraId="2E1892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268F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108E3B2D">
                  <w:pPr>
                    <w:keepNext w:val="0"/>
                    <w:keepLines w:val="0"/>
                    <w:widowControl/>
                    <w:suppressLineNumbers w:val="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3767" w:type="dxa"/>
                  <w:noWrap w:val="0"/>
                  <w:vAlign w:val="center"/>
                </w:tcPr>
                <w:p w14:paraId="128FFA2D">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（1）排水系统的设计和建造应保证排水畅通、便于清洁维护；应适应食品生产的需要，保证食品及生产、清洁用水不受污染。</w:t>
                  </w:r>
                </w:p>
                <w:p w14:paraId="3F987877">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 排水系统入口应安装带水封的地漏等装置，以防止固体废弃物进入及浊气逸出。</w:t>
                  </w:r>
                </w:p>
                <w:p w14:paraId="5F040182">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（3）排水系统出口应有适当措施以降低虫害风险。</w:t>
                  </w:r>
                </w:p>
                <w:p w14:paraId="018AEE52">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（4）室内排水的流向应由清洁程度要求高的区域流向清洁程度要求低的区域，且应有防止逆流的设计。</w:t>
                  </w:r>
                </w:p>
                <w:p w14:paraId="62ADF71F">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 污水在排放前应经适当方式处理，以符合国家污水排放的相关规定。</w:t>
                  </w:r>
                </w:p>
              </w:tc>
              <w:tc>
                <w:tcPr>
                  <w:tcW w:w="2983" w:type="dxa"/>
                  <w:noWrap w:val="0"/>
                  <w:vAlign w:val="center"/>
                </w:tcPr>
                <w:p w14:paraId="3CB3514A">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（1）项目已建设完善的排水系统，保证排水畅通、便于清洁维护。</w:t>
                  </w:r>
                </w:p>
                <w:p w14:paraId="71C9A6D0">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（2）厂区自建污水处理站对生活污水和生产废水进行处理达标后排放。</w:t>
                  </w:r>
                </w:p>
              </w:tc>
              <w:tc>
                <w:tcPr>
                  <w:tcW w:w="735" w:type="dxa"/>
                  <w:noWrap w:val="0"/>
                  <w:vAlign w:val="center"/>
                </w:tcPr>
                <w:p w14:paraId="6CE503A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5A5A4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0" w:type="dxa"/>
                  <w:noWrap w:val="0"/>
                  <w:tcMar>
                    <w:left w:w="28" w:type="dxa"/>
                    <w:right w:w="28" w:type="dxa"/>
                  </w:tcMar>
                  <w:vAlign w:val="center"/>
                </w:tcPr>
                <w:p w14:paraId="79BA9BC0">
                  <w:pPr>
                    <w:keepNext w:val="0"/>
                    <w:keepLines w:val="0"/>
                    <w:widowControl/>
                    <w:suppressLineNumbers w:val="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3767" w:type="dxa"/>
                  <w:noWrap w:val="0"/>
                  <w:vAlign w:val="center"/>
                </w:tcPr>
                <w:p w14:paraId="566D79BB">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（1）应具有与所生产产品的数量、贮存要求相适应的仓储设施。</w:t>
                  </w:r>
                </w:p>
                <w:p w14:paraId="3C0A3823">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（2）仓库应以无毒、坚固的材料建成；仓库地面应平整，便于通风换气。仓库的设计应能易于维护和清洁，防止虫害藏匿，并应有防止虫害侵入的装置。</w:t>
                  </w:r>
                </w:p>
                <w:p w14:paraId="0814DDBB">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（3）原料、半成品、成品、包装材料等应依据性质的不同分设贮存场所、或分区域码放，并有明确标识，防止交叉污染。必要时仓库应设有温、湿度控制设施。</w:t>
                  </w:r>
                </w:p>
                <w:p w14:paraId="63544513">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（4）贮存物品应与墙壁、地面保持适当距离，以利于空气流通及物品搬运。</w:t>
                  </w:r>
                </w:p>
                <w:p w14:paraId="7538B5B8">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（5）清洁剂、消毒剂、杀虫剂、润滑剂、燃料等物质应分别安全包装，明确标识，并应与原料、半成品、成品、包装材料等分隔放置。</w:t>
                  </w:r>
                </w:p>
              </w:tc>
              <w:tc>
                <w:tcPr>
                  <w:tcW w:w="2983" w:type="dxa"/>
                  <w:noWrap w:val="0"/>
                  <w:vAlign w:val="center"/>
                </w:tcPr>
                <w:p w14:paraId="4DA14091">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（1）项目已根据生产产品的数量、贮存要求建设相适应的仓储设施。</w:t>
                  </w:r>
                </w:p>
                <w:p w14:paraId="6CDDA966">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（2）原料、半成品、成品、包装材料等应依据性质的不同分设贮存场所、或分区域码放，并有明确标识，防止交叉污染。必要时仓库应设有温、湿度控制设施。</w:t>
                  </w:r>
                </w:p>
                <w:p w14:paraId="3A890439">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（3）项目所用原料、半成品、成品均分别安全包装，明确标识，并分隔放置。</w:t>
                  </w:r>
                </w:p>
              </w:tc>
              <w:tc>
                <w:tcPr>
                  <w:tcW w:w="735" w:type="dxa"/>
                  <w:noWrap w:val="0"/>
                  <w:vAlign w:val="center"/>
                </w:tcPr>
                <w:p w14:paraId="7B6985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43CD0E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lang w:val="en-US" w:eastAsia="zh-CN"/>
              </w:rPr>
            </w:pPr>
            <w:r>
              <w:rPr>
                <w:rFonts w:hint="eastAsia" w:ascii="Times New Roman" w:hAnsi="Times New Roman" w:eastAsia="宋体" w:cs="Times New Roman"/>
                <w:color w:val="auto"/>
                <w:sz w:val="24"/>
                <w:szCs w:val="24"/>
                <w:lang w:val="en-US" w:eastAsia="zh-CN"/>
              </w:rPr>
              <w:t>从上表分析可知，本项目符合</w:t>
            </w: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http://www.baidu.com/link?url=S0rDxjLsL1f5rc_Q2gB2VYonIup55VgMTq4MpKrdX17kSn2PfBQG8CCIPJuSeR-x4c6wt0RXVJlkVka9m4mmQhNszgQFLtSbgovuKtEh_CnlTva9YsWly-Rh5N-EMgyKOM-oaR-BtmhNChvAQwkkZP0EL4EkMBzEfMN9jL35iHjHIjRQH_SoNEsaoWNw13NAPkLX4nBXaQtcnMSNn4fpov2m5beHgN8WLNFYZkaPjEdXdAAz6UyRRpfEV27mPi-tLqcoEcdtwOqr5W4qGp4_Eq" \t "https://www.baidu.com/_blank"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《食品生产通用卫生规范》</w:t>
            </w:r>
            <w:r>
              <w:rPr>
                <w:rFonts w:hint="default" w:ascii="Times New Roman" w:hAnsi="Times New Roman" w:eastAsia="宋体" w:cs="Times New Roman"/>
                <w:b w:val="0"/>
                <w:bCs w:val="0"/>
                <w:color w:val="auto"/>
                <w:sz w:val="24"/>
                <w:szCs w:val="24"/>
                <w:lang w:val="en-US" w:eastAsia="zh-CN"/>
              </w:rPr>
              <w:fldChar w:fldCharType="end"/>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GB</w:t>
            </w:r>
            <w:r>
              <w:rPr>
                <w:rFonts w:hint="eastAsia"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14881</w:t>
            </w:r>
            <w:r>
              <w:rPr>
                <w:rFonts w:hint="eastAsia" w:ascii="Times New Roman" w:hAnsi="Times New Roman" w:eastAsia="宋体" w:cs="Times New Roman"/>
                <w:b w:val="0"/>
                <w:bCs w:val="0"/>
                <w:color w:val="auto"/>
                <w:sz w:val="24"/>
                <w:szCs w:val="24"/>
                <w:lang w:val="en-US" w:eastAsia="zh-CN"/>
              </w:rPr>
              <w:t>-2013</w:t>
            </w:r>
            <w:r>
              <w:rPr>
                <w:rFonts w:hint="eastAsia" w:cs="Times New Roman"/>
                <w:b w:val="0"/>
                <w:bCs w:val="0"/>
                <w:color w:val="auto"/>
                <w:sz w:val="24"/>
                <w:szCs w:val="24"/>
                <w:lang w:val="en-US" w:eastAsia="zh-CN"/>
              </w:rPr>
              <w:t>）</w:t>
            </w:r>
            <w:r>
              <w:rPr>
                <w:rFonts w:hint="eastAsia" w:ascii="Times New Roman" w:hAnsi="Times New Roman" w:eastAsia="宋体" w:cs="Times New Roman"/>
                <w:color w:val="auto"/>
                <w:sz w:val="24"/>
                <w:szCs w:val="24"/>
                <w:lang w:val="en-US" w:eastAsia="zh-CN"/>
              </w:rPr>
              <w:t>的要求。</w:t>
            </w:r>
          </w:p>
          <w:p w14:paraId="50C1307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与《赣州市人民政府办公室关于印发赣州市推进预制菜产业发展三年行动方案（2023—2025年）的通知》（赣市府办字[2022]115号）相符性分析</w:t>
            </w:r>
          </w:p>
          <w:p w14:paraId="1DD07B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根据《赣州市人民政府办公室关于印发赣州市推进预制菜产业发展三年行动方案（2023—2025年）的通知》（赣市府办字[2022]115号）</w:t>
            </w:r>
            <w:r>
              <w:rPr>
                <w:rFonts w:hint="eastAsia" w:ascii="Times New Roman" w:hAnsi="Times New Roman" w:eastAsia="宋体" w:cs="Times New Roman"/>
                <w:color w:val="auto"/>
                <w:sz w:val="24"/>
                <w:szCs w:val="24"/>
                <w:lang w:val="en-US" w:eastAsia="zh-CN"/>
              </w:rPr>
              <w:t>。</w:t>
            </w:r>
          </w:p>
          <w:p w14:paraId="66CBCA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lang w:val="en-US" w:eastAsia="zh-CN"/>
              </w:rPr>
            </w:pPr>
            <w:r>
              <w:rPr>
                <w:rFonts w:hint="default"/>
                <w:sz w:val="24"/>
                <w:szCs w:val="24"/>
                <w:lang w:val="en-US" w:eastAsia="zh-CN"/>
              </w:rPr>
              <w:t>一、产业布局和发展目标</w:t>
            </w:r>
          </w:p>
          <w:p w14:paraId="710B97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lang w:val="en-US" w:eastAsia="zh-CN"/>
              </w:rPr>
            </w:pPr>
            <w:r>
              <w:rPr>
                <w:rFonts w:hint="default"/>
                <w:sz w:val="24"/>
                <w:szCs w:val="24"/>
                <w:lang w:val="en-US" w:eastAsia="zh-CN"/>
              </w:rPr>
              <w:t>依托农业资源禀赋和产业发展基础，以打造客家预制菜产业集聚区为主线，发挥绿色、有机、富硒的特色农产品优势，坚持政府搭台、市场主导，加快链条延伸、工艺攻关、品牌培育、市场开拓，传承弘扬客家餐饮文化，抢占预制菜产业新赛道，推动创业就业、消费升级和乡村产业振兴。加快形成“一区一圈”，即宁都县为核心区，瑞金、兴国、于都、石城等县（市）为核心圈，辐射全市其它县（市、区）的预制菜发展空间布局，全力打造南方预制菜产业名城、世界客家菜预制加工基地。</w:t>
            </w:r>
          </w:p>
          <w:p w14:paraId="2C4D4D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lang w:val="en-US" w:eastAsia="zh-CN"/>
              </w:rPr>
            </w:pPr>
            <w:r>
              <w:rPr>
                <w:rFonts w:hint="default"/>
                <w:sz w:val="24"/>
                <w:szCs w:val="24"/>
                <w:lang w:val="en-US" w:eastAsia="zh-CN"/>
              </w:rPr>
              <w:t>二、重点任务</w:t>
            </w:r>
          </w:p>
          <w:p w14:paraId="364019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lang w:val="en-US" w:eastAsia="zh-CN"/>
              </w:rPr>
            </w:pPr>
            <w:r>
              <w:rPr>
                <w:rFonts w:hint="default"/>
                <w:sz w:val="24"/>
                <w:szCs w:val="24"/>
                <w:lang w:val="en-US" w:eastAsia="zh-CN"/>
              </w:rPr>
              <w:t>（一）大力培育市场主体</w:t>
            </w:r>
          </w:p>
          <w:p w14:paraId="1F466F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lang w:val="en-US" w:eastAsia="zh-CN"/>
              </w:rPr>
            </w:pPr>
            <w:r>
              <w:rPr>
                <w:rFonts w:hint="default"/>
                <w:sz w:val="24"/>
                <w:szCs w:val="24"/>
                <w:lang w:val="en-US" w:eastAsia="zh-CN"/>
              </w:rPr>
              <w:t>1.壮大龙头企业。引导现有农副产品加工、食品加工、畜禽屠宰和餐饮等企业发挥原料、技术、人才、设备、渠道等优势，积极延伸发展预制菜加工新业态，培育打造一批“专精特新”企业。分档建立预制菜企业培育库，加强预制菜小微企业培育扶持，构建个转企、小升规、规改股、股上市梯次发展格局。支持市供销集团、宁都晟阳、瑞金聚道、瑞金德保、兴国美园、兴国百丈泉、石城大由大等企业做大做强。建立动态赛马机制，组织开展预制菜龙头企业评选，推动企业提升品质、品牌。</w:t>
            </w:r>
          </w:p>
          <w:p w14:paraId="0F31DF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lang w:val="en-US" w:eastAsia="zh-CN"/>
              </w:rPr>
            </w:pPr>
            <w:r>
              <w:rPr>
                <w:rFonts w:hint="default"/>
                <w:sz w:val="24"/>
                <w:szCs w:val="24"/>
                <w:lang w:val="en-US" w:eastAsia="zh-CN"/>
              </w:rPr>
              <w:t>本项目位于宁都县，符合《赣州市推进预制菜产业发展三年行动方案（2023—2025年）》产业布局核心区；本项目建设单位属于《赣州市推进预制菜产业发展三年行动方案（2023 —2025年）》大力培育的市场主体——宁都晟阳。因此，本项目与《赣州市人民政府办公室关于印发赣州市推进预制菜产业发展三年行动方案（2023—2025年）的通知》（赣市府办字[2022]115号）相符。</w:t>
            </w:r>
          </w:p>
        </w:tc>
      </w:tr>
    </w:tbl>
    <w:p w14:paraId="7EA12B29">
      <w:pPr>
        <w:spacing w:line="360" w:lineRule="auto"/>
        <w:outlineLvl w:val="0"/>
        <w:rPr>
          <w:rFonts w:eastAsia="黑体"/>
          <w:color w:val="auto"/>
          <w:sz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F3E8350">
      <w:pPr>
        <w:pStyle w:val="29"/>
        <w:jc w:val="center"/>
        <w:outlineLvl w:val="0"/>
        <w:rPr>
          <w:rFonts w:ascii="黑体" w:hAnsi="黑体" w:eastAsia="黑体"/>
          <w:b/>
          <w:bCs/>
          <w:snapToGrid w:val="0"/>
          <w:color w:val="auto"/>
          <w:sz w:val="30"/>
          <w:szCs w:val="30"/>
          <w:highlight w:val="none"/>
        </w:rPr>
      </w:pPr>
      <w:bookmarkStart w:id="3" w:name="_Toc24469"/>
      <w:r>
        <w:rPr>
          <w:rFonts w:hint="eastAsia" w:ascii="黑体" w:hAnsi="黑体" w:eastAsia="黑体"/>
          <w:b/>
          <w:bCs/>
          <w:snapToGrid w:val="0"/>
          <w:color w:val="auto"/>
          <w:sz w:val="30"/>
          <w:szCs w:val="30"/>
          <w:highlight w:val="none"/>
        </w:rPr>
        <w:t>二、建设项目工程分析</w:t>
      </w:r>
      <w:bookmarkEnd w:id="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0"/>
        <w:gridCol w:w="8414"/>
      </w:tblGrid>
      <w:tr w14:paraId="593F7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dxa"/>
            <w:noWrap w:val="0"/>
            <w:vAlign w:val="center"/>
          </w:tcPr>
          <w:p w14:paraId="7DBA70A9">
            <w:pPr>
              <w:pStyle w:val="29"/>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rPr>
              <w:t>建设内容</w:t>
            </w:r>
          </w:p>
        </w:tc>
        <w:tc>
          <w:tcPr>
            <w:tcW w:w="8414" w:type="dxa"/>
            <w:noWrap w:val="0"/>
            <w:vAlign w:val="top"/>
          </w:tcPr>
          <w:p w14:paraId="236C2D73">
            <w:pPr>
              <w:pStyle w:val="124"/>
              <w:bidi w:val="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（一）项目背景</w:t>
            </w:r>
          </w:p>
          <w:p w14:paraId="14DDE6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kern w:val="0"/>
                <w:sz w:val="24"/>
                <w:szCs w:val="24"/>
                <w:lang w:val="en-US" w:eastAsia="zh-CN" w:bidi="ar"/>
              </w:rPr>
              <w:t>晟阳</w:t>
            </w:r>
            <w:r>
              <w:rPr>
                <w:rFonts w:hint="eastAsia" w:ascii="Times New Roman" w:hAnsi="Times New Roman" w:eastAsia="宋体" w:cs="Times New Roman"/>
                <w:color w:val="000000"/>
                <w:kern w:val="0"/>
                <w:sz w:val="24"/>
                <w:szCs w:val="24"/>
                <w:lang w:val="en-US" w:eastAsia="zh-CN" w:bidi="ar"/>
              </w:rPr>
              <w:t>食品集团有限公司</w:t>
            </w:r>
            <w:r>
              <w:rPr>
                <w:rFonts w:hint="eastAsia" w:cs="Times New Roman"/>
                <w:sz w:val="24"/>
                <w:szCs w:val="24"/>
                <w:lang w:val="en-US" w:eastAsia="zh-CN"/>
              </w:rPr>
              <w:t>（原名为：</w:t>
            </w:r>
            <w:r>
              <w:rPr>
                <w:rFonts w:hint="default" w:ascii="Times New Roman" w:hAnsi="Times New Roman" w:eastAsia="宋体" w:cs="Times New Roman"/>
                <w:color w:val="000000"/>
                <w:kern w:val="0"/>
                <w:sz w:val="24"/>
                <w:szCs w:val="24"/>
                <w:lang w:val="en-US" w:eastAsia="zh-CN" w:bidi="ar"/>
              </w:rPr>
              <w:t>赣州市晟阳餐饮</w:t>
            </w:r>
            <w:r>
              <w:rPr>
                <w:rFonts w:hint="eastAsia" w:ascii="Times New Roman" w:hAnsi="Times New Roman" w:eastAsia="宋体" w:cs="Times New Roman"/>
                <w:color w:val="000000"/>
                <w:kern w:val="0"/>
                <w:sz w:val="24"/>
                <w:szCs w:val="24"/>
                <w:lang w:val="en-US" w:eastAsia="zh-CN" w:bidi="ar"/>
              </w:rPr>
              <w:t>管理有限</w:t>
            </w:r>
            <w:r>
              <w:rPr>
                <w:rFonts w:hint="default" w:ascii="Times New Roman" w:hAnsi="Times New Roman" w:eastAsia="宋体" w:cs="Times New Roman"/>
                <w:color w:val="000000"/>
                <w:kern w:val="0"/>
                <w:sz w:val="24"/>
                <w:szCs w:val="24"/>
                <w:lang w:val="en-US" w:eastAsia="zh-CN" w:bidi="ar"/>
              </w:rPr>
              <w:t>公司</w:t>
            </w:r>
            <w:r>
              <w:rPr>
                <w:rFonts w:hint="eastAsia" w:cs="Times New Roman"/>
                <w:sz w:val="24"/>
                <w:szCs w:val="24"/>
                <w:lang w:val="en-US" w:eastAsia="zh-CN"/>
              </w:rPr>
              <w:t>）</w:t>
            </w:r>
            <w:r>
              <w:rPr>
                <w:rFonts w:hint="default" w:ascii="Times New Roman" w:hAnsi="Times New Roman" w:eastAsia="宋体" w:cs="Times New Roman"/>
                <w:color w:val="000000"/>
                <w:kern w:val="0"/>
                <w:sz w:val="24"/>
                <w:szCs w:val="24"/>
                <w:lang w:val="en-US" w:eastAsia="zh-CN" w:bidi="ar"/>
              </w:rPr>
              <w:t>江西省赣州市宁都县工业园区易富北路北侧宁都大道东侧</w:t>
            </w:r>
            <w:r>
              <w:rPr>
                <w:rFonts w:hint="eastAsia" w:ascii="Times New Roman" w:hAnsi="Times New Roman" w:eastAsia="宋体" w:cs="Times New Roman"/>
                <w:color w:val="000000"/>
                <w:sz w:val="24"/>
                <w:szCs w:val="24"/>
                <w:highlight w:val="none"/>
                <w:shd w:val="clear" w:color="auto" w:fill="FFFFFF"/>
                <w:lang w:eastAsia="zh-CN"/>
              </w:rPr>
              <w:t>，</w:t>
            </w:r>
            <w:r>
              <w:rPr>
                <w:rFonts w:hint="eastAsia" w:ascii="Times New Roman" w:hAnsi="Times New Roman" w:cs="Times New Roman"/>
                <w:color w:val="000000"/>
                <w:sz w:val="24"/>
                <w:szCs w:val="24"/>
                <w:highlight w:val="none"/>
                <w:lang w:val="en-US" w:eastAsia="zh-CN"/>
              </w:rPr>
              <w:t>建设“</w:t>
            </w:r>
            <w:r>
              <w:rPr>
                <w:rFonts w:hint="default" w:ascii="Times New Roman" w:hAnsi="Times New Roman" w:eastAsia="宋体" w:cs="Times New Roman"/>
                <w:color w:val="000000"/>
                <w:kern w:val="0"/>
                <w:sz w:val="24"/>
                <w:szCs w:val="24"/>
                <w:lang w:val="en-US" w:eastAsia="zh-CN" w:bidi="ar"/>
              </w:rPr>
              <w:t>赣州市晟阳餐饮公司年产10万吨宁都预制菜及工业化配餐服务项目</w:t>
            </w:r>
            <w:r>
              <w:rPr>
                <w:rFonts w:hint="eastAsia" w:ascii="Times New Roman" w:hAnsi="Times New Roman" w:eastAsia="宋体" w:cs="Times New Roman"/>
                <w:color w:val="000000"/>
                <w:kern w:val="0"/>
                <w:sz w:val="24"/>
                <w:szCs w:val="24"/>
                <w:lang w:val="en-US" w:eastAsia="zh-CN" w:bidi="ar"/>
              </w:rPr>
              <w:t>（变更）</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color w:val="000000"/>
                <w:sz w:val="24"/>
                <w:szCs w:val="24"/>
                <w:highlight w:val="none"/>
                <w:lang w:val="en-US" w:eastAsia="zh-CN"/>
              </w:rPr>
              <w:t>”</w:t>
            </w:r>
            <w:r>
              <w:rPr>
                <w:rFonts w:hint="eastAsia" w:cs="Times New Roman"/>
                <w:color w:val="000000"/>
                <w:sz w:val="24"/>
                <w:szCs w:val="24"/>
                <w:highlight w:val="none"/>
                <w:lang w:val="en-US" w:eastAsia="zh-CN"/>
              </w:rPr>
              <w:t>，</w:t>
            </w:r>
            <w:r>
              <w:rPr>
                <w:rFonts w:hint="eastAsia" w:ascii="Times New Roman" w:hAnsi="Times New Roman" w:cs="Times New Roman"/>
                <w:color w:val="000000"/>
                <w:sz w:val="24"/>
                <w:szCs w:val="24"/>
                <w:highlight w:val="none"/>
                <w:lang w:val="en-US" w:eastAsia="zh-CN"/>
              </w:rPr>
              <w:t>项目总投资</w:t>
            </w:r>
            <w:r>
              <w:rPr>
                <w:rFonts w:hint="eastAsia" w:ascii="Times New Roman" w:hAnsi="Times New Roman" w:cs="Times New Roman"/>
                <w:sz w:val="24"/>
                <w:szCs w:val="24"/>
                <w:lang w:val="en-US" w:eastAsia="zh-CN"/>
              </w:rPr>
              <w:t>100000</w:t>
            </w:r>
            <w:r>
              <w:rPr>
                <w:rFonts w:hint="eastAsia" w:ascii="Times New Roman" w:hAnsi="Times New Roman" w:cs="Times New Roman"/>
                <w:color w:val="000000"/>
                <w:sz w:val="24"/>
                <w:szCs w:val="24"/>
                <w:highlight w:val="none"/>
                <w:lang w:val="en-US" w:eastAsia="zh-CN"/>
              </w:rPr>
              <w:t>万元，总用地面积为</w:t>
            </w:r>
            <w:r>
              <w:rPr>
                <w:rFonts w:hint="eastAsia" w:ascii="Times New Roman" w:hAnsi="Times New Roman" w:eastAsia="宋体" w:cs="Times New Roman"/>
                <w:b w:val="0"/>
                <w:bCs w:val="0"/>
                <w:i w:val="0"/>
                <w:iCs w:val="0"/>
                <w:caps w:val="0"/>
                <w:color w:val="333333"/>
                <w:spacing w:val="0"/>
                <w:sz w:val="24"/>
                <w:szCs w:val="24"/>
                <w:u w:val="none"/>
                <w:shd w:val="clear" w:fill="FFFFFF"/>
                <w:lang w:val="en-US" w:eastAsia="zh-CN"/>
              </w:rPr>
              <w:t>119120.2</w:t>
            </w:r>
            <w:r>
              <w:rPr>
                <w:rFonts w:hint="eastAsia" w:ascii="Times New Roman" w:hAnsi="Times New Roman" w:eastAsia="宋体" w:cs="Times New Roman"/>
                <w:color w:val="000000"/>
                <w:sz w:val="24"/>
                <w:szCs w:val="24"/>
                <w:highlight w:val="none"/>
                <w:lang w:val="en-US" w:eastAsia="zh-CN"/>
              </w:rPr>
              <w:t>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shd w:val="clear" w:color="auto" w:fill="FFFFFF"/>
                <w:lang w:eastAsia="zh-CN"/>
              </w:rPr>
              <w:t>，</w:t>
            </w:r>
            <w:r>
              <w:rPr>
                <w:rFonts w:hint="eastAsia" w:ascii="Times New Roman" w:hAnsi="Times New Roman" w:eastAsia="宋体" w:cs="Times New Roman"/>
                <w:color w:val="000000"/>
                <w:sz w:val="24"/>
                <w:szCs w:val="24"/>
                <w:highlight w:val="none"/>
                <w:shd w:val="clear" w:color="auto" w:fill="FFFFFF"/>
                <w:lang w:val="en-US" w:eastAsia="zh-CN"/>
              </w:rPr>
              <w:t>达产后可实现</w:t>
            </w:r>
            <w:r>
              <w:rPr>
                <w:rFonts w:hint="eastAsia" w:ascii="Times New Roman" w:hAnsi="Times New Roman" w:eastAsia="宋体" w:cs="Times New Roman"/>
                <w:sz w:val="24"/>
                <w:szCs w:val="24"/>
                <w:lang w:val="en-US" w:eastAsia="zh-CN"/>
              </w:rPr>
              <w:t>年产10吨</w:t>
            </w:r>
            <w:r>
              <w:rPr>
                <w:rFonts w:hint="default" w:ascii="Times New Roman" w:hAnsi="Times New Roman" w:eastAsia="宋体" w:cs="Times New Roman"/>
                <w:color w:val="000000"/>
                <w:kern w:val="0"/>
                <w:sz w:val="24"/>
                <w:szCs w:val="24"/>
                <w:lang w:val="en-US" w:eastAsia="zh-CN" w:bidi="ar"/>
              </w:rPr>
              <w:t>宁都预制菜及工业化配餐服务</w:t>
            </w:r>
            <w:r>
              <w:rPr>
                <w:rFonts w:hint="eastAsia" w:ascii="Times New Roman" w:hAnsi="Times New Roman" w:eastAsia="宋体" w:cs="Times New Roman"/>
                <w:color w:val="000000"/>
                <w:sz w:val="24"/>
                <w:szCs w:val="24"/>
                <w:highlight w:val="none"/>
                <w:lang w:val="en-US" w:eastAsia="zh-CN"/>
              </w:rPr>
              <w:t>的生产能力。</w:t>
            </w:r>
          </w:p>
          <w:p w14:paraId="4E7B6A9E">
            <w:pPr>
              <w:pStyle w:val="1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赣州市晟阳餐饮</w:t>
            </w:r>
            <w:r>
              <w:rPr>
                <w:rFonts w:hint="eastAsia" w:ascii="Times New Roman" w:hAnsi="Times New Roman" w:eastAsia="宋体" w:cs="Times New Roman"/>
                <w:color w:val="000000"/>
                <w:kern w:val="0"/>
                <w:sz w:val="24"/>
                <w:szCs w:val="24"/>
                <w:lang w:val="en-US" w:eastAsia="zh-CN" w:bidi="ar"/>
              </w:rPr>
              <w:t>管理有限</w:t>
            </w:r>
            <w:r>
              <w:rPr>
                <w:rFonts w:hint="default" w:ascii="Times New Roman" w:hAnsi="Times New Roman" w:eastAsia="宋体" w:cs="Times New Roman"/>
                <w:color w:val="000000"/>
                <w:kern w:val="0"/>
                <w:sz w:val="24"/>
                <w:szCs w:val="24"/>
                <w:lang w:val="en-US" w:eastAsia="zh-CN" w:bidi="ar"/>
              </w:rPr>
              <w:t>公司</w:t>
            </w:r>
            <w:r>
              <w:rPr>
                <w:rFonts w:hint="eastAsia" w:cs="Times New Roman"/>
                <w:color w:val="000000"/>
                <w:highlight w:val="none"/>
                <w:lang w:val="en-US" w:eastAsia="zh-CN"/>
              </w:rPr>
              <w:t>于2023年9月4日将单位名称变更为“</w:t>
            </w:r>
            <w:r>
              <w:rPr>
                <w:rFonts w:hint="default" w:ascii="Times New Roman" w:hAnsi="Times New Roman" w:eastAsia="宋体" w:cs="Times New Roman"/>
                <w:color w:val="000000"/>
                <w:kern w:val="0"/>
                <w:sz w:val="24"/>
                <w:szCs w:val="24"/>
                <w:lang w:val="en-US" w:eastAsia="zh-CN" w:bidi="ar"/>
              </w:rPr>
              <w:t>晟阳</w:t>
            </w:r>
            <w:r>
              <w:rPr>
                <w:rFonts w:hint="eastAsia" w:ascii="Times New Roman" w:hAnsi="Times New Roman" w:eastAsia="宋体" w:cs="Times New Roman"/>
                <w:color w:val="000000"/>
                <w:kern w:val="0"/>
                <w:sz w:val="24"/>
                <w:szCs w:val="24"/>
                <w:lang w:val="en-US" w:eastAsia="zh-CN" w:bidi="ar"/>
              </w:rPr>
              <w:t>食品集团有限公司</w:t>
            </w:r>
            <w:r>
              <w:rPr>
                <w:rFonts w:hint="eastAsia" w:cs="Times New Roman"/>
                <w:sz w:val="24"/>
                <w:szCs w:val="24"/>
                <w:lang w:val="en-US" w:eastAsia="zh-CN"/>
              </w:rPr>
              <w:t>”，变更文件见附件4。</w:t>
            </w:r>
          </w:p>
          <w:p w14:paraId="187A0885">
            <w:pPr>
              <w:pStyle w:val="124"/>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default" w:ascii="Times New Roman" w:hAnsi="Times New Roman" w:eastAsia="宋体" w:cs="Times New Roman"/>
                <w:color w:val="000000"/>
                <w:kern w:val="0"/>
                <w:sz w:val="24"/>
                <w:szCs w:val="24"/>
                <w:lang w:val="en-US" w:eastAsia="zh-CN" w:bidi="ar"/>
              </w:rPr>
              <w:t>晟阳</w:t>
            </w:r>
            <w:r>
              <w:rPr>
                <w:rFonts w:hint="eastAsia" w:ascii="Times New Roman" w:hAnsi="Times New Roman" w:eastAsia="宋体" w:cs="Times New Roman"/>
                <w:color w:val="000000"/>
                <w:kern w:val="0"/>
                <w:sz w:val="24"/>
                <w:szCs w:val="24"/>
                <w:lang w:val="en-US" w:eastAsia="zh-CN" w:bidi="ar"/>
              </w:rPr>
              <w:t>食品集团有限公司</w:t>
            </w:r>
            <w:r>
              <w:rPr>
                <w:rFonts w:hint="eastAsia" w:ascii="Times New Roman" w:hAnsi="Times New Roman" w:cs="Times New Roman"/>
                <w:color w:val="000000"/>
                <w:highlight w:val="none"/>
                <w:lang w:val="en-US" w:eastAsia="zh-CN"/>
              </w:rPr>
              <w:t>于</w:t>
            </w:r>
            <w:r>
              <w:rPr>
                <w:rFonts w:hint="eastAsia" w:cs="Times New Roman"/>
                <w:color w:val="000000"/>
                <w:highlight w:val="none"/>
                <w:lang w:val="en-US" w:eastAsia="zh-CN"/>
              </w:rPr>
              <w:t>2023年11月30日取得宁都县行政审批局关于《</w:t>
            </w:r>
            <w:r>
              <w:rPr>
                <w:rFonts w:hint="default" w:ascii="Times New Roman" w:hAnsi="Times New Roman" w:eastAsia="宋体" w:cs="Times New Roman"/>
                <w:color w:val="000000"/>
                <w:kern w:val="0"/>
                <w:sz w:val="24"/>
                <w:szCs w:val="24"/>
                <w:lang w:val="en-US" w:eastAsia="zh-CN" w:bidi="ar"/>
              </w:rPr>
              <w:t>赣州市晟阳餐饮公司年产10万吨宁都预制菜及工业化配餐服务项目</w:t>
            </w:r>
            <w:r>
              <w:rPr>
                <w:rFonts w:hint="eastAsia" w:cs="Times New Roman"/>
                <w:color w:val="000000"/>
                <w:highlight w:val="none"/>
                <w:lang w:val="en-US" w:eastAsia="zh-CN"/>
              </w:rPr>
              <w:t>环境影响报告表》的批复</w:t>
            </w:r>
            <w:r>
              <w:rPr>
                <w:rFonts w:hint="eastAsia"/>
                <w:sz w:val="24"/>
                <w:szCs w:val="24"/>
                <w:lang w:val="en-US" w:eastAsia="zh-CN"/>
              </w:rPr>
              <w:t>(宁行审字</w:t>
            </w:r>
            <w:r>
              <w:rPr>
                <w:rFonts w:hint="default" w:ascii="Times New Roman" w:hAnsi="Times New Roman" w:eastAsia="宋体" w:cs="Times New Roman"/>
                <w:color w:val="000000"/>
                <w:kern w:val="0"/>
                <w:sz w:val="24"/>
                <w:szCs w:val="24"/>
                <w:lang w:val="en-US" w:eastAsia="zh-CN" w:bidi="ar"/>
              </w:rPr>
              <w:t>[20</w:t>
            </w:r>
            <w:r>
              <w:rPr>
                <w:rFonts w:hint="eastAsia" w:cs="Times New Roman"/>
                <w:color w:val="000000"/>
                <w:kern w:val="0"/>
                <w:sz w:val="24"/>
                <w:szCs w:val="24"/>
                <w:lang w:val="en-US" w:eastAsia="zh-CN" w:bidi="ar"/>
              </w:rPr>
              <w:t>23</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384号</w:t>
            </w:r>
            <w:r>
              <w:rPr>
                <w:rFonts w:hint="eastAsia"/>
                <w:sz w:val="24"/>
                <w:szCs w:val="24"/>
                <w:lang w:val="en-US" w:eastAsia="zh-CN"/>
              </w:rPr>
              <w:t>)</w:t>
            </w:r>
            <w:r>
              <w:rPr>
                <w:rFonts w:hint="eastAsia" w:ascii="Times New Roman" w:hAnsi="Times New Roman" w:cs="Times New Roman"/>
                <w:color w:val="000000"/>
                <w:highlight w:val="none"/>
                <w:lang w:val="en-US" w:eastAsia="zh-CN"/>
              </w:rPr>
              <w:t>，</w:t>
            </w:r>
            <w:r>
              <w:rPr>
                <w:rFonts w:hint="eastAsia" w:cs="Times New Roman"/>
                <w:color w:val="000000"/>
                <w:highlight w:val="none"/>
                <w:lang w:val="en-US" w:eastAsia="zh-CN"/>
              </w:rPr>
              <w:t>原有环评</w:t>
            </w:r>
            <w:r>
              <w:rPr>
                <w:rFonts w:hint="eastAsia"/>
                <w:lang w:val="en-US" w:eastAsia="zh-CN"/>
              </w:rPr>
              <w:t>未进行环保竣工验收，现进行重大变动重新报批项目。</w:t>
            </w:r>
          </w:p>
          <w:p w14:paraId="091DF575">
            <w:pPr>
              <w:snapToGrid w:val="0"/>
              <w:spacing w:line="240" w:lineRule="auto"/>
              <w:ind w:firstLine="0" w:firstLineChars="0"/>
              <w:jc w:val="center"/>
              <w:rPr>
                <w:rFonts w:cs="Times New Roman"/>
                <w:b/>
                <w:bCs/>
              </w:rPr>
            </w:pPr>
            <w:r>
              <w:rPr>
                <w:rFonts w:cs="Times New Roman"/>
                <w:b/>
                <w:bCs/>
              </w:rPr>
              <w:t>表</w:t>
            </w:r>
            <w:r>
              <w:rPr>
                <w:rFonts w:hint="eastAsia" w:cs="Times New Roman"/>
                <w:b/>
                <w:bCs/>
                <w:lang w:val="en-US" w:eastAsia="zh-CN"/>
              </w:rPr>
              <w:t>2</w:t>
            </w:r>
            <w:r>
              <w:rPr>
                <w:rFonts w:cs="Times New Roman"/>
                <w:b/>
                <w:bCs/>
              </w:rPr>
              <w:t>-1  项目与污染</w:t>
            </w:r>
            <w:r>
              <w:rPr>
                <w:rFonts w:hint="eastAsia" w:cs="Times New Roman"/>
                <w:b/>
                <w:bCs/>
                <w:lang w:val="en-US" w:eastAsia="zh-CN"/>
              </w:rPr>
              <w:t>影响类建设项目重大变动清单（试行</w:t>
            </w:r>
            <w:r>
              <w:rPr>
                <w:rFonts w:cs="Times New Roman"/>
                <w:b/>
                <w:bCs/>
              </w:rPr>
              <w:t>）对照分析一览表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442"/>
              <w:gridCol w:w="1529"/>
              <w:gridCol w:w="1987"/>
            </w:tblGrid>
            <w:tr w14:paraId="42667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noWrap w:val="0"/>
                  <w:vAlign w:val="center"/>
                </w:tcPr>
                <w:p w14:paraId="5C5B969C">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工程内容</w:t>
                  </w:r>
                </w:p>
              </w:tc>
              <w:tc>
                <w:tcPr>
                  <w:tcW w:w="2099" w:type="pct"/>
                  <w:noWrap w:val="0"/>
                  <w:vAlign w:val="center"/>
                </w:tcPr>
                <w:p w14:paraId="3828A142">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eastAsia" w:ascii="Times New Roman" w:hAnsi="Times New Roman" w:eastAsia="宋体" w:cs="Times New Roman"/>
                      <w:b/>
                      <w:bCs/>
                      <w:color w:val="auto"/>
                      <w:sz w:val="21"/>
                      <w:szCs w:val="21"/>
                      <w:lang w:val="en-US" w:eastAsia="zh-CN"/>
                    </w:rPr>
                  </w:pPr>
                  <w:r>
                    <w:rPr>
                      <w:rFonts w:cs="Times New Roman"/>
                      <w:b/>
                      <w:bCs/>
                    </w:rPr>
                    <w:t>污染</w:t>
                  </w:r>
                  <w:r>
                    <w:rPr>
                      <w:rFonts w:hint="eastAsia" w:cs="Times New Roman"/>
                      <w:b/>
                      <w:bCs/>
                      <w:lang w:val="en-US" w:eastAsia="zh-CN"/>
                    </w:rPr>
                    <w:t>影响类建设项目重大变动清单（试行</w:t>
                  </w:r>
                  <w:r>
                    <w:rPr>
                      <w:rFonts w:cs="Times New Roman"/>
                      <w:b/>
                      <w:bCs/>
                    </w:rPr>
                    <w:t>）</w:t>
                  </w:r>
                </w:p>
              </w:tc>
              <w:tc>
                <w:tcPr>
                  <w:tcW w:w="932" w:type="pct"/>
                  <w:noWrap w:val="0"/>
                  <w:vAlign w:val="center"/>
                </w:tcPr>
                <w:p w14:paraId="3AA659AA">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b/>
                      <w:bCs/>
                      <w:color w:val="auto"/>
                      <w:sz w:val="21"/>
                      <w:szCs w:val="21"/>
                    </w:rPr>
                  </w:pPr>
                  <w:r>
                    <w:rPr>
                      <w:rFonts w:cs="Times New Roman"/>
                      <w:b/>
                      <w:sz w:val="21"/>
                      <w:szCs w:val="20"/>
                    </w:rPr>
                    <w:t>本项目</w:t>
                  </w:r>
                </w:p>
              </w:tc>
              <w:tc>
                <w:tcPr>
                  <w:tcW w:w="1211" w:type="pct"/>
                  <w:noWrap w:val="0"/>
                  <w:vAlign w:val="center"/>
                </w:tcPr>
                <w:p w14:paraId="29DC9783">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是否属于重大变动</w:t>
                  </w:r>
                </w:p>
              </w:tc>
            </w:tr>
            <w:tr w14:paraId="67991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pct"/>
                  <w:noWrap w:val="0"/>
                  <w:vAlign w:val="center"/>
                </w:tcPr>
                <w:p w14:paraId="57C05AF1">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性质</w:t>
                  </w:r>
                </w:p>
              </w:tc>
              <w:tc>
                <w:tcPr>
                  <w:tcW w:w="2099" w:type="pct"/>
                  <w:noWrap w:val="0"/>
                  <w:vAlign w:val="center"/>
                </w:tcPr>
                <w:p w14:paraId="00ECC066">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建设项目开发、使用功能发生变化的。</w:t>
                  </w:r>
                </w:p>
              </w:tc>
              <w:tc>
                <w:tcPr>
                  <w:tcW w:w="932" w:type="pct"/>
                  <w:noWrap w:val="0"/>
                  <w:vAlign w:val="center"/>
                </w:tcPr>
                <w:p w14:paraId="6B153C04">
                  <w:pPr>
                    <w:keepNext w:val="0"/>
                    <w:keepLines w:val="0"/>
                    <w:pageBreakBefore w:val="0"/>
                    <w:kinsoku/>
                    <w:overflowPunct/>
                    <w:topLinePunct w:val="0"/>
                    <w:autoSpaceDE/>
                    <w:autoSpaceDN/>
                    <w:bidi w:val="0"/>
                    <w:adjustRightInd w:val="0"/>
                    <w:snapToGrid w:val="0"/>
                    <w:spacing w:line="240" w:lineRule="auto"/>
                    <w:ind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未变化</w:t>
                  </w:r>
                </w:p>
              </w:tc>
              <w:tc>
                <w:tcPr>
                  <w:tcW w:w="1211" w:type="pct"/>
                  <w:noWrap w:val="0"/>
                  <w:vAlign w:val="center"/>
                </w:tcPr>
                <w:p w14:paraId="452AAF47">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4B9B5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pct"/>
                  <w:noWrap w:val="0"/>
                  <w:vAlign w:val="center"/>
                </w:tcPr>
                <w:p w14:paraId="07341976">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w:t>
                  </w:r>
                </w:p>
              </w:tc>
              <w:tc>
                <w:tcPr>
                  <w:tcW w:w="2099" w:type="pct"/>
                  <w:noWrap w:val="0"/>
                  <w:vAlign w:val="center"/>
                </w:tcPr>
                <w:p w14:paraId="51AF1AD7">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eastAsia" w:cs="Times New Roman"/>
                      <w:color w:val="auto"/>
                      <w:sz w:val="21"/>
                      <w:szCs w:val="20"/>
                      <w:lang w:eastAsia="zh-CN"/>
                    </w:rPr>
                  </w:pPr>
                  <w:r>
                    <w:rPr>
                      <w:rFonts w:hint="eastAsia" w:cs="Times New Roman"/>
                      <w:color w:val="auto"/>
                      <w:sz w:val="21"/>
                      <w:szCs w:val="20"/>
                      <w:lang w:val="en-US" w:eastAsia="zh-CN"/>
                    </w:rPr>
                    <w:t>2、</w:t>
                  </w:r>
                  <w:r>
                    <w:rPr>
                      <w:rFonts w:cs="Times New Roman"/>
                      <w:color w:val="auto"/>
                      <w:sz w:val="21"/>
                      <w:szCs w:val="20"/>
                    </w:rPr>
                    <w:t>生产</w:t>
                  </w:r>
                  <w:r>
                    <w:rPr>
                      <w:rFonts w:hint="eastAsia" w:cs="Times New Roman"/>
                      <w:color w:val="auto"/>
                      <w:sz w:val="21"/>
                      <w:szCs w:val="20"/>
                      <w:lang w:eastAsia="zh-CN"/>
                    </w:rPr>
                    <w:t>、</w:t>
                  </w:r>
                  <w:r>
                    <w:rPr>
                      <w:rFonts w:hint="eastAsia" w:cs="Times New Roman"/>
                      <w:color w:val="auto"/>
                      <w:sz w:val="21"/>
                      <w:szCs w:val="20"/>
                      <w:lang w:val="en-US" w:eastAsia="zh-CN"/>
                    </w:rPr>
                    <w:t>处置或储存能力</w:t>
                  </w:r>
                  <w:r>
                    <w:rPr>
                      <w:rFonts w:cs="Times New Roman"/>
                      <w:color w:val="auto"/>
                      <w:sz w:val="21"/>
                      <w:szCs w:val="20"/>
                    </w:rPr>
                    <w:t>增大30%（含）以上</w:t>
                  </w:r>
                  <w:r>
                    <w:rPr>
                      <w:rFonts w:hint="eastAsia" w:cs="Times New Roman"/>
                      <w:color w:val="auto"/>
                      <w:sz w:val="21"/>
                      <w:szCs w:val="20"/>
                      <w:lang w:eastAsia="zh-CN"/>
                    </w:rPr>
                    <w:t>；</w:t>
                  </w:r>
                </w:p>
                <w:p w14:paraId="76E9A368">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eastAsia" w:cs="Times New Roman"/>
                      <w:color w:val="auto"/>
                      <w:sz w:val="21"/>
                      <w:szCs w:val="20"/>
                      <w:lang w:eastAsia="zh-CN"/>
                    </w:rPr>
                  </w:pPr>
                  <w:r>
                    <w:rPr>
                      <w:rFonts w:hint="eastAsia" w:cs="Times New Roman"/>
                      <w:color w:val="auto"/>
                      <w:sz w:val="21"/>
                      <w:szCs w:val="20"/>
                      <w:lang w:val="en-US" w:eastAsia="zh-CN"/>
                    </w:rPr>
                    <w:t>3、</w:t>
                  </w:r>
                  <w:r>
                    <w:rPr>
                      <w:rFonts w:hint="eastAsia" w:cs="Times New Roman"/>
                      <w:color w:val="auto"/>
                      <w:sz w:val="21"/>
                      <w:szCs w:val="20"/>
                      <w:lang w:eastAsia="zh-CN"/>
                    </w:rPr>
                    <w:t>生产、处置或储存能力增大，导致废水第一类污染物排放量增加的；</w:t>
                  </w:r>
                </w:p>
                <w:p w14:paraId="27698AE8">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0"/>
                      <w:lang w:val="en-US" w:eastAsia="zh-CN"/>
                    </w:rPr>
                    <w:t>4、</w:t>
                  </w:r>
                  <w:r>
                    <w:rPr>
                      <w:rFonts w:hint="eastAsia" w:cs="Times New Roman"/>
                      <w:color w:val="auto"/>
                      <w:sz w:val="21"/>
                      <w:szCs w:val="20"/>
                      <w:lang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932" w:type="pct"/>
                  <w:noWrap w:val="0"/>
                  <w:vAlign w:val="center"/>
                </w:tcPr>
                <w:p w14:paraId="5BAD6243">
                  <w:pPr>
                    <w:keepNext w:val="0"/>
                    <w:keepLines w:val="0"/>
                    <w:pageBreakBefore w:val="0"/>
                    <w:kinsoku/>
                    <w:overflowPunct/>
                    <w:topLinePunct w:val="0"/>
                    <w:autoSpaceDE/>
                    <w:autoSpaceDN/>
                    <w:bidi w:val="0"/>
                    <w:adjustRightInd w:val="0"/>
                    <w:snapToGrid w:val="0"/>
                    <w:spacing w:line="240" w:lineRule="auto"/>
                    <w:ind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未变化</w:t>
                  </w:r>
                </w:p>
              </w:tc>
              <w:tc>
                <w:tcPr>
                  <w:tcW w:w="1211" w:type="pct"/>
                  <w:noWrap w:val="0"/>
                  <w:vAlign w:val="center"/>
                </w:tcPr>
                <w:p w14:paraId="1A8B13C0">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否</w:t>
                  </w:r>
                </w:p>
              </w:tc>
            </w:tr>
            <w:tr w14:paraId="06B2B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756" w:type="pct"/>
                  <w:noWrap w:val="0"/>
                  <w:vAlign w:val="center"/>
                </w:tcPr>
                <w:p w14:paraId="129AAD59">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地点</w:t>
                  </w:r>
                </w:p>
              </w:tc>
              <w:tc>
                <w:tcPr>
                  <w:tcW w:w="2099" w:type="pct"/>
                  <w:noWrap w:val="0"/>
                  <w:vAlign w:val="center"/>
                </w:tcPr>
                <w:p w14:paraId="5A1F8AC0">
                  <w:pPr>
                    <w:pStyle w:val="42"/>
                    <w:keepNext w:val="0"/>
                    <w:keepLines w:val="0"/>
                    <w:pageBreakBefore w:val="0"/>
                    <w:kinsoku/>
                    <w:overflowPunct/>
                    <w:topLinePunct w:val="0"/>
                    <w:autoSpaceDE/>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重新选址</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在原厂址附近调整(包括总平面布置变化)导致环境防护距离范围变化且新增敏感点的。</w:t>
                  </w:r>
                </w:p>
              </w:tc>
              <w:tc>
                <w:tcPr>
                  <w:tcW w:w="932" w:type="pct"/>
                  <w:noWrap w:val="0"/>
                  <w:vAlign w:val="center"/>
                </w:tcPr>
                <w:p w14:paraId="66C59A8F">
                  <w:pPr>
                    <w:keepNext w:val="0"/>
                    <w:keepLines w:val="0"/>
                    <w:pageBreakBefore w:val="0"/>
                    <w:kinsoku/>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未变化</w:t>
                  </w:r>
                </w:p>
              </w:tc>
              <w:tc>
                <w:tcPr>
                  <w:tcW w:w="1211" w:type="pct"/>
                  <w:noWrap w:val="0"/>
                  <w:vAlign w:val="center"/>
                </w:tcPr>
                <w:p w14:paraId="407F3F6B">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eastAsia="宋体" w:cs="Times New Roman"/>
                      <w:color w:val="auto"/>
                      <w:sz w:val="21"/>
                      <w:szCs w:val="21"/>
                      <w:lang w:val="en-US" w:eastAsia="zh-CN"/>
                    </w:rPr>
                  </w:pPr>
                  <w:r>
                    <w:rPr>
                      <w:rFonts w:hint="eastAsia"/>
                      <w:bCs/>
                      <w:color w:val="auto"/>
                      <w:kern w:val="0"/>
                      <w:sz w:val="21"/>
                      <w:szCs w:val="21"/>
                      <w:lang w:val="en-US" w:eastAsia="zh-CN"/>
                    </w:rPr>
                    <w:t>否</w:t>
                  </w:r>
                </w:p>
              </w:tc>
            </w:tr>
            <w:tr w14:paraId="2815A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56" w:type="pct"/>
                  <w:noWrap w:val="0"/>
                  <w:vAlign w:val="center"/>
                </w:tcPr>
                <w:p w14:paraId="6DF1D8B0">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w:t>
                  </w:r>
                </w:p>
              </w:tc>
              <w:tc>
                <w:tcPr>
                  <w:tcW w:w="2099" w:type="pct"/>
                  <w:noWrap w:val="0"/>
                  <w:vAlign w:val="center"/>
                </w:tcPr>
                <w:p w14:paraId="597E80BA">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6、新增产品品种或生产工艺(含主要生产装置、设备及配套设施)、主要原辅材料、燃料变化，导致以下情形之一：</w:t>
                  </w:r>
                </w:p>
                <w:p w14:paraId="789E5331">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(1)新增排放污染物种类的(毒性、挥发性降低的除外)；</w:t>
                  </w:r>
                </w:p>
                <w:p w14:paraId="42E8BB01">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(2)位于环境质量不达标区的建设项目相应污染物排放量增加的；(3)废水第一类污染物排放量增加的；</w:t>
                  </w:r>
                </w:p>
                <w:p w14:paraId="3E616BB3">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(4)其他污染物排放量增加10%及以上的。</w:t>
                  </w:r>
                </w:p>
                <w:p w14:paraId="72A683AC">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7、物料运输、装卸、贮存方式变化，导致大气污染物无组织排放量增加10%及以上的。</w:t>
                  </w:r>
                </w:p>
              </w:tc>
              <w:tc>
                <w:tcPr>
                  <w:tcW w:w="932" w:type="pct"/>
                  <w:noWrap w:val="0"/>
                  <w:vAlign w:val="center"/>
                </w:tcPr>
                <w:p w14:paraId="245849FE">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项目主要燃料种类、数量均发生变化，由生物质颗粒燃料10t/a和天然气30.2万m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/a变更为天然气</w:t>
                  </w:r>
                  <w:r>
                    <w:rPr>
                      <w:rFonts w:hint="eastAsia" w:cs="Times New Roman"/>
                      <w:color w:val="auto"/>
                      <w:sz w:val="21"/>
                      <w:szCs w:val="21"/>
                      <w:lang w:val="en-US" w:eastAsia="zh-CN"/>
                    </w:rPr>
                    <w:t>233.28</w:t>
                  </w:r>
                  <w:r>
                    <w:rPr>
                      <w:rFonts w:hint="eastAsia" w:ascii="Times New Roman" w:hAnsi="Times New Roman" w:eastAsia="宋体" w:cs="Times New Roman"/>
                      <w:color w:val="auto"/>
                      <w:sz w:val="21"/>
                      <w:szCs w:val="21"/>
                      <w:lang w:val="en-US" w:eastAsia="zh-CN"/>
                    </w:rPr>
                    <w:t>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/a，导致颗粒物、二氧化硫、氮氧化物排放量增加10%以上</w:t>
                  </w:r>
                </w:p>
              </w:tc>
              <w:tc>
                <w:tcPr>
                  <w:tcW w:w="1211" w:type="pct"/>
                  <w:noWrap w:val="0"/>
                  <w:vAlign w:val="center"/>
                </w:tcPr>
                <w:p w14:paraId="5C2FDBDC">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r>
                    <w:rPr>
                      <w:rFonts w:hint="eastAsia"/>
                      <w:bCs/>
                      <w:color w:val="auto"/>
                      <w:kern w:val="0"/>
                      <w:sz w:val="21"/>
                      <w:szCs w:val="21"/>
                      <w:lang w:val="en-US" w:eastAsia="zh-CN"/>
                    </w:rPr>
                    <w:t>是</w:t>
                  </w:r>
                </w:p>
              </w:tc>
            </w:tr>
            <w:tr w14:paraId="10A6A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56" w:type="pct"/>
                  <w:vMerge w:val="restart"/>
                  <w:noWrap w:val="0"/>
                  <w:vAlign w:val="center"/>
                </w:tcPr>
                <w:p w14:paraId="68B63615">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环保措施</w:t>
                  </w:r>
                </w:p>
              </w:tc>
              <w:tc>
                <w:tcPr>
                  <w:tcW w:w="2099" w:type="pct"/>
                  <w:noWrap w:val="0"/>
                  <w:vAlign w:val="center"/>
                </w:tcPr>
                <w:p w14:paraId="0E059DF1">
                  <w:pPr>
                    <w:pStyle w:val="42"/>
                    <w:keepNext w:val="0"/>
                    <w:keepLines w:val="0"/>
                    <w:pageBreakBefore w:val="0"/>
                    <w:widowControl/>
                    <w:kinsoku/>
                    <w:wordWrap w:val="0"/>
                    <w:overflowPunct/>
                    <w:topLinePunct w:val="0"/>
                    <w:autoSpaceDE/>
                    <w:autoSpaceDN/>
                    <w:bidi w:val="0"/>
                    <w:adjustRightInd w:val="0"/>
                    <w:snapToGrid w:val="0"/>
                    <w:spacing w:line="240" w:lineRule="auto"/>
                    <w:ind w:firstLineChars="0"/>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8、废气、</w:t>
                  </w:r>
                  <w:r>
                    <w:rPr>
                      <w:rFonts w:hint="default" w:ascii="Times New Roman" w:hAnsi="Times New Roman" w:cs="Times New Roman"/>
                      <w:color w:val="auto"/>
                      <w:sz w:val="21"/>
                      <w:szCs w:val="21"/>
                    </w:rPr>
                    <w:t>废水污染防治措施变化，导致第6条中所列情形之(废气无组织排放改为有组织排放、污染防治措施强化或改进的除外)或大气污染物无组织排放量增加10%及以上的</w:t>
                  </w:r>
                  <w:r>
                    <w:rPr>
                      <w:rFonts w:hint="eastAsia" w:ascii="Times New Roman" w:hAnsi="Times New Roman" w:cs="Times New Roman"/>
                      <w:color w:val="auto"/>
                      <w:sz w:val="21"/>
                      <w:szCs w:val="21"/>
                      <w:lang w:eastAsia="zh-CN"/>
                    </w:rPr>
                    <w:t>；</w:t>
                  </w:r>
                </w:p>
              </w:tc>
              <w:tc>
                <w:tcPr>
                  <w:tcW w:w="932" w:type="pct"/>
                  <w:noWrap w:val="0"/>
                  <w:vAlign w:val="center"/>
                </w:tcPr>
                <w:p w14:paraId="4F5732D7">
                  <w:pPr>
                    <w:keepNext w:val="0"/>
                    <w:keepLines w:val="0"/>
                    <w:pageBreakBefore w:val="0"/>
                    <w:widowControl/>
                    <w:kinsoku/>
                    <w:wordWrap w:val="0"/>
                    <w:overflowPunct/>
                    <w:topLinePunct w:val="0"/>
                    <w:autoSpaceDE/>
                    <w:autoSpaceDN/>
                    <w:bidi w:val="0"/>
                    <w:adjustRightInd w:val="0"/>
                    <w:snapToGrid w:val="0"/>
                    <w:spacing w:line="240" w:lineRule="auto"/>
                    <w:ind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未变化</w:t>
                  </w:r>
                </w:p>
              </w:tc>
              <w:tc>
                <w:tcPr>
                  <w:tcW w:w="1211" w:type="pct"/>
                  <w:tcBorders>
                    <w:bottom w:val="single" w:color="auto" w:sz="4" w:space="0"/>
                  </w:tcBorders>
                  <w:noWrap w:val="0"/>
                  <w:vAlign w:val="center"/>
                </w:tcPr>
                <w:p w14:paraId="76A8BFF4">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否</w:t>
                  </w:r>
                </w:p>
              </w:tc>
            </w:tr>
            <w:tr w14:paraId="5D93F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56" w:type="pct"/>
                  <w:vMerge w:val="continue"/>
                  <w:noWrap w:val="0"/>
                  <w:vAlign w:val="center"/>
                </w:tcPr>
                <w:p w14:paraId="64EC560E">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p>
              </w:tc>
              <w:tc>
                <w:tcPr>
                  <w:tcW w:w="2099" w:type="pct"/>
                  <w:noWrap w:val="0"/>
                  <w:vAlign w:val="center"/>
                </w:tcPr>
                <w:p w14:paraId="2F1D1FED">
                  <w:pPr>
                    <w:pStyle w:val="42"/>
                    <w:keepNext w:val="0"/>
                    <w:keepLines w:val="0"/>
                    <w:pageBreakBefore w:val="0"/>
                    <w:widowControl/>
                    <w:kinsoku/>
                    <w:wordWrap w:val="0"/>
                    <w:overflowPunct/>
                    <w:topLinePunct w:val="0"/>
                    <w:autoSpaceDE/>
                    <w:autoSpaceDN/>
                    <w:bidi w:val="0"/>
                    <w:adjustRightInd w:val="0"/>
                    <w:snapToGrid w:val="0"/>
                    <w:spacing w:line="240" w:lineRule="auto"/>
                    <w:ind w:firstLineChars="0"/>
                    <w:textAlignment w:val="baseline"/>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新增废水直接排放口</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废水由间接排放改为直接排放</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废水直接排放口位置变化，导致不利环境影响加重的</w:t>
                  </w:r>
                  <w:r>
                    <w:rPr>
                      <w:rFonts w:hint="eastAsia" w:ascii="Times New Roman" w:hAnsi="Times New Roman" w:cs="Times New Roman"/>
                      <w:color w:val="auto"/>
                      <w:sz w:val="21"/>
                      <w:szCs w:val="21"/>
                      <w:lang w:eastAsia="zh-CN"/>
                    </w:rPr>
                    <w:t>；</w:t>
                  </w:r>
                </w:p>
              </w:tc>
              <w:tc>
                <w:tcPr>
                  <w:tcW w:w="932" w:type="pct"/>
                  <w:noWrap w:val="0"/>
                  <w:vAlign w:val="center"/>
                </w:tcPr>
                <w:p w14:paraId="454E7C06">
                  <w:pPr>
                    <w:keepNext w:val="0"/>
                    <w:keepLines w:val="0"/>
                    <w:pageBreakBefore w:val="0"/>
                    <w:widowControl/>
                    <w:kinsoku/>
                    <w:wordWrap w:val="0"/>
                    <w:overflowPunct/>
                    <w:topLinePunct w:val="0"/>
                    <w:autoSpaceDE/>
                    <w:autoSpaceDN/>
                    <w:bidi w:val="0"/>
                    <w:adjustRightInd w:val="0"/>
                    <w:snapToGrid w:val="0"/>
                    <w:spacing w:line="240" w:lineRule="auto"/>
                    <w:ind w:firstLineChars="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未变化</w:t>
                  </w:r>
                </w:p>
              </w:tc>
              <w:tc>
                <w:tcPr>
                  <w:tcW w:w="1211" w:type="pct"/>
                  <w:tcBorders>
                    <w:bottom w:val="single" w:color="auto" w:sz="4" w:space="0"/>
                  </w:tcBorders>
                  <w:noWrap w:val="0"/>
                  <w:vAlign w:val="center"/>
                </w:tcPr>
                <w:p w14:paraId="1A293016">
                  <w:pPr>
                    <w:keepNext w:val="0"/>
                    <w:keepLines w:val="0"/>
                    <w:pageBreakBefore w:val="0"/>
                    <w:kinsoku/>
                    <w:overflowPunct/>
                    <w:topLinePunct w:val="0"/>
                    <w:autoSpaceDE/>
                    <w:autoSpaceDN/>
                    <w:bidi w:val="0"/>
                    <w:adjustRightInd w:val="0"/>
                    <w:snapToGrid w:val="0"/>
                    <w:spacing w:line="240" w:lineRule="auto"/>
                    <w:ind w:firstLineChars="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否</w:t>
                  </w:r>
                </w:p>
              </w:tc>
            </w:tr>
            <w:tr w14:paraId="120FB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56" w:type="pct"/>
                  <w:vMerge w:val="continue"/>
                  <w:noWrap w:val="0"/>
                  <w:vAlign w:val="center"/>
                </w:tcPr>
                <w:p w14:paraId="537D2EBD">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p>
              </w:tc>
              <w:tc>
                <w:tcPr>
                  <w:tcW w:w="2099" w:type="pct"/>
                  <w:noWrap w:val="0"/>
                  <w:vAlign w:val="center"/>
                </w:tcPr>
                <w:p w14:paraId="54052C41">
                  <w:pPr>
                    <w:pStyle w:val="42"/>
                    <w:keepNext w:val="0"/>
                    <w:keepLines w:val="0"/>
                    <w:pageBreakBefore w:val="0"/>
                    <w:widowControl/>
                    <w:kinsoku/>
                    <w:wordWrap w:val="0"/>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eastAsia="zh-CN"/>
                    </w:rPr>
                    <w:t>新增废气主要排放口(废气无组织排放改为有组织排放的除外)；主要排放口排气筒高度降低10%及以上的</w:t>
                  </w:r>
                </w:p>
              </w:tc>
              <w:tc>
                <w:tcPr>
                  <w:tcW w:w="932" w:type="pct"/>
                  <w:noWrap w:val="0"/>
                  <w:vAlign w:val="center"/>
                </w:tcPr>
                <w:p w14:paraId="32722F38">
                  <w:pPr>
                    <w:keepNext w:val="0"/>
                    <w:keepLines w:val="0"/>
                    <w:pageBreakBefore w:val="0"/>
                    <w:widowControl/>
                    <w:kinsoku/>
                    <w:wordWrap w:val="0"/>
                    <w:overflowPunct/>
                    <w:topLinePunct w:val="0"/>
                    <w:autoSpaceDE/>
                    <w:autoSpaceDN/>
                    <w:bidi w:val="0"/>
                    <w:adjustRightInd w:val="0"/>
                    <w:snapToGrid w:val="0"/>
                    <w:spacing w:line="240" w:lineRule="auto"/>
                    <w:ind w:firstLineChars="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未变化</w:t>
                  </w:r>
                </w:p>
              </w:tc>
              <w:tc>
                <w:tcPr>
                  <w:tcW w:w="1211" w:type="pct"/>
                  <w:tcBorders>
                    <w:bottom w:val="single" w:color="auto" w:sz="4" w:space="0"/>
                  </w:tcBorders>
                  <w:noWrap w:val="0"/>
                  <w:vAlign w:val="center"/>
                </w:tcPr>
                <w:p w14:paraId="29B106E2">
                  <w:pPr>
                    <w:keepNext w:val="0"/>
                    <w:keepLines w:val="0"/>
                    <w:pageBreakBefore w:val="0"/>
                    <w:kinsoku/>
                    <w:overflowPunct/>
                    <w:topLinePunct w:val="0"/>
                    <w:autoSpaceDE/>
                    <w:autoSpaceDN/>
                    <w:bidi w:val="0"/>
                    <w:adjustRightInd w:val="0"/>
                    <w:snapToGrid w:val="0"/>
                    <w:spacing w:line="240" w:lineRule="auto"/>
                    <w:ind w:firstLineChars="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否</w:t>
                  </w:r>
                </w:p>
              </w:tc>
            </w:tr>
            <w:tr w14:paraId="63712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56" w:type="pct"/>
                  <w:vMerge w:val="continue"/>
                  <w:noWrap w:val="0"/>
                  <w:vAlign w:val="center"/>
                </w:tcPr>
                <w:p w14:paraId="0C664485">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rPr>
                  </w:pPr>
                </w:p>
              </w:tc>
              <w:tc>
                <w:tcPr>
                  <w:tcW w:w="2099" w:type="pct"/>
                  <w:noWrap w:val="0"/>
                  <w:vAlign w:val="center"/>
                </w:tcPr>
                <w:p w14:paraId="6FEEE4D6">
                  <w:pPr>
                    <w:pStyle w:val="42"/>
                    <w:keepNext w:val="0"/>
                    <w:keepLines w:val="0"/>
                    <w:pageBreakBefore w:val="0"/>
                    <w:widowControl/>
                    <w:kinsoku/>
                    <w:wordWrap w:val="0"/>
                    <w:overflowPunct/>
                    <w:topLinePunct w:val="0"/>
                    <w:autoSpaceDE/>
                    <w:autoSpaceDN/>
                    <w:bidi w:val="0"/>
                    <w:adjustRightInd w:val="0"/>
                    <w:snapToGrid w:val="0"/>
                    <w:spacing w:line="240" w:lineRule="auto"/>
                    <w:ind w:firstLineChars="0"/>
                    <w:textAlignment w:val="baseline"/>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宋体" w:hAnsi="宋体" w:eastAsia="宋体" w:cs="宋体"/>
                      <w:color w:val="auto"/>
                      <w:spacing w:val="-2"/>
                      <w:sz w:val="21"/>
                      <w:szCs w:val="21"/>
                    </w:rPr>
                    <w:t>噪声、土壤或地下水污染防治措施变化，导致不利环境影响加重的</w:t>
                  </w:r>
                </w:p>
              </w:tc>
              <w:tc>
                <w:tcPr>
                  <w:tcW w:w="932" w:type="pct"/>
                  <w:shd w:val="clear" w:color="auto" w:fill="auto"/>
                  <w:noWrap w:val="0"/>
                  <w:vAlign w:val="center"/>
                </w:tcPr>
                <w:p w14:paraId="47B856FD">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pacing w:val="6"/>
                      <w:kern w:val="0"/>
                      <w:sz w:val="21"/>
                      <w:szCs w:val="21"/>
                      <w:lang w:val="en-US" w:eastAsia="zh-CN" w:bidi="ar-SA"/>
                    </w:rPr>
                  </w:pPr>
                  <w:r>
                    <w:rPr>
                      <w:rFonts w:hint="eastAsia" w:ascii="Times New Roman" w:hAnsi="Times New Roman" w:cs="Times New Roman"/>
                      <w:color w:val="auto"/>
                      <w:sz w:val="21"/>
                      <w:szCs w:val="21"/>
                      <w:lang w:val="en-US" w:eastAsia="zh-CN"/>
                    </w:rPr>
                    <w:t>未变化</w:t>
                  </w:r>
                </w:p>
              </w:tc>
              <w:tc>
                <w:tcPr>
                  <w:tcW w:w="1211" w:type="pct"/>
                  <w:tcBorders>
                    <w:bottom w:val="single" w:color="auto" w:sz="4" w:space="0"/>
                  </w:tcBorders>
                  <w:shd w:val="clear" w:color="auto" w:fill="auto"/>
                  <w:noWrap w:val="0"/>
                  <w:vAlign w:val="center"/>
                </w:tcPr>
                <w:p w14:paraId="5EF1172A">
                  <w:pPr>
                    <w:pStyle w:val="42"/>
                    <w:keepNext w:val="0"/>
                    <w:keepLines w:val="0"/>
                    <w:pageBreakBefore w:val="0"/>
                    <w:kinsoku/>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sz w:val="21"/>
                      <w:szCs w:val="21"/>
                    </w:rPr>
                    <w:t>否</w:t>
                  </w:r>
                </w:p>
              </w:tc>
            </w:tr>
            <w:tr w14:paraId="792C7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756" w:type="pct"/>
                  <w:vMerge w:val="continue"/>
                  <w:noWrap w:val="0"/>
                  <w:vAlign w:val="center"/>
                </w:tcPr>
                <w:p w14:paraId="7806C95B">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eastAsia" w:ascii="Times New Roman" w:hAnsi="Times New Roman" w:eastAsia="宋体" w:cs="Times New Roman"/>
                      <w:color w:val="auto"/>
                      <w:sz w:val="21"/>
                      <w:szCs w:val="21"/>
                      <w:lang w:val="en-US" w:eastAsia="zh-CN"/>
                    </w:rPr>
                  </w:pPr>
                </w:p>
              </w:tc>
              <w:tc>
                <w:tcPr>
                  <w:tcW w:w="2099" w:type="pct"/>
                  <w:tcBorders>
                    <w:top w:val="single" w:color="auto" w:sz="4" w:space="0"/>
                    <w:bottom w:val="single" w:color="auto" w:sz="4" w:space="0"/>
                  </w:tcBorders>
                  <w:noWrap w:val="0"/>
                  <w:vAlign w:val="center"/>
                </w:tcPr>
                <w:p w14:paraId="1942C68C">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12、</w:t>
                  </w:r>
                  <w:r>
                    <w:rPr>
                      <w:rFonts w:hint="eastAsia" w:ascii="Times New Roman" w:hAnsi="Times New Roman" w:eastAsia="宋体" w:cs="Times New Roman"/>
                      <w:color w:val="auto"/>
                      <w:sz w:val="21"/>
                      <w:szCs w:val="21"/>
                      <w:lang w:eastAsia="zh-CN"/>
                    </w:rPr>
                    <w:t>固体废物利用处置方式由委托外单位利用处置改为自行利用处置的(自行利用处置设施单独开展环境影响评价的除外):固体废物自行处置方式变化，导致不利环境影响加重的。</w:t>
                  </w:r>
                </w:p>
              </w:tc>
              <w:tc>
                <w:tcPr>
                  <w:tcW w:w="932" w:type="pct"/>
                  <w:tcBorders>
                    <w:top w:val="single" w:color="auto" w:sz="4" w:space="0"/>
                    <w:bottom w:val="single" w:color="auto" w:sz="4" w:space="0"/>
                  </w:tcBorders>
                  <w:noWrap w:val="0"/>
                  <w:vAlign w:val="center"/>
                </w:tcPr>
                <w:p w14:paraId="092E09DA">
                  <w:pPr>
                    <w:keepNext w:val="0"/>
                    <w:keepLines w:val="0"/>
                    <w:pageBreakBefore w:val="0"/>
                    <w:kinsoku/>
                    <w:overflowPunct/>
                    <w:topLinePunct w:val="0"/>
                    <w:autoSpaceDE/>
                    <w:autoSpaceDN/>
                    <w:bidi w:val="0"/>
                    <w:adjustRightInd w:val="0"/>
                    <w:snapToGrid w:val="0"/>
                    <w:spacing w:line="240" w:lineRule="auto"/>
                    <w:ind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未变化</w:t>
                  </w:r>
                </w:p>
              </w:tc>
              <w:tc>
                <w:tcPr>
                  <w:tcW w:w="1211" w:type="pct"/>
                  <w:tcBorders>
                    <w:top w:val="single" w:color="auto" w:sz="4" w:space="0"/>
                    <w:bottom w:val="single" w:color="auto" w:sz="4" w:space="0"/>
                  </w:tcBorders>
                  <w:noWrap w:val="0"/>
                  <w:vAlign w:val="center"/>
                </w:tcPr>
                <w:p w14:paraId="151DFF3B">
                  <w:pPr>
                    <w:pStyle w:val="42"/>
                    <w:keepNext w:val="0"/>
                    <w:keepLines w:val="0"/>
                    <w:pageBreakBefore w:val="0"/>
                    <w:kinsoku/>
                    <w:overflowPunct/>
                    <w:topLinePunct w:val="0"/>
                    <w:autoSpaceDE/>
                    <w:autoSpaceDN/>
                    <w:bidi w:val="0"/>
                    <w:adjustRightInd w:val="0"/>
                    <w:snapToGrid w:val="0"/>
                    <w:spacing w:line="240" w:lineRule="auto"/>
                    <w:ind w:firstLine="0" w:firstLineChars="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31F51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56" w:type="pct"/>
                  <w:vMerge w:val="continue"/>
                  <w:noWrap w:val="0"/>
                  <w:vAlign w:val="center"/>
                </w:tcPr>
                <w:p w14:paraId="76A105B2">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cs="Times New Roman"/>
                      <w:color w:val="auto"/>
                      <w:sz w:val="21"/>
                      <w:szCs w:val="21"/>
                      <w:lang w:val="en-US" w:eastAsia="zh-CN"/>
                    </w:rPr>
                  </w:pPr>
                </w:p>
              </w:tc>
              <w:tc>
                <w:tcPr>
                  <w:tcW w:w="2099" w:type="pct"/>
                  <w:tcBorders>
                    <w:top w:val="single" w:color="auto" w:sz="4" w:space="0"/>
                    <w:bottom w:val="single" w:color="auto" w:sz="4" w:space="0"/>
                  </w:tcBorders>
                  <w:noWrap w:val="0"/>
                  <w:vAlign w:val="center"/>
                </w:tcPr>
                <w:p w14:paraId="7B996639">
                  <w:pPr>
                    <w:pStyle w:val="42"/>
                    <w:keepNext w:val="0"/>
                    <w:keepLines w:val="0"/>
                    <w:pageBreakBefore w:val="0"/>
                    <w:kinsoku/>
                    <w:overflowPunct/>
                    <w:topLinePunct w:val="0"/>
                    <w:autoSpaceDE/>
                    <w:autoSpaceDN/>
                    <w:bidi w:val="0"/>
                    <w:adjustRightInd w:val="0"/>
                    <w:snapToGrid w:val="0"/>
                    <w:spacing w:line="240" w:lineRule="auto"/>
                    <w:ind w:firstLineChars="0"/>
                    <w:jc w:val="both"/>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事故废水暂存能力或拦截设施变化，导致环境风险防范能力弱化或降低的。</w:t>
                  </w:r>
                </w:p>
              </w:tc>
              <w:tc>
                <w:tcPr>
                  <w:tcW w:w="932" w:type="pct"/>
                  <w:tcBorders>
                    <w:top w:val="single" w:color="auto" w:sz="4" w:space="0"/>
                    <w:bottom w:val="single" w:color="auto" w:sz="4" w:space="0"/>
                  </w:tcBorders>
                  <w:noWrap w:val="0"/>
                  <w:vAlign w:val="center"/>
                </w:tcPr>
                <w:p w14:paraId="15AF38D0">
                  <w:pPr>
                    <w:pStyle w:val="42"/>
                    <w:keepNext w:val="0"/>
                    <w:keepLines w:val="0"/>
                    <w:pageBreakBefore w:val="0"/>
                    <w:kinsoku/>
                    <w:overflowPunct/>
                    <w:topLinePunct w:val="0"/>
                    <w:autoSpaceDE/>
                    <w:autoSpaceDN/>
                    <w:bidi w:val="0"/>
                    <w:adjustRightInd w:val="0"/>
                    <w:snapToGrid w:val="0"/>
                    <w:spacing w:line="240" w:lineRule="auto"/>
                    <w:ind w:firstLineChars="0"/>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未变化</w:t>
                  </w:r>
                </w:p>
              </w:tc>
              <w:tc>
                <w:tcPr>
                  <w:tcW w:w="1211" w:type="pct"/>
                  <w:tcBorders>
                    <w:top w:val="single" w:color="auto" w:sz="4" w:space="0"/>
                    <w:bottom w:val="single" w:color="auto" w:sz="4" w:space="0"/>
                  </w:tcBorders>
                  <w:noWrap w:val="0"/>
                  <w:vAlign w:val="center"/>
                </w:tcPr>
                <w:p w14:paraId="41F30904">
                  <w:pPr>
                    <w:pStyle w:val="42"/>
                    <w:keepNext w:val="0"/>
                    <w:keepLines w:val="0"/>
                    <w:pageBreakBefore w:val="0"/>
                    <w:kinsoku/>
                    <w:overflowPunct/>
                    <w:topLinePunct w:val="0"/>
                    <w:autoSpaceDE/>
                    <w:autoSpaceDN/>
                    <w:bidi w:val="0"/>
                    <w:adjustRightInd w:val="0"/>
                    <w:snapToGrid w:val="0"/>
                    <w:spacing w:line="240" w:lineRule="auto"/>
                    <w:ind w:firstLine="0" w:firstLineChars="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bl>
          <w:p w14:paraId="1DD01A63">
            <w:pPr>
              <w:pStyle w:val="1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根据《污染影响类建设项目重大变动清单(试行)》(环办环评函(2020)688号):</w:t>
            </w:r>
            <w:r>
              <w:rPr>
                <w:rFonts w:hint="default" w:ascii="Times New Roman" w:hAnsi="Times New Roman" w:cs="Times New Roman"/>
                <w:color w:val="auto"/>
                <w:sz w:val="24"/>
                <w:szCs w:val="24"/>
              </w:rPr>
              <w:t>工艺</w:t>
            </w:r>
            <w:r>
              <w:rPr>
                <w:rFonts w:hint="eastAsia"/>
                <w:sz w:val="24"/>
                <w:szCs w:val="24"/>
                <w:lang w:val="en-US" w:eastAsia="zh-CN"/>
              </w:rPr>
              <w:t>：</w:t>
            </w:r>
            <w:r>
              <w:rPr>
                <w:rFonts w:hint="default" w:ascii="Times New Roman" w:hAnsi="Times New Roman" w:cs="Times New Roman"/>
                <w:color w:val="auto"/>
                <w:sz w:val="24"/>
                <w:szCs w:val="24"/>
                <w:lang w:val="en-US" w:eastAsia="zh-CN"/>
              </w:rPr>
              <w:t>6、新增产品品种或生产工艺(含主要生产装置、设备及配套设施)、主要原辅材料、燃料变化，导致以下情形之一：(4)其他污染物排放量增加10%及以上的。</w:t>
            </w:r>
            <w:r>
              <w:rPr>
                <w:rFonts w:hint="eastAsia" w:ascii="Times New Roman" w:hAnsi="Times New Roman"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项目主要燃料种类、数量均发生变化，由生物质颗粒燃料10t/a和天然气30.2万m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/a变更为天然气</w:t>
            </w:r>
            <w:r>
              <w:rPr>
                <w:rFonts w:hint="eastAsia" w:cs="Times New Roman"/>
                <w:color w:val="auto"/>
                <w:sz w:val="24"/>
                <w:szCs w:val="24"/>
                <w:lang w:val="en-US" w:eastAsia="zh-CN"/>
              </w:rPr>
              <w:t>233.28</w:t>
            </w:r>
            <w:r>
              <w:rPr>
                <w:rFonts w:hint="eastAsia" w:ascii="Times New Roman" w:hAnsi="Times New Roman" w:eastAsia="宋体" w:cs="Times New Roman"/>
                <w:color w:val="auto"/>
                <w:sz w:val="24"/>
                <w:szCs w:val="24"/>
                <w:lang w:val="en-US" w:eastAsia="zh-CN"/>
              </w:rPr>
              <w:t>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相关废气污染物排放量由</w:t>
            </w:r>
            <w:r>
              <w:rPr>
                <w:rFonts w:hint="eastAsia" w:ascii="Times New Roman" w:hAnsi="Times New Roman" w:eastAsia="宋体" w:cs="Times New Roman"/>
                <w:color w:val="auto"/>
                <w:sz w:val="24"/>
                <w:szCs w:val="24"/>
                <w:lang w:val="en-US" w:eastAsia="zh-CN"/>
              </w:rPr>
              <w:t>颗粒物</w:t>
            </w:r>
            <w:r>
              <w:rPr>
                <w:rFonts w:hint="eastAsia" w:cs="Times New Roman"/>
                <w:color w:val="auto"/>
                <w:sz w:val="24"/>
                <w:szCs w:val="24"/>
                <w:lang w:val="en-US" w:eastAsia="zh-CN"/>
              </w:rPr>
              <w:t>0.0215t</w:t>
            </w:r>
            <w:r>
              <w:rPr>
                <w:rFonts w:hint="eastAsia" w:ascii="Times New Roman" w:hAnsi="Times New Roman" w:eastAsia="宋体" w:cs="Times New Roman"/>
                <w:color w:val="auto"/>
                <w:sz w:val="24"/>
                <w:szCs w:val="24"/>
                <w:lang w:val="en-US" w:eastAsia="zh-CN"/>
              </w:rPr>
              <w:t>/a、二氧化硫</w:t>
            </w:r>
            <w:r>
              <w:rPr>
                <w:rFonts w:hint="eastAsia" w:cs="Times New Roman"/>
                <w:color w:val="auto"/>
                <w:sz w:val="24"/>
                <w:szCs w:val="24"/>
                <w:lang w:val="en-US" w:eastAsia="zh-CN"/>
              </w:rPr>
              <w:t>0.071t</w:t>
            </w:r>
            <w:r>
              <w:rPr>
                <w:rFonts w:hint="eastAsia" w:ascii="Times New Roman" w:hAnsi="Times New Roman" w:eastAsia="宋体" w:cs="Times New Roman"/>
                <w:color w:val="auto"/>
                <w:sz w:val="24"/>
                <w:szCs w:val="24"/>
                <w:lang w:val="en-US" w:eastAsia="zh-CN"/>
              </w:rPr>
              <w:t>/a、氮氧化物</w:t>
            </w:r>
            <w:r>
              <w:rPr>
                <w:rFonts w:hint="eastAsia" w:cs="Times New Roman"/>
                <w:color w:val="auto"/>
                <w:sz w:val="24"/>
                <w:szCs w:val="24"/>
                <w:lang w:val="en-US" w:eastAsia="zh-CN"/>
              </w:rPr>
              <w:t>0.0696t</w:t>
            </w:r>
            <w:r>
              <w:rPr>
                <w:rFonts w:hint="eastAsia"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增加为</w:t>
            </w:r>
            <w:r>
              <w:rPr>
                <w:rFonts w:hint="eastAsia" w:ascii="Times New Roman" w:hAnsi="Times New Roman" w:eastAsia="宋体" w:cs="Times New Roman"/>
                <w:color w:val="auto"/>
                <w:sz w:val="24"/>
                <w:szCs w:val="24"/>
                <w:lang w:val="en-US" w:eastAsia="zh-CN"/>
              </w:rPr>
              <w:t>颗粒物</w:t>
            </w:r>
            <w:r>
              <w:rPr>
                <w:rFonts w:hint="eastAsia" w:cs="Times New Roman"/>
                <w:color w:val="auto"/>
                <w:sz w:val="24"/>
                <w:szCs w:val="24"/>
                <w:lang w:val="en-US" w:eastAsia="zh-CN"/>
              </w:rPr>
              <w:t>0.6114t</w:t>
            </w:r>
            <w:r>
              <w:rPr>
                <w:rFonts w:hint="eastAsia" w:ascii="Times New Roman" w:hAnsi="Times New Roman" w:eastAsia="宋体" w:cs="Times New Roman"/>
                <w:color w:val="auto"/>
                <w:sz w:val="24"/>
                <w:szCs w:val="24"/>
                <w:lang w:val="en-US" w:eastAsia="zh-CN"/>
              </w:rPr>
              <w:t>/a、二氧化硫</w:t>
            </w:r>
            <w:r>
              <w:rPr>
                <w:rFonts w:hint="eastAsia" w:cs="Times New Roman"/>
                <w:color w:val="auto"/>
                <w:sz w:val="24"/>
                <w:szCs w:val="24"/>
                <w:lang w:val="en-US" w:eastAsia="zh-CN"/>
              </w:rPr>
              <w:t>0.806571t</w:t>
            </w:r>
            <w:r>
              <w:rPr>
                <w:rFonts w:hint="eastAsia" w:ascii="Times New Roman" w:hAnsi="Times New Roman" w:eastAsia="宋体" w:cs="Times New Roman"/>
                <w:color w:val="auto"/>
                <w:sz w:val="24"/>
                <w:szCs w:val="24"/>
                <w:lang w:val="en-US" w:eastAsia="zh-CN"/>
              </w:rPr>
              <w:t>/a、氮氧化物</w:t>
            </w:r>
            <w:r>
              <w:rPr>
                <w:rFonts w:hint="eastAsia" w:cs="Times New Roman"/>
                <w:color w:val="auto"/>
                <w:sz w:val="24"/>
                <w:szCs w:val="24"/>
                <w:lang w:val="en-US" w:eastAsia="zh-CN"/>
              </w:rPr>
              <w:t>1.7853t</w:t>
            </w:r>
            <w:r>
              <w:rPr>
                <w:rFonts w:hint="eastAsia"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导致颗粒物、二氧化硫、氮氧化物排放量增加10%以上</w:t>
            </w:r>
            <w:r>
              <w:rPr>
                <w:rFonts w:hint="eastAsia" w:ascii="Times New Roman" w:hAnsi="Times New Roman" w:cs="Times New Roman"/>
                <w:color w:val="auto"/>
                <w:sz w:val="24"/>
                <w:szCs w:val="24"/>
                <w:lang w:val="en-US" w:eastAsia="zh-CN"/>
              </w:rPr>
              <w:t>，</w:t>
            </w:r>
            <w:r>
              <w:rPr>
                <w:rFonts w:hint="eastAsia"/>
                <w:color w:val="auto"/>
                <w:sz w:val="24"/>
                <w:szCs w:val="24"/>
                <w:lang w:val="en-US" w:eastAsia="zh-CN"/>
              </w:rPr>
              <w:t>属于重大变动项目，重</w:t>
            </w:r>
            <w:r>
              <w:rPr>
                <w:rFonts w:hint="eastAsia"/>
                <w:sz w:val="24"/>
                <w:szCs w:val="24"/>
                <w:lang w:val="en-US" w:eastAsia="zh-CN"/>
              </w:rPr>
              <w:t>新报批。</w:t>
            </w:r>
          </w:p>
          <w:p w14:paraId="405B6061">
            <w:pPr>
              <w:pStyle w:val="1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sz w:val="24"/>
                <w:szCs w:val="24"/>
                <w:highlight w:val="none"/>
                <w:lang w:val="en-US" w:eastAsia="zh-CN"/>
              </w:rPr>
            </w:pPr>
            <w:r>
              <w:rPr>
                <w:rFonts w:hint="eastAsia" w:cs="Times New Roman"/>
                <w:color w:val="000000"/>
                <w:sz w:val="24"/>
                <w:szCs w:val="24"/>
                <w:highlight w:val="none"/>
                <w:lang w:val="en-US" w:eastAsia="zh-CN"/>
              </w:rPr>
              <w:t>目前企业已于</w:t>
            </w:r>
            <w:r>
              <w:rPr>
                <w:rFonts w:hint="eastAsia" w:cs="Times New Roman"/>
                <w:color w:val="000000"/>
                <w:highlight w:val="none"/>
                <w:lang w:val="en-US" w:eastAsia="zh-CN"/>
              </w:rPr>
              <w:t>2023年11月30日取得宁都县行政审批局关于《</w:t>
            </w:r>
            <w:r>
              <w:rPr>
                <w:rFonts w:hint="default" w:ascii="Times New Roman" w:hAnsi="Times New Roman" w:eastAsia="宋体" w:cs="Times New Roman"/>
                <w:color w:val="000000"/>
                <w:kern w:val="0"/>
                <w:sz w:val="24"/>
                <w:szCs w:val="24"/>
                <w:lang w:val="en-US" w:eastAsia="zh-CN" w:bidi="ar"/>
              </w:rPr>
              <w:t>赣州市晟阳餐饮公司年产10万吨宁都预制菜及工业化配餐服务项目</w:t>
            </w:r>
            <w:r>
              <w:rPr>
                <w:rFonts w:hint="eastAsia" w:cs="Times New Roman"/>
                <w:color w:val="000000"/>
                <w:highlight w:val="none"/>
                <w:lang w:val="en-US" w:eastAsia="zh-CN"/>
              </w:rPr>
              <w:t>环境影响报告表》的批复</w:t>
            </w:r>
            <w:r>
              <w:rPr>
                <w:rFonts w:hint="eastAsia"/>
                <w:sz w:val="24"/>
                <w:szCs w:val="24"/>
                <w:lang w:val="en-US" w:eastAsia="zh-CN"/>
              </w:rPr>
              <w:t>(宁行审字</w:t>
            </w:r>
            <w:r>
              <w:rPr>
                <w:rFonts w:hint="default" w:ascii="Times New Roman" w:hAnsi="Times New Roman" w:eastAsia="宋体" w:cs="Times New Roman"/>
                <w:color w:val="000000"/>
                <w:kern w:val="0"/>
                <w:sz w:val="24"/>
                <w:szCs w:val="24"/>
                <w:lang w:val="en-US" w:eastAsia="zh-CN" w:bidi="ar"/>
              </w:rPr>
              <w:t>[20</w:t>
            </w:r>
            <w:r>
              <w:rPr>
                <w:rFonts w:hint="eastAsia" w:cs="Times New Roman"/>
                <w:color w:val="000000"/>
                <w:kern w:val="0"/>
                <w:sz w:val="24"/>
                <w:szCs w:val="24"/>
                <w:lang w:val="en-US" w:eastAsia="zh-CN" w:bidi="ar"/>
              </w:rPr>
              <w:t>23</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384号</w:t>
            </w:r>
            <w:r>
              <w:rPr>
                <w:rFonts w:hint="eastAsia"/>
                <w:sz w:val="24"/>
                <w:szCs w:val="24"/>
                <w:lang w:val="en-US" w:eastAsia="zh-CN"/>
              </w:rPr>
              <w:t>)</w:t>
            </w:r>
            <w:r>
              <w:rPr>
                <w:rFonts w:hint="eastAsia" w:ascii="Times New Roman" w:hAnsi="Times New Roman" w:cs="Times New Roman"/>
                <w:color w:val="000000"/>
                <w:highlight w:val="none"/>
                <w:lang w:val="en-US" w:eastAsia="zh-CN"/>
              </w:rPr>
              <w:t>，</w:t>
            </w:r>
            <w:r>
              <w:rPr>
                <w:rFonts w:hint="eastAsia" w:cs="Times New Roman"/>
                <w:color w:val="000000"/>
                <w:highlight w:val="none"/>
                <w:lang w:val="en-US" w:eastAsia="zh-CN"/>
              </w:rPr>
              <w:t>原有环评</w:t>
            </w:r>
            <w:r>
              <w:rPr>
                <w:rFonts w:hint="eastAsia"/>
                <w:lang w:val="en-US" w:eastAsia="zh-CN"/>
              </w:rPr>
              <w:t>未进行环保竣工验收，现进行重大变动重新报批项目。</w:t>
            </w:r>
          </w:p>
          <w:p w14:paraId="30A516B6">
            <w:pPr>
              <w:pStyle w:val="124"/>
              <w:bidi w:val="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（二）</w:t>
            </w:r>
            <w:r>
              <w:rPr>
                <w:rFonts w:hint="default" w:ascii="Times New Roman" w:hAnsi="Times New Roman" w:eastAsia="宋体" w:cs="Times New Roman"/>
                <w:b/>
                <w:bCs/>
                <w:color w:val="auto"/>
                <w:lang w:val="en-US" w:eastAsia="zh-CN"/>
              </w:rPr>
              <w:t>工程建设内容</w:t>
            </w:r>
          </w:p>
          <w:p w14:paraId="6F68C22E">
            <w:pPr>
              <w:pStyle w:val="124"/>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b w:val="0"/>
                <w:bCs/>
                <w:color w:val="000000"/>
                <w:sz w:val="24"/>
                <w:szCs w:val="24"/>
                <w:lang w:val="en-US" w:eastAsia="zh-CN"/>
              </w:rPr>
              <w:t>本项目</w:t>
            </w:r>
            <w:r>
              <w:rPr>
                <w:rFonts w:hint="eastAsia" w:cs="Times New Roman"/>
                <w:b w:val="0"/>
                <w:bCs/>
                <w:color w:val="000000"/>
                <w:sz w:val="24"/>
                <w:szCs w:val="24"/>
                <w:lang w:val="en-US" w:eastAsia="zh-CN"/>
              </w:rPr>
              <w:t>占地面积约为</w:t>
            </w:r>
            <w:r>
              <w:rPr>
                <w:rFonts w:hint="eastAsia" w:ascii="Times New Roman" w:hAnsi="Times New Roman" w:eastAsia="宋体" w:cs="Times New Roman"/>
                <w:b w:val="0"/>
                <w:bCs w:val="0"/>
                <w:i w:val="0"/>
                <w:iCs w:val="0"/>
                <w:caps w:val="0"/>
                <w:color w:val="333333"/>
                <w:spacing w:val="0"/>
                <w:sz w:val="24"/>
                <w:szCs w:val="24"/>
                <w:u w:val="none"/>
                <w:shd w:val="clear" w:fill="FFFFFF"/>
                <w:lang w:val="en-US" w:eastAsia="zh-CN"/>
              </w:rPr>
              <w:t>119120.2</w:t>
            </w:r>
            <w:r>
              <w:rPr>
                <w:rFonts w:hint="eastAsia" w:cs="Times New Roman"/>
                <w:b w:val="0"/>
                <w:bCs/>
                <w:color w:val="000000"/>
                <w:sz w:val="24"/>
                <w:szCs w:val="24"/>
                <w:lang w:val="en-US" w:eastAsia="zh-CN"/>
              </w:rPr>
              <w:t>平方米，主要建设内容为中央厨房、肉类车间、果蔬车间、预制菜车间、办公楼等</w:t>
            </w:r>
            <w:r>
              <w:rPr>
                <w:rFonts w:hint="eastAsia" w:ascii="Times New Roman" w:hAnsi="Times New Roman" w:eastAsia="宋体" w:cs="Times New Roman"/>
                <w:b w:val="0"/>
                <w:bCs/>
                <w:color w:val="000000"/>
                <w:sz w:val="24"/>
                <w:szCs w:val="24"/>
                <w:lang w:val="en-US" w:eastAsia="zh-CN"/>
              </w:rPr>
              <w:t>，项目建成后将实现</w:t>
            </w:r>
            <w:r>
              <w:rPr>
                <w:rFonts w:hint="eastAsia" w:ascii="Times New Roman" w:hAnsi="Times New Roman" w:eastAsia="宋体" w:cs="Times New Roman"/>
                <w:sz w:val="24"/>
                <w:szCs w:val="24"/>
                <w:lang w:val="en-US" w:eastAsia="zh-CN"/>
              </w:rPr>
              <w:t>年产10吨</w:t>
            </w:r>
            <w:r>
              <w:rPr>
                <w:rFonts w:hint="default" w:ascii="Times New Roman" w:hAnsi="Times New Roman" w:eastAsia="宋体" w:cs="Times New Roman"/>
                <w:color w:val="000000"/>
                <w:kern w:val="0"/>
                <w:sz w:val="24"/>
                <w:szCs w:val="24"/>
                <w:lang w:val="en-US" w:eastAsia="zh-CN" w:bidi="ar"/>
              </w:rPr>
              <w:t>宁都预制菜及工业化配餐服务</w:t>
            </w:r>
            <w:r>
              <w:rPr>
                <w:rFonts w:hint="eastAsia" w:ascii="Times New Roman" w:hAnsi="Times New Roman" w:eastAsia="宋体" w:cs="Times New Roman"/>
                <w:color w:val="000000"/>
                <w:sz w:val="24"/>
                <w:szCs w:val="24"/>
                <w:highlight w:val="none"/>
                <w:lang w:val="en-US" w:eastAsia="zh-CN"/>
              </w:rPr>
              <w:t>的生产能力</w:t>
            </w:r>
            <w:r>
              <w:rPr>
                <w:rFonts w:hint="eastAsia" w:ascii="Times New Roman" w:hAnsi="Times New Roman" w:eastAsia="宋体" w:cs="Times New Roman"/>
                <w:b w:val="0"/>
                <w:bCs/>
                <w:color w:val="000000"/>
                <w:sz w:val="24"/>
                <w:szCs w:val="24"/>
                <w:lang w:val="en-US" w:eastAsia="zh-CN"/>
              </w:rPr>
              <w:t>。</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color w:val="auto"/>
                <w:lang w:val="en-US" w:eastAsia="zh-CN"/>
              </w:rPr>
              <w:t>具体建设内容见表2-</w:t>
            </w:r>
            <w:r>
              <w:rPr>
                <w:rFonts w:hint="eastAsia" w:cs="Times New Roman"/>
                <w:color w:val="auto"/>
                <w:lang w:val="en-US" w:eastAsia="zh-CN"/>
              </w:rPr>
              <w:t>2</w:t>
            </w:r>
            <w:r>
              <w:rPr>
                <w:rFonts w:hint="eastAsia" w:ascii="Times New Roman" w:hAnsi="Times New Roman" w:eastAsia="宋体" w:cs="Times New Roman"/>
                <w:color w:val="auto"/>
                <w:lang w:val="en-US" w:eastAsia="zh-CN"/>
              </w:rPr>
              <w:t>。</w:t>
            </w:r>
          </w:p>
          <w:p w14:paraId="5FC6455E">
            <w:pPr>
              <w:pStyle w:val="125"/>
              <w:bidi w:val="0"/>
              <w:rPr>
                <w:rFonts w:hint="default"/>
                <w:color w:val="auto"/>
                <w:lang w:val="en-US" w:eastAsia="zh-CN"/>
              </w:rPr>
            </w:pPr>
            <w:r>
              <w:rPr>
                <w:rFonts w:hint="default"/>
                <w:color w:val="auto"/>
                <w:lang w:val="en-US" w:eastAsia="zh-CN"/>
              </w:rPr>
              <w:t>表2-</w:t>
            </w:r>
            <w:r>
              <w:rPr>
                <w:rFonts w:hint="eastAsia"/>
                <w:color w:val="auto"/>
                <w:lang w:val="en-US" w:eastAsia="zh-CN"/>
              </w:rPr>
              <w:t>2</w:t>
            </w:r>
            <w:r>
              <w:rPr>
                <w:rFonts w:hint="default"/>
                <w:color w:val="auto"/>
                <w:lang w:val="en-US" w:eastAsia="zh-CN"/>
              </w:rPr>
              <w:t xml:space="preserve"> 主要建设内容一览表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1"/>
              <w:gridCol w:w="1190"/>
              <w:gridCol w:w="5375"/>
              <w:gridCol w:w="812"/>
            </w:tblGrid>
            <w:tr w14:paraId="0EEC07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noWrap w:val="0"/>
                  <w:vAlign w:val="center"/>
                </w:tcPr>
                <w:p w14:paraId="5F4CD8BA">
                  <w:pPr>
                    <w:jc w:val="center"/>
                    <w:rPr>
                      <w:rFonts w:hint="default"/>
                      <w:b/>
                      <w:bCs/>
                      <w:color w:val="auto"/>
                    </w:rPr>
                  </w:pPr>
                  <w:r>
                    <w:rPr>
                      <w:rFonts w:hint="eastAsia"/>
                      <w:b/>
                      <w:bCs/>
                      <w:color w:val="auto"/>
                    </w:rPr>
                    <w:t>工程名称</w:t>
                  </w:r>
                </w:p>
              </w:tc>
              <w:tc>
                <w:tcPr>
                  <w:tcW w:w="1190" w:type="dxa"/>
                  <w:noWrap w:val="0"/>
                  <w:vAlign w:val="center"/>
                </w:tcPr>
                <w:p w14:paraId="5C471573">
                  <w:pPr>
                    <w:jc w:val="center"/>
                    <w:rPr>
                      <w:rFonts w:hint="default"/>
                      <w:b/>
                      <w:bCs/>
                      <w:color w:val="auto"/>
                    </w:rPr>
                  </w:pPr>
                  <w:r>
                    <w:rPr>
                      <w:rFonts w:hint="eastAsia"/>
                      <w:b/>
                      <w:bCs/>
                      <w:color w:val="auto"/>
                    </w:rPr>
                    <w:t>单项工程名称</w:t>
                  </w:r>
                </w:p>
              </w:tc>
              <w:tc>
                <w:tcPr>
                  <w:tcW w:w="5375" w:type="dxa"/>
                  <w:noWrap w:val="0"/>
                  <w:vAlign w:val="center"/>
                </w:tcPr>
                <w:p w14:paraId="2B567C4C">
                  <w:pPr>
                    <w:jc w:val="center"/>
                    <w:rPr>
                      <w:rFonts w:hint="default"/>
                      <w:b/>
                      <w:bCs/>
                      <w:color w:val="auto"/>
                    </w:rPr>
                  </w:pPr>
                  <w:r>
                    <w:rPr>
                      <w:rFonts w:hint="eastAsia"/>
                      <w:b/>
                      <w:bCs/>
                      <w:color w:val="auto"/>
                    </w:rPr>
                    <w:t>工程内容</w:t>
                  </w:r>
                </w:p>
              </w:tc>
              <w:tc>
                <w:tcPr>
                  <w:tcW w:w="812" w:type="dxa"/>
                  <w:noWrap w:val="0"/>
                  <w:vAlign w:val="center"/>
                </w:tcPr>
                <w:p w14:paraId="698D0BED">
                  <w:pPr>
                    <w:jc w:val="center"/>
                    <w:rPr>
                      <w:rFonts w:hint="default"/>
                      <w:b/>
                      <w:bCs/>
                      <w:color w:val="auto"/>
                    </w:rPr>
                  </w:pPr>
                  <w:r>
                    <w:rPr>
                      <w:rFonts w:hint="eastAsia"/>
                      <w:b/>
                      <w:bCs/>
                      <w:color w:val="auto"/>
                    </w:rPr>
                    <w:t>备注</w:t>
                  </w:r>
                </w:p>
              </w:tc>
            </w:tr>
            <w:tr w14:paraId="5E633E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restart"/>
                  <w:noWrap w:val="0"/>
                  <w:vAlign w:val="center"/>
                </w:tcPr>
                <w:p w14:paraId="0C4CEC7C">
                  <w:pPr>
                    <w:jc w:val="center"/>
                    <w:rPr>
                      <w:rFonts w:hint="eastAsia"/>
                      <w:color w:val="auto"/>
                    </w:rPr>
                  </w:pPr>
                  <w:r>
                    <w:rPr>
                      <w:rFonts w:hint="eastAsia"/>
                      <w:color w:val="auto"/>
                    </w:rPr>
                    <w:t>主体工程</w:t>
                  </w:r>
                </w:p>
                <w:p w14:paraId="71EBCF8A">
                  <w:pPr>
                    <w:jc w:val="both"/>
                    <w:rPr>
                      <w:rFonts w:hint="default"/>
                      <w:color w:val="auto"/>
                    </w:rPr>
                  </w:pPr>
                </w:p>
              </w:tc>
              <w:tc>
                <w:tcPr>
                  <w:tcW w:w="1190" w:type="dxa"/>
                  <w:tcBorders>
                    <w:right w:val="single" w:color="auto" w:sz="4" w:space="0"/>
                  </w:tcBorders>
                  <w:noWrap w:val="0"/>
                  <w:vAlign w:val="center"/>
                </w:tcPr>
                <w:p w14:paraId="0B2ADBC6">
                  <w:pPr>
                    <w:spacing w:line="240" w:lineRule="atLeast"/>
                    <w:jc w:val="center"/>
                    <w:rPr>
                      <w:rFonts w:hint="default" w:eastAsia="宋体"/>
                      <w:color w:val="auto"/>
                      <w:lang w:val="en-US" w:eastAsia="zh-CN"/>
                    </w:rPr>
                  </w:pPr>
                  <w:r>
                    <w:rPr>
                      <w:rFonts w:hint="eastAsia"/>
                      <w:color w:val="auto"/>
                      <w:lang w:val="en-US" w:eastAsia="zh-CN"/>
                    </w:rPr>
                    <w:t>中央厨房</w:t>
                  </w:r>
                </w:p>
              </w:tc>
              <w:tc>
                <w:tcPr>
                  <w:tcW w:w="5375" w:type="dxa"/>
                  <w:noWrap w:val="0"/>
                  <w:vAlign w:val="center"/>
                </w:tcPr>
                <w:p w14:paraId="190EE98A">
                  <w:pPr>
                    <w:spacing w:line="240" w:lineRule="atLeast"/>
                    <w:jc w:val="center"/>
                    <w:rPr>
                      <w:rFonts w:hint="default" w:eastAsia="宋体"/>
                      <w:color w:val="auto"/>
                      <w:lang w:val="en-US" w:eastAsia="zh-CN"/>
                    </w:rPr>
                  </w:pPr>
                  <w:r>
                    <w:rPr>
                      <w:rFonts w:hint="eastAsia"/>
                      <w:color w:val="auto"/>
                      <w:lang w:val="en-US" w:eastAsia="zh-CN"/>
                    </w:rPr>
                    <w:t>占地面积为1400m</w:t>
                  </w:r>
                  <w:r>
                    <w:rPr>
                      <w:rFonts w:hint="eastAsia"/>
                      <w:color w:val="auto"/>
                      <w:vertAlign w:val="superscript"/>
                      <w:lang w:val="en-US" w:eastAsia="zh-CN"/>
                    </w:rPr>
                    <w:t>2</w:t>
                  </w:r>
                  <w:r>
                    <w:rPr>
                      <w:rFonts w:hint="eastAsia"/>
                      <w:color w:val="auto"/>
                      <w:vertAlign w:val="baseline"/>
                      <w:lang w:val="en-US" w:eastAsia="zh-CN"/>
                    </w:rPr>
                    <w:t>，1F，</w:t>
                  </w:r>
                  <w:r>
                    <w:rPr>
                      <w:rFonts w:hint="eastAsia" w:cs="Times New Roman"/>
                      <w:color w:val="auto"/>
                      <w:lang w:val="en-US" w:eastAsia="zh-CN"/>
                    </w:rPr>
                    <w:t>主要为生产熟食，设有4台静电油烟净化装置、2台0.5t/d燃气锅炉</w:t>
                  </w:r>
                </w:p>
              </w:tc>
              <w:tc>
                <w:tcPr>
                  <w:tcW w:w="812" w:type="dxa"/>
                  <w:noWrap w:val="0"/>
                  <w:vAlign w:val="center"/>
                </w:tcPr>
                <w:p w14:paraId="4BA6D6E2">
                  <w:pPr>
                    <w:jc w:val="center"/>
                    <w:rPr>
                      <w:rFonts w:hint="default"/>
                      <w:color w:val="auto"/>
                      <w:lang w:val="en-US" w:eastAsia="zh-CN"/>
                    </w:rPr>
                  </w:pPr>
                  <w:r>
                    <w:rPr>
                      <w:rFonts w:hint="eastAsia"/>
                      <w:color w:val="auto"/>
                      <w:lang w:val="en-US" w:eastAsia="zh-CN"/>
                    </w:rPr>
                    <w:t>已建</w:t>
                  </w:r>
                </w:p>
              </w:tc>
            </w:tr>
            <w:tr w14:paraId="7AE6E4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64A5EFD2">
                  <w:pPr>
                    <w:jc w:val="both"/>
                    <w:rPr>
                      <w:rFonts w:hint="default"/>
                      <w:color w:val="auto"/>
                    </w:rPr>
                  </w:pPr>
                </w:p>
              </w:tc>
              <w:tc>
                <w:tcPr>
                  <w:tcW w:w="1190" w:type="dxa"/>
                  <w:tcBorders>
                    <w:right w:val="single" w:color="auto" w:sz="4" w:space="0"/>
                  </w:tcBorders>
                  <w:noWrap w:val="0"/>
                  <w:vAlign w:val="center"/>
                </w:tcPr>
                <w:p w14:paraId="7E6702E2">
                  <w:pPr>
                    <w:spacing w:line="240" w:lineRule="atLeast"/>
                    <w:jc w:val="center"/>
                    <w:rPr>
                      <w:rFonts w:hint="default" w:eastAsia="宋体"/>
                      <w:color w:val="auto"/>
                      <w:lang w:val="en-US" w:eastAsia="zh-CN"/>
                    </w:rPr>
                  </w:pPr>
                  <w:r>
                    <w:rPr>
                      <w:rFonts w:hint="eastAsia"/>
                      <w:color w:val="auto"/>
                      <w:lang w:val="en-US" w:eastAsia="zh-CN"/>
                    </w:rPr>
                    <w:t>肉类车间</w:t>
                  </w:r>
                </w:p>
              </w:tc>
              <w:tc>
                <w:tcPr>
                  <w:tcW w:w="5375" w:type="dxa"/>
                  <w:noWrap w:val="0"/>
                  <w:vAlign w:val="center"/>
                </w:tcPr>
                <w:p w14:paraId="083F9894">
                  <w:pPr>
                    <w:spacing w:line="240" w:lineRule="atLeast"/>
                    <w:jc w:val="center"/>
                    <w:rPr>
                      <w:rFonts w:hint="default"/>
                      <w:color w:val="auto"/>
                      <w:lang w:val="en-US"/>
                    </w:rPr>
                  </w:pPr>
                  <w:r>
                    <w:rPr>
                      <w:rFonts w:hint="eastAsia"/>
                      <w:color w:val="auto"/>
                      <w:lang w:val="en-US" w:eastAsia="zh-CN"/>
                    </w:rPr>
                    <w:t>占地面积为1800m</w:t>
                  </w:r>
                  <w:r>
                    <w:rPr>
                      <w:rFonts w:hint="eastAsia"/>
                      <w:color w:val="auto"/>
                      <w:vertAlign w:val="superscript"/>
                      <w:lang w:val="en-US" w:eastAsia="zh-CN"/>
                    </w:rPr>
                    <w:t>2</w:t>
                  </w:r>
                  <w:r>
                    <w:rPr>
                      <w:rFonts w:hint="eastAsia"/>
                      <w:color w:val="auto"/>
                      <w:vertAlign w:val="baseline"/>
                      <w:lang w:val="en-US" w:eastAsia="zh-CN"/>
                    </w:rPr>
                    <w:t>，1F，</w:t>
                  </w:r>
                  <w:r>
                    <w:rPr>
                      <w:rFonts w:hint="eastAsia" w:cs="Times New Roman"/>
                      <w:color w:val="auto"/>
                      <w:lang w:val="en-US" w:eastAsia="zh-CN"/>
                    </w:rPr>
                    <w:t>主要为提供配餐服务（肉类切配）</w:t>
                  </w:r>
                </w:p>
              </w:tc>
              <w:tc>
                <w:tcPr>
                  <w:tcW w:w="812" w:type="dxa"/>
                  <w:noWrap w:val="0"/>
                  <w:vAlign w:val="center"/>
                </w:tcPr>
                <w:p w14:paraId="76D472D0">
                  <w:pPr>
                    <w:jc w:val="center"/>
                    <w:rPr>
                      <w:rFonts w:hint="default"/>
                      <w:color w:val="auto"/>
                      <w:lang w:val="en-US" w:eastAsia="zh-CN"/>
                    </w:rPr>
                  </w:pPr>
                  <w:r>
                    <w:rPr>
                      <w:rFonts w:hint="eastAsia"/>
                      <w:color w:val="auto"/>
                      <w:lang w:val="en-US" w:eastAsia="zh-CN"/>
                    </w:rPr>
                    <w:t>已建</w:t>
                  </w:r>
                </w:p>
              </w:tc>
            </w:tr>
            <w:tr w14:paraId="13C986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6184C051">
                  <w:pPr>
                    <w:jc w:val="both"/>
                    <w:rPr>
                      <w:rFonts w:hint="default"/>
                      <w:color w:val="auto"/>
                    </w:rPr>
                  </w:pPr>
                </w:p>
              </w:tc>
              <w:tc>
                <w:tcPr>
                  <w:tcW w:w="1190" w:type="dxa"/>
                  <w:tcBorders>
                    <w:right w:val="single" w:color="auto" w:sz="4" w:space="0"/>
                  </w:tcBorders>
                  <w:noWrap w:val="0"/>
                  <w:vAlign w:val="center"/>
                </w:tcPr>
                <w:p w14:paraId="668DE8DE">
                  <w:pPr>
                    <w:spacing w:line="240" w:lineRule="atLeast"/>
                    <w:jc w:val="center"/>
                    <w:rPr>
                      <w:rFonts w:hint="default"/>
                      <w:color w:val="auto"/>
                      <w:lang w:val="en-US" w:eastAsia="zh-CN"/>
                    </w:rPr>
                  </w:pPr>
                  <w:r>
                    <w:rPr>
                      <w:rFonts w:hint="eastAsia"/>
                      <w:color w:val="auto"/>
                      <w:lang w:val="en-US" w:eastAsia="zh-CN"/>
                    </w:rPr>
                    <w:t>果蔬车间</w:t>
                  </w:r>
                </w:p>
              </w:tc>
              <w:tc>
                <w:tcPr>
                  <w:tcW w:w="5375" w:type="dxa"/>
                  <w:noWrap w:val="0"/>
                  <w:vAlign w:val="center"/>
                </w:tcPr>
                <w:p w14:paraId="1ADEBE0C">
                  <w:pPr>
                    <w:spacing w:line="240" w:lineRule="atLeast"/>
                    <w:jc w:val="center"/>
                    <w:rPr>
                      <w:rFonts w:hint="eastAsia"/>
                      <w:color w:val="auto"/>
                      <w:lang w:val="en-US" w:eastAsia="zh-CN"/>
                    </w:rPr>
                  </w:pPr>
                  <w:r>
                    <w:rPr>
                      <w:rFonts w:hint="eastAsia"/>
                      <w:color w:val="auto"/>
                      <w:lang w:val="en-US" w:eastAsia="zh-CN"/>
                    </w:rPr>
                    <w:t>占地面积为1800m</w:t>
                  </w:r>
                  <w:r>
                    <w:rPr>
                      <w:rFonts w:hint="eastAsia"/>
                      <w:color w:val="auto"/>
                      <w:vertAlign w:val="superscript"/>
                      <w:lang w:val="en-US" w:eastAsia="zh-CN"/>
                    </w:rPr>
                    <w:t>2</w:t>
                  </w:r>
                  <w:r>
                    <w:rPr>
                      <w:rFonts w:hint="eastAsia"/>
                      <w:color w:val="auto"/>
                      <w:vertAlign w:val="baseline"/>
                      <w:lang w:val="en-US" w:eastAsia="zh-CN"/>
                    </w:rPr>
                    <w:t>，1F，</w:t>
                  </w:r>
                  <w:r>
                    <w:rPr>
                      <w:rFonts w:hint="eastAsia" w:cs="Times New Roman"/>
                      <w:color w:val="auto"/>
                      <w:lang w:val="en-US" w:eastAsia="zh-CN"/>
                    </w:rPr>
                    <w:t>主要为提供配餐服务（果蔬切配）</w:t>
                  </w:r>
                </w:p>
              </w:tc>
              <w:tc>
                <w:tcPr>
                  <w:tcW w:w="812" w:type="dxa"/>
                  <w:noWrap w:val="0"/>
                  <w:vAlign w:val="center"/>
                </w:tcPr>
                <w:p w14:paraId="240443B1">
                  <w:pPr>
                    <w:jc w:val="center"/>
                    <w:rPr>
                      <w:rFonts w:hint="eastAsia"/>
                      <w:color w:val="auto"/>
                      <w:lang w:val="en-US" w:eastAsia="zh-CN"/>
                    </w:rPr>
                  </w:pPr>
                  <w:r>
                    <w:rPr>
                      <w:rFonts w:hint="eastAsia"/>
                      <w:color w:val="auto"/>
                      <w:lang w:val="en-US" w:eastAsia="zh-CN"/>
                    </w:rPr>
                    <w:t>已建</w:t>
                  </w:r>
                </w:p>
              </w:tc>
            </w:tr>
            <w:tr w14:paraId="101306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1FF38148">
                  <w:pPr>
                    <w:jc w:val="both"/>
                    <w:rPr>
                      <w:rFonts w:hint="default"/>
                      <w:color w:val="auto"/>
                    </w:rPr>
                  </w:pPr>
                </w:p>
              </w:tc>
              <w:tc>
                <w:tcPr>
                  <w:tcW w:w="1190" w:type="dxa"/>
                  <w:tcBorders>
                    <w:right w:val="single" w:color="auto" w:sz="4" w:space="0"/>
                  </w:tcBorders>
                  <w:noWrap w:val="0"/>
                  <w:vAlign w:val="center"/>
                </w:tcPr>
                <w:p w14:paraId="2C650B69">
                  <w:pPr>
                    <w:spacing w:line="240" w:lineRule="atLeast"/>
                    <w:jc w:val="center"/>
                    <w:rPr>
                      <w:rFonts w:hint="default"/>
                      <w:color w:val="auto"/>
                      <w:lang w:val="en-US" w:eastAsia="zh-CN"/>
                    </w:rPr>
                  </w:pPr>
                  <w:r>
                    <w:rPr>
                      <w:rFonts w:hint="eastAsia"/>
                      <w:color w:val="auto"/>
                      <w:lang w:val="en-US" w:eastAsia="zh-CN"/>
                    </w:rPr>
                    <w:t>1号预制菜车间（6、7号厂房）</w:t>
                  </w:r>
                </w:p>
              </w:tc>
              <w:tc>
                <w:tcPr>
                  <w:tcW w:w="5375" w:type="dxa"/>
                  <w:noWrap w:val="0"/>
                  <w:vAlign w:val="center"/>
                </w:tcPr>
                <w:p w14:paraId="011351EE">
                  <w:pPr>
                    <w:spacing w:line="240" w:lineRule="atLeast"/>
                    <w:jc w:val="center"/>
                    <w:rPr>
                      <w:rFonts w:hint="default"/>
                      <w:color w:val="auto"/>
                      <w:lang w:val="en-US" w:eastAsia="zh-CN"/>
                    </w:rPr>
                  </w:pPr>
                  <w:r>
                    <w:rPr>
                      <w:rFonts w:hint="eastAsia"/>
                      <w:color w:val="auto"/>
                      <w:lang w:val="en-US" w:eastAsia="zh-CN"/>
                    </w:rPr>
                    <w:t>占地面积10474.76m</w:t>
                  </w:r>
                  <w:r>
                    <w:rPr>
                      <w:rFonts w:hint="eastAsia"/>
                      <w:color w:val="auto"/>
                      <w:vertAlign w:val="superscript"/>
                      <w:lang w:val="en-US" w:eastAsia="zh-CN"/>
                    </w:rPr>
                    <w:t>2</w:t>
                  </w:r>
                  <w:r>
                    <w:rPr>
                      <w:rFonts w:hint="eastAsia"/>
                      <w:color w:val="auto"/>
                      <w:lang w:val="en-US" w:eastAsia="zh-CN"/>
                    </w:rPr>
                    <w:t>，1F，H=10.5m，主要为生产预制菜，</w:t>
                  </w:r>
                  <w:r>
                    <w:rPr>
                      <w:rFonts w:hint="eastAsia" w:cs="Times New Roman"/>
                      <w:color w:val="auto"/>
                      <w:lang w:val="en-US" w:eastAsia="zh-CN"/>
                    </w:rPr>
                    <w:t>设有8台静电油烟净化装置、1台6t/d燃气锅炉，1台4t/d燃气锅炉</w:t>
                  </w:r>
                </w:p>
              </w:tc>
              <w:tc>
                <w:tcPr>
                  <w:tcW w:w="812" w:type="dxa"/>
                  <w:noWrap w:val="0"/>
                  <w:vAlign w:val="center"/>
                </w:tcPr>
                <w:p w14:paraId="1A023025">
                  <w:pPr>
                    <w:jc w:val="center"/>
                    <w:rPr>
                      <w:rFonts w:hint="eastAsia"/>
                      <w:color w:val="auto"/>
                      <w:lang w:val="en-US" w:eastAsia="zh-CN"/>
                    </w:rPr>
                  </w:pPr>
                  <w:r>
                    <w:rPr>
                      <w:rFonts w:hint="eastAsia"/>
                      <w:color w:val="auto"/>
                      <w:lang w:val="en-US" w:eastAsia="zh-CN"/>
                    </w:rPr>
                    <w:t>已建</w:t>
                  </w:r>
                </w:p>
              </w:tc>
            </w:tr>
            <w:tr w14:paraId="60449F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5E48E544">
                  <w:pPr>
                    <w:jc w:val="both"/>
                    <w:rPr>
                      <w:rFonts w:hint="default"/>
                      <w:color w:val="auto"/>
                    </w:rPr>
                  </w:pPr>
                </w:p>
              </w:tc>
              <w:tc>
                <w:tcPr>
                  <w:tcW w:w="1190" w:type="dxa"/>
                  <w:tcBorders>
                    <w:right w:val="single" w:color="auto" w:sz="4" w:space="0"/>
                  </w:tcBorders>
                  <w:noWrap w:val="0"/>
                  <w:vAlign w:val="center"/>
                </w:tcPr>
                <w:p w14:paraId="45B9C60B">
                  <w:pPr>
                    <w:spacing w:line="240" w:lineRule="atLeast"/>
                    <w:jc w:val="center"/>
                    <w:rPr>
                      <w:rFonts w:hint="eastAsia"/>
                      <w:color w:val="auto"/>
                      <w:lang w:val="en-US" w:eastAsia="zh-CN"/>
                    </w:rPr>
                  </w:pPr>
                  <w:r>
                    <w:rPr>
                      <w:rFonts w:hint="eastAsia"/>
                      <w:color w:val="auto"/>
                      <w:lang w:val="en-US" w:eastAsia="zh-CN"/>
                    </w:rPr>
                    <w:t>2号预制菜车间（8号厂房）</w:t>
                  </w:r>
                </w:p>
              </w:tc>
              <w:tc>
                <w:tcPr>
                  <w:tcW w:w="5375" w:type="dxa"/>
                  <w:noWrap w:val="0"/>
                  <w:vAlign w:val="center"/>
                </w:tcPr>
                <w:p w14:paraId="7FDA14D8">
                  <w:pPr>
                    <w:spacing w:line="240" w:lineRule="atLeast"/>
                    <w:jc w:val="center"/>
                    <w:rPr>
                      <w:rFonts w:hint="eastAsia"/>
                      <w:color w:val="auto"/>
                      <w:lang w:val="en-US" w:eastAsia="zh-CN"/>
                    </w:rPr>
                  </w:pPr>
                  <w:r>
                    <w:rPr>
                      <w:rFonts w:hint="eastAsia"/>
                      <w:color w:val="auto"/>
                      <w:lang w:val="en-US" w:eastAsia="zh-CN"/>
                    </w:rPr>
                    <w:t>占地面积7867.2m</w:t>
                  </w:r>
                  <w:r>
                    <w:rPr>
                      <w:rFonts w:hint="eastAsia"/>
                      <w:color w:val="auto"/>
                      <w:vertAlign w:val="superscript"/>
                      <w:lang w:val="en-US" w:eastAsia="zh-CN"/>
                    </w:rPr>
                    <w:t>2</w:t>
                  </w:r>
                  <w:r>
                    <w:rPr>
                      <w:rFonts w:hint="eastAsia"/>
                      <w:color w:val="auto"/>
                      <w:lang w:val="en-US" w:eastAsia="zh-CN"/>
                    </w:rPr>
                    <w:t>，1F，H=12.4m，主要为生产预制菜，</w:t>
                  </w:r>
                  <w:r>
                    <w:rPr>
                      <w:rFonts w:hint="eastAsia" w:ascii="Times New Roman" w:hAnsi="Times New Roman" w:eastAsia="宋体" w:cs="Times New Roman"/>
                      <w:color w:val="auto"/>
                      <w:lang w:val="en-US" w:eastAsia="zh-CN"/>
                    </w:rPr>
                    <w:t>二期建设内容，目前还在建设中</w:t>
                  </w:r>
                </w:p>
              </w:tc>
              <w:tc>
                <w:tcPr>
                  <w:tcW w:w="812" w:type="dxa"/>
                  <w:noWrap w:val="0"/>
                  <w:vAlign w:val="center"/>
                </w:tcPr>
                <w:p w14:paraId="7FE28DB7">
                  <w:pPr>
                    <w:jc w:val="center"/>
                    <w:rPr>
                      <w:rFonts w:hint="default"/>
                      <w:color w:val="auto"/>
                      <w:lang w:val="en-US" w:eastAsia="zh-CN"/>
                    </w:rPr>
                  </w:pPr>
                  <w:r>
                    <w:rPr>
                      <w:rFonts w:hint="eastAsia"/>
                      <w:color w:val="auto"/>
                      <w:lang w:val="en-US" w:eastAsia="zh-CN"/>
                    </w:rPr>
                    <w:t>未建</w:t>
                  </w:r>
                </w:p>
              </w:tc>
            </w:tr>
            <w:tr w14:paraId="2B45ED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05784F9E">
                  <w:pPr>
                    <w:jc w:val="both"/>
                    <w:rPr>
                      <w:rFonts w:hint="default"/>
                      <w:color w:val="auto"/>
                    </w:rPr>
                  </w:pPr>
                </w:p>
              </w:tc>
              <w:tc>
                <w:tcPr>
                  <w:tcW w:w="1190" w:type="dxa"/>
                  <w:tcBorders>
                    <w:right w:val="single" w:color="auto" w:sz="4" w:space="0"/>
                  </w:tcBorders>
                  <w:noWrap w:val="0"/>
                  <w:vAlign w:val="center"/>
                </w:tcPr>
                <w:p w14:paraId="51091318">
                  <w:pPr>
                    <w:spacing w:line="240" w:lineRule="atLeast"/>
                    <w:jc w:val="center"/>
                    <w:rPr>
                      <w:rFonts w:hint="eastAsia"/>
                      <w:color w:val="auto"/>
                      <w:lang w:val="en-US" w:eastAsia="zh-CN"/>
                    </w:rPr>
                  </w:pPr>
                  <w:r>
                    <w:rPr>
                      <w:rFonts w:hint="eastAsia"/>
                      <w:color w:val="auto"/>
                      <w:lang w:val="en-US" w:eastAsia="zh-CN"/>
                    </w:rPr>
                    <w:t>3号预制菜车间（9号厂房）</w:t>
                  </w:r>
                </w:p>
              </w:tc>
              <w:tc>
                <w:tcPr>
                  <w:tcW w:w="5375" w:type="dxa"/>
                  <w:noWrap w:val="0"/>
                  <w:vAlign w:val="center"/>
                </w:tcPr>
                <w:p w14:paraId="223E3376">
                  <w:pPr>
                    <w:spacing w:line="240" w:lineRule="atLeast"/>
                    <w:jc w:val="center"/>
                    <w:rPr>
                      <w:rFonts w:hint="eastAsia"/>
                      <w:color w:val="auto"/>
                      <w:lang w:val="en-US" w:eastAsia="zh-CN"/>
                    </w:rPr>
                  </w:pPr>
                  <w:r>
                    <w:rPr>
                      <w:rFonts w:hint="eastAsia"/>
                      <w:color w:val="auto"/>
                      <w:lang w:val="en-US" w:eastAsia="zh-CN"/>
                    </w:rPr>
                    <w:t>占地面积5184m</w:t>
                  </w:r>
                  <w:r>
                    <w:rPr>
                      <w:rFonts w:hint="eastAsia"/>
                      <w:color w:val="auto"/>
                      <w:vertAlign w:val="superscript"/>
                      <w:lang w:val="en-US" w:eastAsia="zh-CN"/>
                    </w:rPr>
                    <w:t>2</w:t>
                  </w:r>
                  <w:r>
                    <w:rPr>
                      <w:rFonts w:hint="eastAsia"/>
                      <w:color w:val="auto"/>
                      <w:lang w:val="en-US" w:eastAsia="zh-CN"/>
                    </w:rPr>
                    <w:t>，1F，H=10.5m，主要为生产预制菜</w:t>
                  </w:r>
                </w:p>
              </w:tc>
              <w:tc>
                <w:tcPr>
                  <w:tcW w:w="812" w:type="dxa"/>
                  <w:noWrap w:val="0"/>
                  <w:vAlign w:val="center"/>
                </w:tcPr>
                <w:p w14:paraId="71708588">
                  <w:pPr>
                    <w:jc w:val="center"/>
                    <w:rPr>
                      <w:rFonts w:hint="eastAsia"/>
                      <w:color w:val="auto"/>
                      <w:lang w:val="en-US" w:eastAsia="zh-CN"/>
                    </w:rPr>
                  </w:pPr>
                  <w:r>
                    <w:rPr>
                      <w:rFonts w:hint="eastAsia"/>
                      <w:color w:val="auto"/>
                      <w:lang w:val="en-US" w:eastAsia="zh-CN"/>
                    </w:rPr>
                    <w:t>已建</w:t>
                  </w:r>
                </w:p>
              </w:tc>
            </w:tr>
            <w:tr w14:paraId="61B1C6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58FB511D">
                  <w:pPr>
                    <w:jc w:val="both"/>
                    <w:rPr>
                      <w:rFonts w:hint="default"/>
                      <w:color w:val="auto"/>
                    </w:rPr>
                  </w:pPr>
                </w:p>
              </w:tc>
              <w:tc>
                <w:tcPr>
                  <w:tcW w:w="1190" w:type="dxa"/>
                  <w:tcBorders>
                    <w:right w:val="single" w:color="auto" w:sz="4" w:space="0"/>
                  </w:tcBorders>
                  <w:noWrap w:val="0"/>
                  <w:vAlign w:val="center"/>
                </w:tcPr>
                <w:p w14:paraId="742E830E">
                  <w:pPr>
                    <w:spacing w:line="240" w:lineRule="atLeast"/>
                    <w:jc w:val="center"/>
                    <w:rPr>
                      <w:rFonts w:hint="eastAsia"/>
                      <w:color w:val="auto"/>
                      <w:lang w:val="en-US" w:eastAsia="zh-CN"/>
                    </w:rPr>
                  </w:pPr>
                  <w:r>
                    <w:rPr>
                      <w:rFonts w:hint="eastAsia"/>
                      <w:color w:val="auto"/>
                      <w:lang w:val="en-US" w:eastAsia="zh-CN"/>
                    </w:rPr>
                    <w:t>4号预制菜车间（10号厂房）</w:t>
                  </w:r>
                </w:p>
              </w:tc>
              <w:tc>
                <w:tcPr>
                  <w:tcW w:w="5375" w:type="dxa"/>
                  <w:noWrap w:val="0"/>
                  <w:vAlign w:val="center"/>
                </w:tcPr>
                <w:p w14:paraId="6695B4E0">
                  <w:pPr>
                    <w:spacing w:line="240" w:lineRule="atLeast"/>
                    <w:jc w:val="center"/>
                    <w:rPr>
                      <w:rFonts w:hint="default"/>
                      <w:color w:val="auto"/>
                      <w:lang w:val="en-US" w:eastAsia="zh-CN"/>
                    </w:rPr>
                  </w:pPr>
                  <w:r>
                    <w:rPr>
                      <w:rFonts w:hint="eastAsia"/>
                      <w:color w:val="auto"/>
                      <w:lang w:val="en-US" w:eastAsia="zh-CN"/>
                    </w:rPr>
                    <w:t>占地面积1517.94m</w:t>
                  </w:r>
                  <w:r>
                    <w:rPr>
                      <w:rFonts w:hint="eastAsia"/>
                      <w:color w:val="auto"/>
                      <w:vertAlign w:val="superscript"/>
                      <w:lang w:val="en-US" w:eastAsia="zh-CN"/>
                    </w:rPr>
                    <w:t>2</w:t>
                  </w:r>
                  <w:r>
                    <w:rPr>
                      <w:rFonts w:hint="eastAsia"/>
                      <w:color w:val="auto"/>
                      <w:lang w:val="en-US" w:eastAsia="zh-CN"/>
                    </w:rPr>
                    <w:t>，6F，H=23.75m，总建筑面积为9120.49m</w:t>
                  </w:r>
                  <w:r>
                    <w:rPr>
                      <w:rFonts w:hint="eastAsia"/>
                      <w:color w:val="auto"/>
                      <w:vertAlign w:val="superscript"/>
                      <w:lang w:val="en-US" w:eastAsia="zh-CN"/>
                    </w:rPr>
                    <w:t>2</w:t>
                  </w:r>
                  <w:r>
                    <w:rPr>
                      <w:rFonts w:hint="eastAsia"/>
                      <w:color w:val="auto"/>
                      <w:lang w:val="en-US" w:eastAsia="zh-CN"/>
                    </w:rPr>
                    <w:t>，主要为生产预制菜，</w:t>
                  </w:r>
                  <w:r>
                    <w:rPr>
                      <w:rFonts w:hint="eastAsia" w:ascii="Times New Roman" w:hAnsi="Times New Roman" w:eastAsia="宋体" w:cs="Times New Roman"/>
                      <w:color w:val="auto"/>
                      <w:lang w:val="en-US" w:eastAsia="zh-CN"/>
                    </w:rPr>
                    <w:t>二期建设内容，目前还在建设中</w:t>
                  </w:r>
                </w:p>
              </w:tc>
              <w:tc>
                <w:tcPr>
                  <w:tcW w:w="812" w:type="dxa"/>
                  <w:noWrap w:val="0"/>
                  <w:vAlign w:val="center"/>
                </w:tcPr>
                <w:p w14:paraId="017D0841">
                  <w:pPr>
                    <w:jc w:val="center"/>
                    <w:rPr>
                      <w:rFonts w:hint="eastAsia"/>
                      <w:color w:val="auto"/>
                      <w:lang w:val="en-US" w:eastAsia="zh-CN"/>
                    </w:rPr>
                  </w:pPr>
                  <w:r>
                    <w:rPr>
                      <w:rFonts w:hint="eastAsia"/>
                      <w:color w:val="auto"/>
                      <w:lang w:val="en-US" w:eastAsia="zh-CN"/>
                    </w:rPr>
                    <w:t>未建</w:t>
                  </w:r>
                </w:p>
              </w:tc>
            </w:tr>
            <w:tr w14:paraId="5AAB6F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1564DD83">
                  <w:pPr>
                    <w:jc w:val="both"/>
                    <w:rPr>
                      <w:rFonts w:hint="default"/>
                      <w:color w:val="auto"/>
                    </w:rPr>
                  </w:pPr>
                </w:p>
              </w:tc>
              <w:tc>
                <w:tcPr>
                  <w:tcW w:w="1190" w:type="dxa"/>
                  <w:tcBorders>
                    <w:right w:val="single" w:color="auto" w:sz="4" w:space="0"/>
                  </w:tcBorders>
                  <w:noWrap w:val="0"/>
                  <w:vAlign w:val="center"/>
                </w:tcPr>
                <w:p w14:paraId="68B6D682">
                  <w:pPr>
                    <w:spacing w:line="240" w:lineRule="atLeast"/>
                    <w:jc w:val="center"/>
                    <w:rPr>
                      <w:rFonts w:hint="eastAsia"/>
                      <w:color w:val="auto"/>
                      <w:lang w:val="en-US" w:eastAsia="zh-CN"/>
                    </w:rPr>
                  </w:pPr>
                  <w:r>
                    <w:rPr>
                      <w:rFonts w:hint="eastAsia"/>
                      <w:color w:val="auto"/>
                      <w:lang w:val="en-US" w:eastAsia="zh-CN"/>
                    </w:rPr>
                    <w:t>5号预制菜车间（11号厂房）</w:t>
                  </w:r>
                </w:p>
              </w:tc>
              <w:tc>
                <w:tcPr>
                  <w:tcW w:w="5375" w:type="dxa"/>
                  <w:noWrap w:val="0"/>
                  <w:vAlign w:val="center"/>
                </w:tcPr>
                <w:p w14:paraId="4A89D44E">
                  <w:pPr>
                    <w:spacing w:line="240" w:lineRule="atLeast"/>
                    <w:jc w:val="center"/>
                    <w:rPr>
                      <w:rFonts w:hint="eastAsia"/>
                      <w:color w:val="auto"/>
                      <w:lang w:val="en-US" w:eastAsia="zh-CN"/>
                    </w:rPr>
                  </w:pPr>
                  <w:r>
                    <w:rPr>
                      <w:rFonts w:hint="eastAsia"/>
                      <w:color w:val="auto"/>
                      <w:lang w:val="en-US" w:eastAsia="zh-CN"/>
                    </w:rPr>
                    <w:t>占地面积1452.32m</w:t>
                  </w:r>
                  <w:r>
                    <w:rPr>
                      <w:rFonts w:hint="eastAsia"/>
                      <w:color w:val="auto"/>
                      <w:vertAlign w:val="superscript"/>
                      <w:lang w:val="en-US" w:eastAsia="zh-CN"/>
                    </w:rPr>
                    <w:t>2</w:t>
                  </w:r>
                  <w:r>
                    <w:rPr>
                      <w:rFonts w:hint="eastAsia"/>
                      <w:color w:val="auto"/>
                      <w:lang w:val="en-US" w:eastAsia="zh-CN"/>
                    </w:rPr>
                    <w:t>，6F，H=23.75m，总建筑面积为8713.92m</w:t>
                  </w:r>
                  <w:r>
                    <w:rPr>
                      <w:rFonts w:hint="eastAsia"/>
                      <w:color w:val="auto"/>
                      <w:vertAlign w:val="superscript"/>
                      <w:lang w:val="en-US" w:eastAsia="zh-CN"/>
                    </w:rPr>
                    <w:t>2</w:t>
                  </w:r>
                  <w:r>
                    <w:rPr>
                      <w:rFonts w:hint="eastAsia"/>
                      <w:color w:val="auto"/>
                      <w:lang w:val="en-US" w:eastAsia="zh-CN"/>
                    </w:rPr>
                    <w:t>，主要为生产预制菜，</w:t>
                  </w:r>
                  <w:r>
                    <w:rPr>
                      <w:rFonts w:hint="eastAsia" w:ascii="Times New Roman" w:hAnsi="Times New Roman" w:eastAsia="宋体" w:cs="Times New Roman"/>
                      <w:color w:val="auto"/>
                      <w:lang w:val="en-US" w:eastAsia="zh-CN"/>
                    </w:rPr>
                    <w:t>二期建设内容，目前还在建设中</w:t>
                  </w:r>
                </w:p>
              </w:tc>
              <w:tc>
                <w:tcPr>
                  <w:tcW w:w="812" w:type="dxa"/>
                  <w:noWrap w:val="0"/>
                  <w:vAlign w:val="center"/>
                </w:tcPr>
                <w:p w14:paraId="13B2FE27">
                  <w:pPr>
                    <w:jc w:val="center"/>
                    <w:rPr>
                      <w:rFonts w:hint="eastAsia"/>
                      <w:color w:val="auto"/>
                      <w:lang w:val="en-US" w:eastAsia="zh-CN"/>
                    </w:rPr>
                  </w:pPr>
                  <w:r>
                    <w:rPr>
                      <w:rFonts w:hint="eastAsia"/>
                      <w:color w:val="auto"/>
                      <w:lang w:val="en-US" w:eastAsia="zh-CN"/>
                    </w:rPr>
                    <w:t>未建</w:t>
                  </w:r>
                </w:p>
              </w:tc>
            </w:tr>
            <w:tr w14:paraId="6FAA26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restart"/>
                  <w:noWrap w:val="0"/>
                  <w:vAlign w:val="center"/>
                </w:tcPr>
                <w:p w14:paraId="4C1DC680">
                  <w:pPr>
                    <w:jc w:val="center"/>
                    <w:rPr>
                      <w:rFonts w:hint="default" w:eastAsia="宋体"/>
                      <w:color w:val="auto"/>
                      <w:lang w:val="en-US" w:eastAsia="zh-CN"/>
                    </w:rPr>
                  </w:pPr>
                  <w:r>
                    <w:rPr>
                      <w:rFonts w:hint="eastAsia"/>
                      <w:color w:val="auto"/>
                      <w:lang w:val="en-US" w:eastAsia="zh-CN"/>
                    </w:rPr>
                    <w:t>辅助工程</w:t>
                  </w:r>
                </w:p>
              </w:tc>
              <w:tc>
                <w:tcPr>
                  <w:tcW w:w="1190" w:type="dxa"/>
                  <w:noWrap w:val="0"/>
                  <w:vAlign w:val="center"/>
                </w:tcPr>
                <w:p w14:paraId="3F05AEF5">
                  <w:pPr>
                    <w:spacing w:line="240" w:lineRule="atLeast"/>
                    <w:jc w:val="center"/>
                    <w:rPr>
                      <w:rFonts w:hint="default"/>
                      <w:color w:val="auto"/>
                      <w:kern w:val="2"/>
                      <w:sz w:val="21"/>
                      <w:szCs w:val="24"/>
                      <w:lang w:val="en-US" w:eastAsia="zh-CN" w:bidi="ar-SA"/>
                    </w:rPr>
                  </w:pPr>
                  <w:r>
                    <w:rPr>
                      <w:rFonts w:hint="eastAsia"/>
                      <w:color w:val="auto"/>
                      <w:kern w:val="2"/>
                      <w:sz w:val="21"/>
                      <w:szCs w:val="24"/>
                      <w:lang w:val="en-US" w:eastAsia="zh-CN" w:bidi="ar-SA"/>
                    </w:rPr>
                    <w:t>1号办公楼</w:t>
                  </w:r>
                </w:p>
              </w:tc>
              <w:tc>
                <w:tcPr>
                  <w:tcW w:w="5375" w:type="dxa"/>
                  <w:noWrap w:val="0"/>
                  <w:vAlign w:val="center"/>
                </w:tcPr>
                <w:p w14:paraId="71C7EA36">
                  <w:pPr>
                    <w:spacing w:line="240" w:lineRule="atLeast"/>
                    <w:jc w:val="center"/>
                    <w:rPr>
                      <w:rFonts w:hint="default"/>
                      <w:color w:val="auto"/>
                      <w:lang w:val="en-US" w:eastAsia="zh-CN"/>
                    </w:rPr>
                  </w:pPr>
                  <w:r>
                    <w:rPr>
                      <w:rFonts w:hint="eastAsia"/>
                      <w:color w:val="auto"/>
                      <w:lang w:val="en-US" w:eastAsia="zh-CN"/>
                    </w:rPr>
                    <w:t>占地面积1200m</w:t>
                  </w:r>
                  <w:r>
                    <w:rPr>
                      <w:rFonts w:hint="eastAsia"/>
                      <w:color w:val="auto"/>
                      <w:vertAlign w:val="superscript"/>
                      <w:lang w:val="en-US" w:eastAsia="zh-CN"/>
                    </w:rPr>
                    <w:t>2</w:t>
                  </w:r>
                  <w:r>
                    <w:rPr>
                      <w:rFonts w:hint="eastAsia"/>
                      <w:color w:val="auto"/>
                      <w:lang w:val="en-US" w:eastAsia="zh-CN"/>
                    </w:rPr>
                    <w:t>，5F，1-2F主要为办公室和日常用品仓库，3-5F主要为员工宿舍</w:t>
                  </w:r>
                </w:p>
              </w:tc>
              <w:tc>
                <w:tcPr>
                  <w:tcW w:w="812" w:type="dxa"/>
                  <w:noWrap w:val="0"/>
                  <w:vAlign w:val="center"/>
                </w:tcPr>
                <w:p w14:paraId="70AF5F6F">
                  <w:pPr>
                    <w:jc w:val="center"/>
                    <w:rPr>
                      <w:rFonts w:hint="default"/>
                      <w:color w:val="auto"/>
                      <w:kern w:val="2"/>
                      <w:sz w:val="21"/>
                      <w:szCs w:val="24"/>
                      <w:lang w:val="en-US" w:eastAsia="zh-CN" w:bidi="ar-SA"/>
                    </w:rPr>
                  </w:pPr>
                  <w:r>
                    <w:rPr>
                      <w:rFonts w:hint="eastAsia"/>
                      <w:color w:val="auto"/>
                      <w:lang w:val="en-US" w:eastAsia="zh-CN"/>
                    </w:rPr>
                    <w:t>已建</w:t>
                  </w:r>
                </w:p>
              </w:tc>
            </w:tr>
            <w:tr w14:paraId="67FDE2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62BE3341">
                  <w:pPr>
                    <w:jc w:val="center"/>
                    <w:rPr>
                      <w:rFonts w:hint="eastAsia"/>
                      <w:color w:val="auto"/>
                      <w:lang w:val="en-US" w:eastAsia="zh-CN"/>
                    </w:rPr>
                  </w:pPr>
                </w:p>
              </w:tc>
              <w:tc>
                <w:tcPr>
                  <w:tcW w:w="1190" w:type="dxa"/>
                  <w:noWrap w:val="0"/>
                  <w:vAlign w:val="center"/>
                </w:tcPr>
                <w:p w14:paraId="7095705A">
                  <w:pPr>
                    <w:spacing w:line="240" w:lineRule="atLeast"/>
                    <w:jc w:val="center"/>
                    <w:rPr>
                      <w:rFonts w:hint="default"/>
                      <w:color w:val="auto"/>
                      <w:lang w:val="en-US" w:eastAsia="zh-CN"/>
                    </w:rPr>
                  </w:pPr>
                  <w:r>
                    <w:rPr>
                      <w:rFonts w:hint="eastAsia"/>
                      <w:color w:val="auto"/>
                      <w:lang w:val="en-US" w:eastAsia="zh-CN"/>
                    </w:rPr>
                    <w:t>2号办公楼</w:t>
                  </w:r>
                </w:p>
              </w:tc>
              <w:tc>
                <w:tcPr>
                  <w:tcW w:w="5375" w:type="dxa"/>
                  <w:noWrap w:val="0"/>
                  <w:vAlign w:val="center"/>
                </w:tcPr>
                <w:p w14:paraId="3798DFDD">
                  <w:pPr>
                    <w:spacing w:line="240" w:lineRule="atLeast"/>
                    <w:jc w:val="center"/>
                    <w:rPr>
                      <w:rFonts w:hint="default" w:ascii="Times New Roman" w:hAnsi="Times New Roman" w:cs="Times New Roman"/>
                      <w:color w:val="auto"/>
                      <w:lang w:val="en-US" w:eastAsia="zh-CN"/>
                    </w:rPr>
                  </w:pPr>
                  <w:r>
                    <w:rPr>
                      <w:rFonts w:hint="eastAsia"/>
                      <w:color w:val="auto"/>
                      <w:lang w:val="en-US" w:eastAsia="zh-CN"/>
                    </w:rPr>
                    <w:t>占地面积1300m</w:t>
                  </w:r>
                  <w:r>
                    <w:rPr>
                      <w:rFonts w:hint="eastAsia"/>
                      <w:color w:val="auto"/>
                      <w:vertAlign w:val="superscript"/>
                      <w:lang w:val="en-US" w:eastAsia="zh-CN"/>
                    </w:rPr>
                    <w:t>2</w:t>
                  </w:r>
                  <w:r>
                    <w:rPr>
                      <w:rFonts w:hint="eastAsia"/>
                      <w:color w:val="auto"/>
                      <w:lang w:val="en-US" w:eastAsia="zh-CN"/>
                    </w:rPr>
                    <w:t>，3F，1F为日常用品仓库，2F为员工用餐区和办公室，3F为办公室</w:t>
                  </w:r>
                </w:p>
              </w:tc>
              <w:tc>
                <w:tcPr>
                  <w:tcW w:w="812" w:type="dxa"/>
                  <w:noWrap w:val="0"/>
                  <w:vAlign w:val="center"/>
                </w:tcPr>
                <w:p w14:paraId="33830CE0">
                  <w:pPr>
                    <w:jc w:val="center"/>
                    <w:rPr>
                      <w:rFonts w:hint="default"/>
                      <w:color w:val="auto"/>
                      <w:lang w:val="en-US" w:eastAsia="zh-CN"/>
                    </w:rPr>
                  </w:pPr>
                  <w:r>
                    <w:rPr>
                      <w:rFonts w:hint="eastAsia"/>
                      <w:color w:val="auto"/>
                      <w:lang w:val="en-US" w:eastAsia="zh-CN"/>
                    </w:rPr>
                    <w:t>已建</w:t>
                  </w:r>
                </w:p>
              </w:tc>
            </w:tr>
            <w:tr w14:paraId="17C92C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26805E5D">
                  <w:pPr>
                    <w:jc w:val="center"/>
                    <w:rPr>
                      <w:rFonts w:hint="eastAsia"/>
                      <w:color w:val="auto"/>
                      <w:lang w:val="en-US" w:eastAsia="zh-CN"/>
                    </w:rPr>
                  </w:pPr>
                </w:p>
              </w:tc>
              <w:tc>
                <w:tcPr>
                  <w:tcW w:w="1190" w:type="dxa"/>
                  <w:noWrap w:val="0"/>
                  <w:vAlign w:val="center"/>
                </w:tcPr>
                <w:p w14:paraId="3F128CE5">
                  <w:pPr>
                    <w:spacing w:line="240" w:lineRule="atLeast"/>
                    <w:jc w:val="center"/>
                    <w:rPr>
                      <w:rFonts w:hint="default"/>
                      <w:color w:val="auto"/>
                      <w:lang w:val="en-US" w:eastAsia="zh-CN"/>
                    </w:rPr>
                  </w:pPr>
                  <w:r>
                    <w:rPr>
                      <w:rFonts w:hint="eastAsia"/>
                      <w:color w:val="auto"/>
                      <w:lang w:val="en-US" w:eastAsia="zh-CN"/>
                    </w:rPr>
                    <w:t>3号办公楼</w:t>
                  </w:r>
                </w:p>
              </w:tc>
              <w:tc>
                <w:tcPr>
                  <w:tcW w:w="5375" w:type="dxa"/>
                  <w:noWrap w:val="0"/>
                  <w:vAlign w:val="center"/>
                </w:tcPr>
                <w:p w14:paraId="021E0788">
                  <w:pPr>
                    <w:spacing w:line="240" w:lineRule="atLeast"/>
                    <w:jc w:val="center"/>
                    <w:rPr>
                      <w:rFonts w:hint="eastAsia"/>
                      <w:color w:val="auto"/>
                      <w:lang w:val="en-US" w:eastAsia="zh-CN"/>
                    </w:rPr>
                  </w:pPr>
                  <w:r>
                    <w:rPr>
                      <w:rFonts w:hint="eastAsia"/>
                      <w:color w:val="auto"/>
                      <w:lang w:val="en-US" w:eastAsia="zh-CN"/>
                    </w:rPr>
                    <w:t>占地面积230m</w:t>
                  </w:r>
                  <w:r>
                    <w:rPr>
                      <w:rFonts w:hint="eastAsia"/>
                      <w:color w:val="auto"/>
                      <w:vertAlign w:val="superscript"/>
                      <w:lang w:val="en-US" w:eastAsia="zh-CN"/>
                    </w:rPr>
                    <w:t>2</w:t>
                  </w:r>
                  <w:r>
                    <w:rPr>
                      <w:rFonts w:hint="eastAsia"/>
                      <w:color w:val="auto"/>
                      <w:lang w:val="en-US" w:eastAsia="zh-CN"/>
                    </w:rPr>
                    <w:t>，2F，1F门卫室、接待室和办公室，2F为办公室</w:t>
                  </w:r>
                </w:p>
              </w:tc>
              <w:tc>
                <w:tcPr>
                  <w:tcW w:w="812" w:type="dxa"/>
                  <w:noWrap w:val="0"/>
                  <w:vAlign w:val="center"/>
                </w:tcPr>
                <w:p w14:paraId="705F872A">
                  <w:pPr>
                    <w:jc w:val="center"/>
                    <w:rPr>
                      <w:rFonts w:hint="eastAsia"/>
                      <w:color w:val="auto"/>
                      <w:lang w:val="en-US" w:eastAsia="zh-CN"/>
                    </w:rPr>
                  </w:pPr>
                  <w:r>
                    <w:rPr>
                      <w:rFonts w:hint="eastAsia"/>
                      <w:color w:val="auto"/>
                      <w:lang w:val="en-US" w:eastAsia="zh-CN"/>
                    </w:rPr>
                    <w:t>已建</w:t>
                  </w:r>
                </w:p>
              </w:tc>
            </w:tr>
            <w:tr w14:paraId="42DEA7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66759985">
                  <w:pPr>
                    <w:jc w:val="center"/>
                    <w:rPr>
                      <w:rFonts w:hint="eastAsia"/>
                      <w:color w:val="auto"/>
                      <w:lang w:val="en-US" w:eastAsia="zh-CN"/>
                    </w:rPr>
                  </w:pPr>
                </w:p>
              </w:tc>
              <w:tc>
                <w:tcPr>
                  <w:tcW w:w="1190" w:type="dxa"/>
                  <w:noWrap w:val="0"/>
                  <w:vAlign w:val="center"/>
                </w:tcPr>
                <w:p w14:paraId="1373C9CE">
                  <w:pPr>
                    <w:spacing w:line="240" w:lineRule="atLeast"/>
                    <w:jc w:val="center"/>
                    <w:rPr>
                      <w:rFonts w:hint="default" w:cs="Times New Roman"/>
                      <w:color w:val="auto"/>
                      <w:lang w:val="en-US" w:eastAsia="zh-CN"/>
                    </w:rPr>
                  </w:pPr>
                  <w:r>
                    <w:rPr>
                      <w:rFonts w:hint="eastAsia" w:cs="Times New Roman"/>
                      <w:color w:val="auto"/>
                      <w:lang w:val="en-US" w:eastAsia="zh-CN"/>
                    </w:rPr>
                    <w:t>总办公大楼</w:t>
                  </w:r>
                </w:p>
              </w:tc>
              <w:tc>
                <w:tcPr>
                  <w:tcW w:w="5375" w:type="dxa"/>
                  <w:noWrap w:val="0"/>
                  <w:vAlign w:val="center"/>
                </w:tcPr>
                <w:p w14:paraId="7FCB8294">
                  <w:pPr>
                    <w:spacing w:line="240" w:lineRule="atLeast"/>
                    <w:jc w:val="center"/>
                    <w:rPr>
                      <w:rFonts w:hint="default" w:cs="Times New Roman"/>
                      <w:color w:val="auto"/>
                      <w:lang w:val="en-US" w:eastAsia="zh-CN"/>
                    </w:rPr>
                  </w:pPr>
                  <w:r>
                    <w:rPr>
                      <w:rFonts w:hint="eastAsia"/>
                      <w:color w:val="auto"/>
                      <w:lang w:val="en-US" w:eastAsia="zh-CN"/>
                    </w:rPr>
                    <w:t>占地面积1320m</w:t>
                  </w:r>
                  <w:r>
                    <w:rPr>
                      <w:rFonts w:hint="eastAsia"/>
                      <w:color w:val="auto"/>
                      <w:vertAlign w:val="superscript"/>
                      <w:lang w:val="en-US" w:eastAsia="zh-CN"/>
                    </w:rPr>
                    <w:t>2</w:t>
                  </w:r>
                  <w:r>
                    <w:rPr>
                      <w:rFonts w:hint="eastAsia"/>
                      <w:color w:val="auto"/>
                      <w:lang w:val="en-US" w:eastAsia="zh-CN"/>
                    </w:rPr>
                    <w:t>，5F，1F为展示中心、2-5F为办公室</w:t>
                  </w:r>
                </w:p>
              </w:tc>
              <w:tc>
                <w:tcPr>
                  <w:tcW w:w="812" w:type="dxa"/>
                  <w:noWrap w:val="0"/>
                  <w:vAlign w:val="center"/>
                </w:tcPr>
                <w:p w14:paraId="5C662E0A">
                  <w:pPr>
                    <w:jc w:val="center"/>
                    <w:rPr>
                      <w:rFonts w:hint="default"/>
                      <w:color w:val="auto"/>
                      <w:lang w:val="en-US" w:eastAsia="zh-CN"/>
                    </w:rPr>
                  </w:pPr>
                  <w:r>
                    <w:rPr>
                      <w:rFonts w:hint="eastAsia"/>
                      <w:color w:val="auto"/>
                      <w:lang w:val="en-US" w:eastAsia="zh-CN"/>
                    </w:rPr>
                    <w:t>已建</w:t>
                  </w:r>
                </w:p>
              </w:tc>
            </w:tr>
            <w:tr w14:paraId="149476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7160C024">
                  <w:pPr>
                    <w:jc w:val="center"/>
                    <w:rPr>
                      <w:rFonts w:hint="default"/>
                      <w:color w:val="auto"/>
                    </w:rPr>
                  </w:pPr>
                </w:p>
              </w:tc>
              <w:tc>
                <w:tcPr>
                  <w:tcW w:w="1190" w:type="dxa"/>
                  <w:noWrap w:val="0"/>
                  <w:vAlign w:val="center"/>
                </w:tcPr>
                <w:p w14:paraId="1326503A">
                  <w:pPr>
                    <w:spacing w:line="240" w:lineRule="atLeast"/>
                    <w:jc w:val="center"/>
                    <w:rPr>
                      <w:rFonts w:hint="default"/>
                      <w:color w:val="auto"/>
                      <w:lang w:val="en-US" w:eastAsia="zh-CN"/>
                    </w:rPr>
                  </w:pPr>
                  <w:r>
                    <w:rPr>
                      <w:rFonts w:hint="eastAsia" w:ascii="Times New Roman" w:hAnsi="Times New Roman" w:eastAsia="宋体" w:cs="Times New Roman"/>
                      <w:color w:val="auto"/>
                      <w:lang w:val="en-US" w:eastAsia="zh-CN"/>
                    </w:rPr>
                    <w:t>总部经济大楼</w:t>
                  </w:r>
                </w:p>
              </w:tc>
              <w:tc>
                <w:tcPr>
                  <w:tcW w:w="5375" w:type="dxa"/>
                  <w:noWrap w:val="0"/>
                  <w:vAlign w:val="center"/>
                </w:tcPr>
                <w:p w14:paraId="4C0954A0">
                  <w:pPr>
                    <w:keepNext w:val="0"/>
                    <w:keepLines w:val="0"/>
                    <w:widowControl/>
                    <w:suppressLineNumbers w:val="0"/>
                    <w:jc w:val="center"/>
                    <w:rPr>
                      <w:rFonts w:hint="default" w:ascii="Times New Roman" w:hAnsi="Times New Roman" w:eastAsia="宋体" w:cs="Times New Roman"/>
                      <w:color w:val="auto"/>
                      <w:lang w:val="en-US" w:eastAsia="zh-CN"/>
                    </w:rPr>
                  </w:pPr>
                  <w:r>
                    <w:rPr>
                      <w:rFonts w:hint="eastAsia"/>
                      <w:color w:val="auto"/>
                      <w:lang w:val="en-US" w:eastAsia="zh-CN"/>
                    </w:rPr>
                    <w:t>占地面积3000m</w:t>
                  </w:r>
                  <w:r>
                    <w:rPr>
                      <w:rFonts w:hint="eastAsia"/>
                      <w:color w:val="auto"/>
                      <w:vertAlign w:val="superscript"/>
                      <w:lang w:val="en-US" w:eastAsia="zh-CN"/>
                    </w:rPr>
                    <w:t>2</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13F</w:t>
                  </w:r>
                  <w:r>
                    <w:rPr>
                      <w:rFonts w:hint="eastAsia" w:ascii="Times New Roman" w:hAnsi="Times New Roman" w:eastAsia="宋体" w:cs="Times New Roman"/>
                      <w:color w:val="auto"/>
                      <w:lang w:val="en-US" w:eastAsia="zh-CN"/>
                    </w:rPr>
                    <w:t>，用于预制菜研发、推广、培训、展示中心等，二期建设内容，目前未建</w:t>
                  </w:r>
                </w:p>
              </w:tc>
              <w:tc>
                <w:tcPr>
                  <w:tcW w:w="812" w:type="dxa"/>
                  <w:noWrap w:val="0"/>
                  <w:vAlign w:val="center"/>
                </w:tcPr>
                <w:p w14:paraId="5073EFF1">
                  <w:pPr>
                    <w:jc w:val="center"/>
                    <w:rPr>
                      <w:rFonts w:hint="default"/>
                      <w:color w:val="auto"/>
                      <w:lang w:val="en-US" w:eastAsia="zh-CN"/>
                    </w:rPr>
                  </w:pPr>
                  <w:r>
                    <w:rPr>
                      <w:rFonts w:hint="eastAsia"/>
                      <w:color w:val="auto"/>
                      <w:lang w:val="en-US" w:eastAsia="zh-CN"/>
                    </w:rPr>
                    <w:t>未建</w:t>
                  </w:r>
                </w:p>
              </w:tc>
            </w:tr>
            <w:tr w14:paraId="6B617B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63865E41">
                  <w:pPr>
                    <w:jc w:val="center"/>
                    <w:rPr>
                      <w:rFonts w:hint="default"/>
                      <w:color w:val="auto"/>
                    </w:rPr>
                  </w:pPr>
                </w:p>
              </w:tc>
              <w:tc>
                <w:tcPr>
                  <w:tcW w:w="1190" w:type="dxa"/>
                  <w:noWrap w:val="0"/>
                  <w:vAlign w:val="center"/>
                </w:tcPr>
                <w:p w14:paraId="1A7666C4">
                  <w:pPr>
                    <w:spacing w:line="240" w:lineRule="atLeast"/>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预留地</w:t>
                  </w:r>
                </w:p>
              </w:tc>
              <w:tc>
                <w:tcPr>
                  <w:tcW w:w="5375" w:type="dxa"/>
                  <w:noWrap w:val="0"/>
                  <w:vAlign w:val="center"/>
                </w:tcPr>
                <w:p w14:paraId="519BCE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三期建设内容，目前正在规划中</w:t>
                  </w:r>
                </w:p>
              </w:tc>
              <w:tc>
                <w:tcPr>
                  <w:tcW w:w="812" w:type="dxa"/>
                  <w:noWrap w:val="0"/>
                  <w:vAlign w:val="center"/>
                </w:tcPr>
                <w:p w14:paraId="3DED3EBD">
                  <w:pPr>
                    <w:jc w:val="center"/>
                    <w:rPr>
                      <w:rFonts w:hint="default"/>
                      <w:color w:val="auto"/>
                      <w:lang w:val="en-US" w:eastAsia="zh-CN"/>
                    </w:rPr>
                  </w:pPr>
                  <w:r>
                    <w:rPr>
                      <w:rFonts w:hint="eastAsia"/>
                      <w:color w:val="auto"/>
                      <w:lang w:val="en-US" w:eastAsia="zh-CN"/>
                    </w:rPr>
                    <w:t>未建</w:t>
                  </w:r>
                </w:p>
              </w:tc>
            </w:tr>
            <w:tr w14:paraId="6F5784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restart"/>
                  <w:noWrap w:val="0"/>
                  <w:vAlign w:val="center"/>
                </w:tcPr>
                <w:p w14:paraId="66B88526">
                  <w:pPr>
                    <w:jc w:val="center"/>
                    <w:rPr>
                      <w:rFonts w:hint="default" w:eastAsia="宋体"/>
                      <w:color w:val="auto"/>
                      <w:lang w:val="en-US" w:eastAsia="zh-CN"/>
                    </w:rPr>
                  </w:pPr>
                  <w:r>
                    <w:rPr>
                      <w:rFonts w:hint="eastAsia"/>
                      <w:color w:val="auto"/>
                      <w:lang w:val="en-US" w:eastAsia="zh-CN"/>
                    </w:rPr>
                    <w:t>公用工程</w:t>
                  </w:r>
                </w:p>
              </w:tc>
              <w:tc>
                <w:tcPr>
                  <w:tcW w:w="1190" w:type="dxa"/>
                  <w:noWrap w:val="0"/>
                  <w:vAlign w:val="center"/>
                </w:tcPr>
                <w:p w14:paraId="30D7DEE1">
                  <w:pPr>
                    <w:spacing w:line="240" w:lineRule="atLeast"/>
                    <w:jc w:val="center"/>
                    <w:rPr>
                      <w:rFonts w:hint="default"/>
                      <w:color w:val="auto"/>
                      <w:lang w:val="en-US" w:eastAsia="zh-CN"/>
                    </w:rPr>
                  </w:pPr>
                  <w:r>
                    <w:rPr>
                      <w:rFonts w:hint="eastAsia"/>
                      <w:color w:val="auto"/>
                    </w:rPr>
                    <w:t>供水</w:t>
                  </w:r>
                </w:p>
              </w:tc>
              <w:tc>
                <w:tcPr>
                  <w:tcW w:w="5375" w:type="dxa"/>
                  <w:noWrap w:val="0"/>
                  <w:vAlign w:val="center"/>
                </w:tcPr>
                <w:p w14:paraId="5551FF91">
                  <w:pPr>
                    <w:spacing w:line="240" w:lineRule="atLeast"/>
                    <w:jc w:val="center"/>
                    <w:rPr>
                      <w:rFonts w:hint="default"/>
                      <w:color w:val="auto"/>
                      <w:lang w:val="en-US" w:eastAsia="zh-CN"/>
                    </w:rPr>
                  </w:pPr>
                  <w:r>
                    <w:rPr>
                      <w:rFonts w:hint="eastAsia"/>
                      <w:color w:val="auto"/>
                      <w:lang w:val="en-US" w:eastAsia="zh-CN"/>
                    </w:rPr>
                    <w:t>市政</w:t>
                  </w:r>
                  <w:r>
                    <w:rPr>
                      <w:rFonts w:hint="eastAsia"/>
                      <w:color w:val="auto"/>
                    </w:rPr>
                    <w:t>供水</w:t>
                  </w:r>
                </w:p>
              </w:tc>
              <w:tc>
                <w:tcPr>
                  <w:tcW w:w="812" w:type="dxa"/>
                  <w:noWrap w:val="0"/>
                  <w:vAlign w:val="center"/>
                </w:tcPr>
                <w:p w14:paraId="473B3947">
                  <w:pPr>
                    <w:jc w:val="center"/>
                    <w:rPr>
                      <w:rFonts w:hint="default"/>
                      <w:color w:val="auto"/>
                      <w:lang w:val="en-US" w:eastAsia="zh-CN"/>
                    </w:rPr>
                  </w:pPr>
                  <w:r>
                    <w:rPr>
                      <w:rFonts w:hint="eastAsia"/>
                      <w:color w:val="auto"/>
                      <w:lang w:val="en-US" w:eastAsia="zh-CN"/>
                    </w:rPr>
                    <w:t>/</w:t>
                  </w:r>
                </w:p>
              </w:tc>
            </w:tr>
            <w:tr w14:paraId="60699F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3C428B35">
                  <w:pPr>
                    <w:jc w:val="center"/>
                    <w:rPr>
                      <w:rFonts w:hint="default"/>
                      <w:color w:val="auto"/>
                    </w:rPr>
                  </w:pPr>
                </w:p>
              </w:tc>
              <w:tc>
                <w:tcPr>
                  <w:tcW w:w="1190" w:type="dxa"/>
                  <w:noWrap w:val="0"/>
                  <w:vAlign w:val="center"/>
                </w:tcPr>
                <w:p w14:paraId="619309E5">
                  <w:pPr>
                    <w:spacing w:line="240" w:lineRule="atLeast"/>
                    <w:jc w:val="center"/>
                    <w:rPr>
                      <w:rFonts w:hint="default"/>
                      <w:color w:val="auto"/>
                      <w:lang w:val="en-US" w:eastAsia="zh-CN"/>
                    </w:rPr>
                  </w:pPr>
                  <w:r>
                    <w:rPr>
                      <w:rFonts w:hint="eastAsia"/>
                      <w:color w:val="auto"/>
                    </w:rPr>
                    <w:t>供电</w:t>
                  </w:r>
                </w:p>
              </w:tc>
              <w:tc>
                <w:tcPr>
                  <w:tcW w:w="5375" w:type="dxa"/>
                  <w:noWrap w:val="0"/>
                  <w:vAlign w:val="center"/>
                </w:tcPr>
                <w:p w14:paraId="0E5AC674">
                  <w:pPr>
                    <w:spacing w:line="240" w:lineRule="atLeast"/>
                    <w:jc w:val="center"/>
                    <w:rPr>
                      <w:rFonts w:hint="default"/>
                      <w:color w:val="auto"/>
                      <w:lang w:val="en-US" w:eastAsia="zh-CN"/>
                    </w:rPr>
                  </w:pPr>
                  <w:r>
                    <w:rPr>
                      <w:rFonts w:hint="eastAsia"/>
                      <w:color w:val="auto"/>
                      <w:lang w:val="en-US" w:eastAsia="zh-CN"/>
                    </w:rPr>
                    <w:t>市政</w:t>
                  </w:r>
                  <w:r>
                    <w:rPr>
                      <w:rFonts w:hint="eastAsia"/>
                      <w:color w:val="auto"/>
                    </w:rPr>
                    <w:t>电网供电</w:t>
                  </w:r>
                </w:p>
              </w:tc>
              <w:tc>
                <w:tcPr>
                  <w:tcW w:w="812" w:type="dxa"/>
                  <w:noWrap w:val="0"/>
                  <w:vAlign w:val="center"/>
                </w:tcPr>
                <w:p w14:paraId="7AA3E5F1">
                  <w:pPr>
                    <w:jc w:val="center"/>
                    <w:rPr>
                      <w:rFonts w:hint="default"/>
                      <w:color w:val="auto"/>
                      <w:lang w:val="en-US" w:eastAsia="zh-CN"/>
                    </w:rPr>
                  </w:pPr>
                  <w:r>
                    <w:rPr>
                      <w:rFonts w:hint="eastAsia"/>
                      <w:color w:val="auto"/>
                      <w:lang w:val="en-US" w:eastAsia="zh-CN"/>
                    </w:rPr>
                    <w:t>/</w:t>
                  </w:r>
                </w:p>
              </w:tc>
            </w:tr>
            <w:tr w14:paraId="4F61F7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6BBC62BD">
                  <w:pPr>
                    <w:jc w:val="center"/>
                    <w:rPr>
                      <w:rFonts w:hint="default"/>
                      <w:color w:val="auto"/>
                    </w:rPr>
                  </w:pPr>
                </w:p>
              </w:tc>
              <w:tc>
                <w:tcPr>
                  <w:tcW w:w="1190" w:type="dxa"/>
                  <w:noWrap w:val="0"/>
                  <w:vAlign w:val="center"/>
                </w:tcPr>
                <w:p w14:paraId="4BA112B5">
                  <w:pPr>
                    <w:spacing w:line="240" w:lineRule="atLeast"/>
                    <w:jc w:val="center"/>
                    <w:rPr>
                      <w:rFonts w:hint="eastAsia" w:eastAsia="宋体"/>
                      <w:color w:val="auto"/>
                      <w:lang w:val="en-US" w:eastAsia="zh-CN"/>
                    </w:rPr>
                  </w:pPr>
                  <w:r>
                    <w:rPr>
                      <w:rFonts w:hint="eastAsia"/>
                      <w:color w:val="auto"/>
                      <w:lang w:val="en-US" w:eastAsia="zh-CN"/>
                    </w:rPr>
                    <w:t>排水</w:t>
                  </w:r>
                </w:p>
              </w:tc>
              <w:tc>
                <w:tcPr>
                  <w:tcW w:w="5375" w:type="dxa"/>
                  <w:noWrap w:val="0"/>
                  <w:vAlign w:val="center"/>
                </w:tcPr>
                <w:p w14:paraId="683E39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lang w:val="en-US" w:eastAsia="zh-CN"/>
                    </w:rPr>
                    <w:t>雨污分流，厂区收集的雨水排入厂区雨水管道；</w:t>
                  </w:r>
                  <w:r>
                    <w:rPr>
                      <w:rFonts w:hint="default" w:ascii="Times New Roman" w:hAnsi="Times New Roman" w:eastAsia="宋体" w:cs="Times New Roman"/>
                      <w:color w:val="000000"/>
                      <w:kern w:val="0"/>
                      <w:sz w:val="21"/>
                      <w:szCs w:val="21"/>
                      <w:lang w:val="en-US" w:eastAsia="zh-CN" w:bidi="ar"/>
                    </w:rPr>
                    <w:t>本项目废水主要分为生活污水、生产废水</w:t>
                  </w:r>
                  <w:r>
                    <w:rPr>
                      <w:rFonts w:hint="eastAsia" w:cs="Times New Roman"/>
                      <w:color w:val="000000"/>
                      <w:kern w:val="0"/>
                      <w:sz w:val="21"/>
                      <w:szCs w:val="21"/>
                      <w:lang w:val="en-US" w:eastAsia="zh-CN" w:bidi="ar"/>
                    </w:rPr>
                    <w:t>和纯水制备浓水</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纯水制备浓水可</w:t>
                  </w:r>
                  <w:r>
                    <w:rPr>
                      <w:rFonts w:hint="eastAsia" w:cs="Times New Roman"/>
                      <w:color w:val="auto"/>
                      <w:sz w:val="21"/>
                      <w:szCs w:val="21"/>
                      <w:highlight w:val="none"/>
                      <w:lang w:val="en-US" w:eastAsia="zh-CN"/>
                    </w:rPr>
                    <w:t>不经过污水处理站处理直接</w:t>
                  </w:r>
                  <w:r>
                    <w:rPr>
                      <w:rFonts w:hint="default" w:ascii="Times New Roman" w:hAnsi="Times New Roman" w:cs="Times New Roman"/>
                      <w:color w:val="auto"/>
                      <w:sz w:val="21"/>
                      <w:szCs w:val="21"/>
                      <w:highlight w:val="none"/>
                      <w:lang w:val="en-US" w:eastAsia="zh-CN"/>
                    </w:rPr>
                    <w:t>和</w:t>
                  </w:r>
                  <w:r>
                    <w:rPr>
                      <w:rFonts w:hint="eastAsia" w:ascii="Times New Roman" w:hAnsi="Times New Roman" w:cs="Times New Roman"/>
                      <w:color w:val="auto"/>
                      <w:sz w:val="21"/>
                      <w:szCs w:val="21"/>
                      <w:highlight w:val="none"/>
                      <w:lang w:val="en-US" w:eastAsia="zh-CN"/>
                    </w:rPr>
                    <w:t>污水处理站</w:t>
                  </w:r>
                  <w:r>
                    <w:rPr>
                      <w:rFonts w:hint="default" w:ascii="Times New Roman" w:hAnsi="Times New Roman" w:cs="Times New Roman"/>
                      <w:color w:val="auto"/>
                      <w:sz w:val="21"/>
                      <w:szCs w:val="21"/>
                      <w:highlight w:val="none"/>
                      <w:lang w:val="en-US" w:eastAsia="zh-CN"/>
                    </w:rPr>
                    <w:t>处理过的废水一起经总排口排入污水管网</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生活污水经化粪池处理后和生产废水一起</w:t>
                  </w:r>
                  <w:r>
                    <w:rPr>
                      <w:rFonts w:hint="default" w:ascii="Times New Roman" w:hAnsi="Times New Roman" w:eastAsia="宋体" w:cs="Times New Roman"/>
                      <w:color w:val="000000"/>
                      <w:kern w:val="0"/>
                      <w:sz w:val="21"/>
                      <w:szCs w:val="21"/>
                      <w:lang w:val="en-US" w:eastAsia="zh-CN" w:bidi="ar"/>
                    </w:rPr>
                    <w:t>进入自建污水处理站处理达标后通过污水管网进入宁都县第二污水处理厂处理</w:t>
                  </w:r>
                  <w:r>
                    <w:rPr>
                      <w:rFonts w:hint="default" w:ascii="Times New Roman" w:hAnsi="Times New Roman" w:cs="Times New Roman"/>
                      <w:color w:val="auto"/>
                      <w:sz w:val="21"/>
                      <w:szCs w:val="21"/>
                      <w:lang w:val="en-US" w:eastAsia="zh-CN"/>
                    </w:rPr>
                    <w:t>达到《城镇污水处理厂污染物排放标准》（GB18918-2002）</w:t>
                  </w:r>
                  <w:r>
                    <w:rPr>
                      <w:rFonts w:hint="eastAsia" w:cs="Times New Roman"/>
                      <w:color w:val="auto"/>
                      <w:sz w:val="21"/>
                      <w:szCs w:val="21"/>
                      <w:lang w:val="en-US" w:eastAsia="zh-CN"/>
                    </w:rPr>
                    <w:t>一级A</w:t>
                  </w:r>
                  <w:r>
                    <w:rPr>
                      <w:rFonts w:hint="default" w:ascii="Times New Roman" w:hAnsi="Times New Roman" w:cs="Times New Roman"/>
                      <w:color w:val="auto"/>
                      <w:sz w:val="21"/>
                      <w:szCs w:val="21"/>
                      <w:lang w:val="en-US" w:eastAsia="zh-CN"/>
                    </w:rPr>
                    <w:t>标准</w:t>
                  </w:r>
                  <w:r>
                    <w:rPr>
                      <w:rFonts w:hint="default" w:ascii="Times New Roman" w:hAnsi="Times New Roman" w:eastAsia="宋体" w:cs="Times New Roman"/>
                      <w:b w:val="0"/>
                      <w:bCs/>
                      <w:color w:val="auto"/>
                      <w:kern w:val="2"/>
                      <w:sz w:val="21"/>
                      <w:szCs w:val="21"/>
                      <w:lang w:val="en-US" w:eastAsia="zh-CN" w:bidi="ar-SA"/>
                    </w:rPr>
                    <w:t>后</w:t>
                  </w:r>
                  <w:r>
                    <w:rPr>
                      <w:rFonts w:hint="default" w:ascii="Times New Roman" w:hAnsi="Times New Roman" w:eastAsia="宋体" w:cs="Times New Roman"/>
                      <w:color w:val="000000"/>
                      <w:kern w:val="0"/>
                      <w:sz w:val="21"/>
                      <w:szCs w:val="21"/>
                      <w:lang w:val="en-US" w:eastAsia="zh-CN" w:bidi="ar"/>
                    </w:rPr>
                    <w:t>，最终排入梅江。</w:t>
                  </w:r>
                </w:p>
              </w:tc>
              <w:tc>
                <w:tcPr>
                  <w:tcW w:w="812" w:type="dxa"/>
                  <w:noWrap w:val="0"/>
                  <w:vAlign w:val="center"/>
                </w:tcPr>
                <w:p w14:paraId="6418F7BF">
                  <w:pPr>
                    <w:jc w:val="center"/>
                    <w:rPr>
                      <w:rFonts w:hint="eastAsia"/>
                      <w:color w:val="auto"/>
                    </w:rPr>
                  </w:pPr>
                  <w:r>
                    <w:rPr>
                      <w:rFonts w:hint="eastAsia"/>
                      <w:color w:val="auto"/>
                      <w:lang w:val="en-US" w:eastAsia="zh-CN"/>
                    </w:rPr>
                    <w:t>/</w:t>
                  </w:r>
                </w:p>
              </w:tc>
            </w:tr>
            <w:tr w14:paraId="68E345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restart"/>
                  <w:noWrap w:val="0"/>
                  <w:vAlign w:val="center"/>
                </w:tcPr>
                <w:p w14:paraId="33E81436">
                  <w:pPr>
                    <w:jc w:val="center"/>
                    <w:rPr>
                      <w:rFonts w:hint="eastAsia"/>
                      <w:color w:val="auto"/>
                      <w:lang w:val="en-US" w:eastAsia="zh-CN"/>
                    </w:rPr>
                  </w:pPr>
                  <w:r>
                    <w:rPr>
                      <w:rFonts w:hint="eastAsia"/>
                      <w:color w:val="auto"/>
                      <w:lang w:val="en-US" w:eastAsia="zh-CN"/>
                    </w:rPr>
                    <w:t>环保工程</w:t>
                  </w:r>
                </w:p>
              </w:tc>
              <w:tc>
                <w:tcPr>
                  <w:tcW w:w="1190" w:type="dxa"/>
                  <w:noWrap w:val="0"/>
                  <w:vAlign w:val="center"/>
                </w:tcPr>
                <w:p w14:paraId="0E58EC5A">
                  <w:pPr>
                    <w:jc w:val="center"/>
                    <w:rPr>
                      <w:rFonts w:hint="default"/>
                      <w:color w:val="auto"/>
                      <w:lang w:val="en-US" w:eastAsia="zh-CN"/>
                    </w:rPr>
                  </w:pPr>
                  <w:r>
                    <w:rPr>
                      <w:color w:val="auto"/>
                    </w:rPr>
                    <w:t>废气处理</w:t>
                  </w:r>
                </w:p>
              </w:tc>
              <w:tc>
                <w:tcPr>
                  <w:tcW w:w="5375" w:type="dxa"/>
                  <w:noWrap w:val="0"/>
                  <w:vAlign w:val="center"/>
                </w:tcPr>
                <w:p w14:paraId="0F8D2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项目主要大气污染物为</w:t>
                  </w:r>
                  <w:r>
                    <w:rPr>
                      <w:rFonts w:hint="eastAsia" w:cs="Times New Roman"/>
                      <w:b w:val="0"/>
                      <w:bCs/>
                      <w:sz w:val="21"/>
                      <w:szCs w:val="21"/>
                      <w:lang w:val="en-US" w:eastAsia="zh-CN"/>
                    </w:rPr>
                    <w:t>油烟、颗粒物、二氧化硫、氮氧化物、硫化氢和氨</w:t>
                  </w:r>
                  <w:r>
                    <w:rPr>
                      <w:rFonts w:hint="eastAsia" w:ascii="Times New Roman" w:hAnsi="Times New Roman" w:eastAsia="宋体" w:cs="Times New Roman"/>
                      <w:b w:val="0"/>
                      <w:bCs/>
                      <w:sz w:val="21"/>
                      <w:szCs w:val="21"/>
                      <w:lang w:val="en-US" w:eastAsia="zh-CN"/>
                    </w:rPr>
                    <w:t>，</w:t>
                  </w:r>
                </w:p>
                <w:p w14:paraId="62667B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油烟废气中的油烟和燃气灶燃烧废气中的</w:t>
                  </w:r>
                  <w:r>
                    <w:rPr>
                      <w:rFonts w:hint="eastAsia" w:cs="Times New Roman"/>
                      <w:b w:val="0"/>
                      <w:bCs/>
                      <w:sz w:val="21"/>
                      <w:szCs w:val="21"/>
                      <w:lang w:val="en-US" w:eastAsia="zh-CN"/>
                    </w:rPr>
                    <w:t>颗粒物、二氧化硫、氮氧化物经收集后</w:t>
                  </w:r>
                  <w:r>
                    <w:rPr>
                      <w:rFonts w:hint="eastAsia" w:ascii="Times New Roman" w:hAnsi="Times New Roman" w:eastAsia="宋体" w:cs="Times New Roman"/>
                      <w:b w:val="0"/>
                      <w:bCs/>
                      <w:sz w:val="21"/>
                      <w:szCs w:val="21"/>
                      <w:lang w:val="en-US" w:eastAsia="zh-CN"/>
                    </w:rPr>
                    <w:t>通过</w:t>
                  </w:r>
                  <w:r>
                    <w:rPr>
                      <w:rFonts w:hint="eastAsia" w:cs="Times New Roman"/>
                      <w:b w:val="0"/>
                      <w:bCs/>
                      <w:sz w:val="21"/>
                      <w:szCs w:val="21"/>
                      <w:lang w:val="en-US" w:eastAsia="zh-CN"/>
                    </w:rPr>
                    <w:t>静电油烟净化装置</w:t>
                  </w:r>
                  <w:r>
                    <w:rPr>
                      <w:rFonts w:hint="eastAsia" w:ascii="Times New Roman" w:hAnsi="Times New Roman" w:eastAsia="宋体" w:cs="Times New Roman"/>
                      <w:b w:val="0"/>
                      <w:bCs/>
                      <w:sz w:val="21"/>
                      <w:szCs w:val="21"/>
                      <w:lang w:val="en-US" w:eastAsia="zh-CN"/>
                    </w:rPr>
                    <w:t>处理达标后经</w:t>
                  </w:r>
                  <w:r>
                    <w:rPr>
                      <w:rFonts w:hint="eastAsia" w:cs="Times New Roman"/>
                      <w:b w:val="0"/>
                      <w:bCs/>
                      <w:sz w:val="21"/>
                      <w:szCs w:val="21"/>
                      <w:lang w:val="en-US" w:eastAsia="zh-CN"/>
                    </w:rPr>
                    <w:t>各自专用排烟管道</w:t>
                  </w:r>
                  <w:r>
                    <w:rPr>
                      <w:rFonts w:hint="eastAsia" w:ascii="Times New Roman" w:hAnsi="Times New Roman" w:eastAsia="宋体" w:cs="Times New Roman"/>
                      <w:b w:val="0"/>
                      <w:bCs/>
                      <w:sz w:val="21"/>
                      <w:szCs w:val="21"/>
                      <w:lang w:val="en-US" w:eastAsia="zh-CN"/>
                    </w:rPr>
                    <w:t>排放</w:t>
                  </w:r>
                  <w:r>
                    <w:rPr>
                      <w:rFonts w:hint="eastAsia" w:cs="Times New Roman"/>
                      <w:b w:val="0"/>
                      <w:bCs/>
                      <w:sz w:val="21"/>
                      <w:szCs w:val="21"/>
                      <w:lang w:val="en-US" w:eastAsia="zh-CN"/>
                    </w:rPr>
                    <w:t>（中央厨房DA001-DA004排气筒、1号预制菜车间DA007-DA014排气筒）；</w:t>
                  </w:r>
                </w:p>
                <w:p w14:paraId="43292A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sz w:val="21"/>
                      <w:szCs w:val="21"/>
                      <w:lang w:val="en-US" w:eastAsia="zh-CN"/>
                    </w:rPr>
                  </w:pPr>
                  <w:r>
                    <w:rPr>
                      <w:rFonts w:hint="eastAsia" w:cs="Times New Roman"/>
                      <w:b w:val="0"/>
                      <w:bCs/>
                      <w:sz w:val="21"/>
                      <w:szCs w:val="21"/>
                      <w:lang w:val="en-US" w:eastAsia="zh-CN"/>
                    </w:rPr>
                    <w:t>锅炉废气中的颗粒物、二氧化硫、氮氧化物</w:t>
                  </w:r>
                  <w:r>
                    <w:rPr>
                      <w:rFonts w:hint="eastAsia" w:ascii="Times New Roman" w:hAnsi="Times New Roman" w:eastAsia="宋体" w:cs="Times New Roman"/>
                      <w:b w:val="0"/>
                      <w:bCs/>
                      <w:sz w:val="21"/>
                      <w:szCs w:val="21"/>
                      <w:lang w:val="en-US" w:eastAsia="zh-CN"/>
                    </w:rPr>
                    <w:t>通过</w:t>
                  </w:r>
                  <w:r>
                    <w:rPr>
                      <w:rFonts w:hint="eastAsia" w:cs="Times New Roman"/>
                      <w:b w:val="0"/>
                      <w:bCs/>
                      <w:sz w:val="21"/>
                      <w:szCs w:val="21"/>
                      <w:lang w:val="en-US" w:eastAsia="zh-CN"/>
                    </w:rPr>
                    <w:t>低氮燃烧技术处理后经各自专用排气筒</w:t>
                  </w:r>
                  <w:r>
                    <w:rPr>
                      <w:rFonts w:hint="eastAsia" w:ascii="Times New Roman" w:hAnsi="Times New Roman" w:eastAsia="宋体" w:cs="Times New Roman"/>
                      <w:b w:val="0"/>
                      <w:bCs/>
                      <w:sz w:val="21"/>
                      <w:szCs w:val="21"/>
                      <w:lang w:val="en-US" w:eastAsia="zh-CN"/>
                    </w:rPr>
                    <w:t>排放</w:t>
                  </w:r>
                  <w:r>
                    <w:rPr>
                      <w:rFonts w:hint="eastAsia" w:cs="Times New Roman"/>
                      <w:b w:val="0"/>
                      <w:bCs/>
                      <w:sz w:val="21"/>
                      <w:szCs w:val="21"/>
                      <w:lang w:val="en-US" w:eastAsia="zh-CN"/>
                    </w:rPr>
                    <w:t>（中央厨房DA005和DA006排气筒、1号预制菜车间DA015和DA016排气筒）；</w:t>
                  </w:r>
                </w:p>
                <w:p w14:paraId="71377B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21"/>
                      <w:szCs w:val="21"/>
                      <w:lang w:val="en-US" w:eastAsia="zh-CN"/>
                    </w:rPr>
                  </w:pPr>
                  <w:r>
                    <w:rPr>
                      <w:rFonts w:hint="eastAsia" w:cs="Times New Roman"/>
                      <w:b w:val="0"/>
                      <w:bCs/>
                      <w:sz w:val="21"/>
                      <w:szCs w:val="21"/>
                      <w:lang w:val="en-US" w:eastAsia="zh-CN"/>
                    </w:rPr>
                    <w:t>污水处理站恶臭污染物中的硫化氢和氨</w:t>
                  </w:r>
                  <w:r>
                    <w:rPr>
                      <w:rFonts w:hint="eastAsia" w:cs="Times New Roman"/>
                      <w:color w:val="000000" w:themeColor="text1"/>
                      <w:sz w:val="21"/>
                      <w:szCs w:val="21"/>
                      <w:highlight w:val="none"/>
                      <w:lang w:val="en-US" w:eastAsia="zh-CN"/>
                      <w14:textFill>
                        <w14:solidFill>
                          <w14:schemeClr w14:val="tx1"/>
                        </w14:solidFill>
                      </w14:textFill>
                    </w:rPr>
                    <w:t>可</w:t>
                  </w:r>
                  <w:r>
                    <w:rPr>
                      <w:rStyle w:val="148"/>
                      <w:rFonts w:hint="eastAsia" w:cs="Times New Roman"/>
                      <w:sz w:val="21"/>
                      <w:szCs w:val="21"/>
                      <w:lang w:val="en-US" w:eastAsia="zh-CN" w:bidi="ar"/>
                    </w:rPr>
                    <w:t>通过对</w:t>
                  </w:r>
                  <w:r>
                    <w:rPr>
                      <w:rFonts w:hint="eastAsia" w:ascii="Times New Roman" w:hAnsi="Times New Roman" w:eastAsia="Times New Roman"/>
                      <w:sz w:val="21"/>
                      <w:szCs w:val="21"/>
                      <w:lang w:val="en-US" w:eastAsia="zh-CN"/>
                    </w:rPr>
                    <w:t>污水处理站</w:t>
                  </w:r>
                  <w:r>
                    <w:rPr>
                      <w:rStyle w:val="148"/>
                      <w:rFonts w:hint="eastAsia" w:cs="Times New Roman"/>
                      <w:sz w:val="21"/>
                      <w:szCs w:val="21"/>
                      <w:lang w:val="en-US" w:eastAsia="zh-CN" w:bidi="ar"/>
                    </w:rPr>
                    <w:t>定期喷洒除臭剂、加盖密闭、加强通风等措施处理后排放。</w:t>
                  </w:r>
                </w:p>
              </w:tc>
              <w:tc>
                <w:tcPr>
                  <w:tcW w:w="812" w:type="dxa"/>
                  <w:noWrap w:val="0"/>
                  <w:vAlign w:val="center"/>
                </w:tcPr>
                <w:p w14:paraId="373F59AA">
                  <w:pPr>
                    <w:jc w:val="center"/>
                    <w:rPr>
                      <w:rFonts w:hint="eastAsia"/>
                      <w:color w:val="auto"/>
                    </w:rPr>
                  </w:pPr>
                  <w:r>
                    <w:rPr>
                      <w:rFonts w:hint="eastAsia"/>
                      <w:color w:val="auto"/>
                      <w:lang w:val="en-US" w:eastAsia="zh-CN"/>
                    </w:rPr>
                    <w:t>/</w:t>
                  </w:r>
                </w:p>
              </w:tc>
            </w:tr>
            <w:tr w14:paraId="30C727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0F2C5E3A">
                  <w:pPr>
                    <w:jc w:val="center"/>
                    <w:rPr>
                      <w:rFonts w:hint="default"/>
                      <w:color w:val="auto"/>
                    </w:rPr>
                  </w:pPr>
                </w:p>
              </w:tc>
              <w:tc>
                <w:tcPr>
                  <w:tcW w:w="1190" w:type="dxa"/>
                  <w:noWrap w:val="0"/>
                  <w:vAlign w:val="center"/>
                </w:tcPr>
                <w:p w14:paraId="42C9ADF8">
                  <w:pPr>
                    <w:jc w:val="center"/>
                    <w:rPr>
                      <w:rFonts w:hint="eastAsia"/>
                      <w:color w:val="auto"/>
                      <w:lang w:val="en-US" w:eastAsia="zh-CN"/>
                    </w:rPr>
                  </w:pPr>
                  <w:r>
                    <w:rPr>
                      <w:color w:val="auto"/>
                    </w:rPr>
                    <w:t>废水处理</w:t>
                  </w:r>
                </w:p>
              </w:tc>
              <w:tc>
                <w:tcPr>
                  <w:tcW w:w="5375" w:type="dxa"/>
                  <w:noWrap w:val="0"/>
                  <w:vAlign w:val="center"/>
                </w:tcPr>
                <w:p w14:paraId="266B0840">
                  <w:pPr>
                    <w:spacing w:line="240" w:lineRule="atLeast"/>
                    <w:jc w:val="center"/>
                    <w:rPr>
                      <w:rFonts w:hint="eastAsia"/>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本项目废水主要分为生活污水、生产废水</w:t>
                  </w:r>
                  <w:r>
                    <w:rPr>
                      <w:rFonts w:hint="eastAsia" w:cs="Times New Roman"/>
                      <w:color w:val="000000"/>
                      <w:kern w:val="0"/>
                      <w:sz w:val="21"/>
                      <w:szCs w:val="21"/>
                      <w:lang w:val="en-US" w:eastAsia="zh-CN" w:bidi="ar"/>
                    </w:rPr>
                    <w:t>和纯水制备浓水</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纯水制备浓水可</w:t>
                  </w:r>
                  <w:r>
                    <w:rPr>
                      <w:rFonts w:hint="eastAsia" w:cs="Times New Roman"/>
                      <w:color w:val="auto"/>
                      <w:sz w:val="21"/>
                      <w:szCs w:val="21"/>
                      <w:highlight w:val="none"/>
                      <w:lang w:val="en-US" w:eastAsia="zh-CN"/>
                    </w:rPr>
                    <w:t>不经过污水处理站处理直接</w:t>
                  </w:r>
                  <w:r>
                    <w:rPr>
                      <w:rFonts w:hint="default" w:ascii="Times New Roman" w:hAnsi="Times New Roman" w:cs="Times New Roman"/>
                      <w:color w:val="auto"/>
                      <w:sz w:val="21"/>
                      <w:szCs w:val="21"/>
                      <w:highlight w:val="none"/>
                      <w:lang w:val="en-US" w:eastAsia="zh-CN"/>
                    </w:rPr>
                    <w:t>和</w:t>
                  </w:r>
                  <w:r>
                    <w:rPr>
                      <w:rFonts w:hint="eastAsia" w:ascii="Times New Roman" w:hAnsi="Times New Roman" w:cs="Times New Roman"/>
                      <w:color w:val="auto"/>
                      <w:sz w:val="21"/>
                      <w:szCs w:val="21"/>
                      <w:highlight w:val="none"/>
                      <w:lang w:val="en-US" w:eastAsia="zh-CN"/>
                    </w:rPr>
                    <w:t>污水处理站</w:t>
                  </w:r>
                  <w:r>
                    <w:rPr>
                      <w:rFonts w:hint="default" w:ascii="Times New Roman" w:hAnsi="Times New Roman" w:cs="Times New Roman"/>
                      <w:color w:val="auto"/>
                      <w:sz w:val="21"/>
                      <w:szCs w:val="21"/>
                      <w:highlight w:val="none"/>
                      <w:lang w:val="en-US" w:eastAsia="zh-CN"/>
                    </w:rPr>
                    <w:t>处理过的废水一起经总排口排入污水管网</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生活污水经化粪池处理后和生产废水一起</w:t>
                  </w:r>
                  <w:r>
                    <w:rPr>
                      <w:rFonts w:hint="default" w:ascii="Times New Roman" w:hAnsi="Times New Roman" w:eastAsia="宋体" w:cs="Times New Roman"/>
                      <w:color w:val="000000"/>
                      <w:kern w:val="0"/>
                      <w:sz w:val="21"/>
                      <w:szCs w:val="21"/>
                      <w:lang w:val="en-US" w:eastAsia="zh-CN" w:bidi="ar"/>
                    </w:rPr>
                    <w:t>进入自建污水处理站处理达标后通过污水管网进入宁都县第二污水处理厂处理</w:t>
                  </w:r>
                  <w:r>
                    <w:rPr>
                      <w:rFonts w:hint="default" w:ascii="Times New Roman" w:hAnsi="Times New Roman" w:cs="Times New Roman"/>
                      <w:color w:val="auto"/>
                      <w:sz w:val="21"/>
                      <w:szCs w:val="21"/>
                      <w:lang w:val="en-US" w:eastAsia="zh-CN"/>
                    </w:rPr>
                    <w:t>达到《城镇污水处理厂污染物排放标准》（GB18918-2002）</w:t>
                  </w:r>
                  <w:r>
                    <w:rPr>
                      <w:rFonts w:hint="eastAsia" w:cs="Times New Roman"/>
                      <w:color w:val="auto"/>
                      <w:sz w:val="21"/>
                      <w:szCs w:val="21"/>
                      <w:lang w:val="en-US" w:eastAsia="zh-CN"/>
                    </w:rPr>
                    <w:t>一级A</w:t>
                  </w:r>
                  <w:r>
                    <w:rPr>
                      <w:rFonts w:hint="default" w:ascii="Times New Roman" w:hAnsi="Times New Roman" w:cs="Times New Roman"/>
                      <w:color w:val="auto"/>
                      <w:sz w:val="21"/>
                      <w:szCs w:val="21"/>
                      <w:lang w:val="en-US" w:eastAsia="zh-CN"/>
                    </w:rPr>
                    <w:t>标准</w:t>
                  </w:r>
                  <w:r>
                    <w:rPr>
                      <w:rFonts w:hint="default" w:ascii="Times New Roman" w:hAnsi="Times New Roman" w:eastAsia="宋体" w:cs="Times New Roman"/>
                      <w:b w:val="0"/>
                      <w:bCs/>
                      <w:color w:val="auto"/>
                      <w:kern w:val="2"/>
                      <w:sz w:val="21"/>
                      <w:szCs w:val="21"/>
                      <w:lang w:val="en-US" w:eastAsia="zh-CN" w:bidi="ar-SA"/>
                    </w:rPr>
                    <w:t>后</w:t>
                  </w:r>
                  <w:r>
                    <w:rPr>
                      <w:rFonts w:hint="default" w:ascii="Times New Roman" w:hAnsi="Times New Roman" w:eastAsia="宋体" w:cs="Times New Roman"/>
                      <w:color w:val="000000"/>
                      <w:kern w:val="0"/>
                      <w:sz w:val="21"/>
                      <w:szCs w:val="21"/>
                      <w:lang w:val="en-US" w:eastAsia="zh-CN" w:bidi="ar"/>
                    </w:rPr>
                    <w:t>，最终排入梅江。</w:t>
                  </w:r>
                </w:p>
              </w:tc>
              <w:tc>
                <w:tcPr>
                  <w:tcW w:w="812" w:type="dxa"/>
                  <w:noWrap w:val="0"/>
                  <w:vAlign w:val="center"/>
                </w:tcPr>
                <w:p w14:paraId="6A9C3A80">
                  <w:pPr>
                    <w:jc w:val="center"/>
                    <w:rPr>
                      <w:rFonts w:hint="eastAsia"/>
                      <w:color w:val="auto"/>
                    </w:rPr>
                  </w:pPr>
                  <w:r>
                    <w:rPr>
                      <w:rFonts w:hint="eastAsia"/>
                      <w:color w:val="auto"/>
                      <w:lang w:val="en-US" w:eastAsia="zh-CN"/>
                    </w:rPr>
                    <w:t>/</w:t>
                  </w:r>
                </w:p>
              </w:tc>
            </w:tr>
            <w:tr w14:paraId="334C5A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05528344">
                  <w:pPr>
                    <w:jc w:val="center"/>
                    <w:rPr>
                      <w:rFonts w:hint="default"/>
                      <w:color w:val="auto"/>
                    </w:rPr>
                  </w:pPr>
                </w:p>
              </w:tc>
              <w:tc>
                <w:tcPr>
                  <w:tcW w:w="1190" w:type="dxa"/>
                  <w:noWrap w:val="0"/>
                  <w:vAlign w:val="center"/>
                </w:tcPr>
                <w:p w14:paraId="11E1AD44">
                  <w:pPr>
                    <w:jc w:val="center"/>
                    <w:rPr>
                      <w:rFonts w:hint="eastAsia"/>
                      <w:color w:val="auto"/>
                      <w:lang w:val="en-US" w:eastAsia="zh-CN"/>
                    </w:rPr>
                  </w:pPr>
                  <w:r>
                    <w:rPr>
                      <w:color w:val="auto"/>
                    </w:rPr>
                    <w:t>噪声治理</w:t>
                  </w:r>
                </w:p>
              </w:tc>
              <w:tc>
                <w:tcPr>
                  <w:tcW w:w="5375" w:type="dxa"/>
                  <w:noWrap w:val="0"/>
                  <w:vAlign w:val="center"/>
                </w:tcPr>
                <w:p w14:paraId="7070FA0A">
                  <w:pPr>
                    <w:spacing w:line="240" w:lineRule="atLeast"/>
                    <w:jc w:val="center"/>
                    <w:rPr>
                      <w:rFonts w:hint="eastAsia"/>
                      <w:color w:val="auto"/>
                      <w:lang w:val="en-US" w:eastAsia="zh-CN"/>
                    </w:rPr>
                  </w:pPr>
                  <w:r>
                    <w:rPr>
                      <w:rFonts w:hint="eastAsia"/>
                      <w:color w:val="auto"/>
                      <w:lang w:val="en-US" w:eastAsia="zh-CN"/>
                    </w:rPr>
                    <w:t>设计中应尽量选用低噪声设备，采用隔声、吸声、减振措施，以减轻噪声的影响。</w:t>
                  </w:r>
                </w:p>
              </w:tc>
              <w:tc>
                <w:tcPr>
                  <w:tcW w:w="812" w:type="dxa"/>
                  <w:noWrap w:val="0"/>
                  <w:vAlign w:val="center"/>
                </w:tcPr>
                <w:p w14:paraId="1DEA1002">
                  <w:pPr>
                    <w:jc w:val="center"/>
                    <w:rPr>
                      <w:rFonts w:hint="eastAsia"/>
                      <w:color w:val="auto"/>
                    </w:rPr>
                  </w:pPr>
                  <w:r>
                    <w:rPr>
                      <w:rFonts w:hint="eastAsia"/>
                      <w:color w:val="auto"/>
                      <w:lang w:val="en-US" w:eastAsia="zh-CN"/>
                    </w:rPr>
                    <w:t>/</w:t>
                  </w:r>
                </w:p>
              </w:tc>
            </w:tr>
            <w:tr w14:paraId="29F569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4EEE48E3">
                  <w:pPr>
                    <w:jc w:val="center"/>
                    <w:rPr>
                      <w:rFonts w:hint="default"/>
                      <w:color w:val="auto"/>
                    </w:rPr>
                  </w:pPr>
                </w:p>
              </w:tc>
              <w:tc>
                <w:tcPr>
                  <w:tcW w:w="1190" w:type="dxa"/>
                  <w:noWrap w:val="0"/>
                  <w:vAlign w:val="center"/>
                </w:tcPr>
                <w:p w14:paraId="0ED07413">
                  <w:pPr>
                    <w:jc w:val="center"/>
                    <w:rPr>
                      <w:rFonts w:hint="eastAsia"/>
                      <w:color w:val="auto"/>
                      <w:lang w:val="en-US" w:eastAsia="zh-CN"/>
                    </w:rPr>
                  </w:pPr>
                  <w:r>
                    <w:rPr>
                      <w:color w:val="auto"/>
                    </w:rPr>
                    <w:t>固废处理</w:t>
                  </w:r>
                </w:p>
              </w:tc>
              <w:tc>
                <w:tcPr>
                  <w:tcW w:w="5375" w:type="dxa"/>
                  <w:noWrap w:val="0"/>
                  <w:vAlign w:val="center"/>
                </w:tcPr>
                <w:p w14:paraId="25EE3201">
                  <w:pPr>
                    <w:spacing w:line="240" w:lineRule="atLeast"/>
                    <w:jc w:val="center"/>
                    <w:rPr>
                      <w:rFonts w:hint="eastAsia" w:eastAsia="宋体"/>
                      <w:color w:val="auto"/>
                      <w:vertAlign w:val="baseline"/>
                      <w:lang w:val="en-US" w:eastAsia="zh-CN"/>
                    </w:rPr>
                  </w:pPr>
                  <w:r>
                    <w:rPr>
                      <w:rFonts w:hint="eastAsia"/>
                      <w:color w:val="auto"/>
                    </w:rPr>
                    <w:t>一般固废</w:t>
                  </w:r>
                  <w:r>
                    <w:rPr>
                      <w:rFonts w:hint="eastAsia"/>
                      <w:color w:val="auto"/>
                      <w:lang w:val="en-US" w:eastAsia="zh-CN"/>
                    </w:rPr>
                    <w:t>暂存间，</w:t>
                  </w:r>
                  <w:r>
                    <w:rPr>
                      <w:rFonts w:hint="eastAsia"/>
                      <w:color w:val="auto"/>
                    </w:rPr>
                    <w:t>占地面积</w:t>
                  </w:r>
                  <w:r>
                    <w:rPr>
                      <w:rFonts w:hint="eastAsia"/>
                      <w:color w:val="auto"/>
                      <w:lang w:val="en-US" w:eastAsia="zh-CN"/>
                    </w:rPr>
                    <w:t>2</w:t>
                  </w:r>
                  <w:r>
                    <w:rPr>
                      <w:rFonts w:hint="eastAsia"/>
                      <w:color w:val="auto"/>
                    </w:rPr>
                    <w:t>0m</w:t>
                  </w:r>
                  <w:r>
                    <w:rPr>
                      <w:rFonts w:hint="eastAsia"/>
                      <w:color w:val="auto"/>
                      <w:vertAlign w:val="superscript"/>
                    </w:rPr>
                    <w:t>2</w:t>
                  </w:r>
                  <w:r>
                    <w:rPr>
                      <w:rFonts w:hint="eastAsia"/>
                      <w:color w:val="auto"/>
                    </w:rPr>
                    <w:t>，</w:t>
                  </w:r>
                  <w:r>
                    <w:rPr>
                      <w:rFonts w:hint="eastAsia"/>
                      <w:color w:val="auto"/>
                      <w:lang w:val="en-US" w:eastAsia="zh-CN"/>
                    </w:rPr>
                    <w:t>位于中央厨房东侧</w:t>
                  </w:r>
                </w:p>
              </w:tc>
              <w:tc>
                <w:tcPr>
                  <w:tcW w:w="812" w:type="dxa"/>
                  <w:noWrap w:val="0"/>
                  <w:vAlign w:val="center"/>
                </w:tcPr>
                <w:p w14:paraId="72AAE2C0">
                  <w:pPr>
                    <w:jc w:val="center"/>
                    <w:rPr>
                      <w:rFonts w:hint="eastAsia" w:eastAsia="宋体"/>
                      <w:color w:val="auto"/>
                      <w:lang w:eastAsia="zh-CN"/>
                    </w:rPr>
                  </w:pPr>
                  <w:r>
                    <w:rPr>
                      <w:rFonts w:hint="eastAsia"/>
                      <w:color w:val="auto"/>
                      <w:lang w:val="en-US" w:eastAsia="zh-CN"/>
                    </w:rPr>
                    <w:t>/</w:t>
                  </w:r>
                </w:p>
              </w:tc>
            </w:tr>
            <w:tr w14:paraId="0D833F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28537BA9">
                  <w:pPr>
                    <w:jc w:val="center"/>
                    <w:rPr>
                      <w:rFonts w:hint="default"/>
                      <w:color w:val="auto"/>
                    </w:rPr>
                  </w:pPr>
                </w:p>
              </w:tc>
              <w:tc>
                <w:tcPr>
                  <w:tcW w:w="1190" w:type="dxa"/>
                  <w:noWrap w:val="0"/>
                  <w:vAlign w:val="center"/>
                </w:tcPr>
                <w:p w14:paraId="2E968845">
                  <w:pPr>
                    <w:jc w:val="center"/>
                    <w:rPr>
                      <w:rFonts w:hint="eastAsia" w:eastAsia="宋体"/>
                      <w:color w:val="auto"/>
                      <w:lang w:val="en-US" w:eastAsia="zh-CN"/>
                    </w:rPr>
                  </w:pPr>
                  <w:r>
                    <w:rPr>
                      <w:rFonts w:hint="eastAsia"/>
                      <w:color w:val="auto"/>
                      <w:lang w:val="en-US" w:eastAsia="zh-CN"/>
                    </w:rPr>
                    <w:t>危废处理</w:t>
                  </w:r>
                </w:p>
              </w:tc>
              <w:tc>
                <w:tcPr>
                  <w:tcW w:w="5375" w:type="dxa"/>
                  <w:noWrap w:val="0"/>
                  <w:vAlign w:val="center"/>
                </w:tcPr>
                <w:p w14:paraId="547EFADF">
                  <w:pPr>
                    <w:jc w:val="center"/>
                    <w:rPr>
                      <w:rFonts w:hint="default" w:eastAsia="宋体"/>
                      <w:color w:val="auto"/>
                      <w:lang w:val="en-US" w:eastAsia="zh-CN"/>
                    </w:rPr>
                  </w:pPr>
                  <w:r>
                    <w:rPr>
                      <w:rFonts w:hint="eastAsia"/>
                      <w:color w:val="auto"/>
                    </w:rPr>
                    <w:t>危险</w:t>
                  </w:r>
                  <w:r>
                    <w:rPr>
                      <w:rFonts w:hint="eastAsia"/>
                      <w:color w:val="auto"/>
                      <w:lang w:val="en-US" w:eastAsia="zh-CN"/>
                    </w:rPr>
                    <w:t>废物暂存间，</w:t>
                  </w:r>
                  <w:r>
                    <w:rPr>
                      <w:rFonts w:hint="eastAsia"/>
                      <w:color w:val="auto"/>
                    </w:rPr>
                    <w:t>占地面积</w:t>
                  </w:r>
                  <w:r>
                    <w:rPr>
                      <w:rFonts w:hint="eastAsia"/>
                      <w:color w:val="auto"/>
                      <w:lang w:val="en-US" w:eastAsia="zh-CN"/>
                    </w:rPr>
                    <w:t>10</w:t>
                  </w:r>
                  <w:r>
                    <w:rPr>
                      <w:rFonts w:hint="eastAsia"/>
                      <w:color w:val="auto"/>
                    </w:rPr>
                    <w:t>m</w:t>
                  </w:r>
                  <w:r>
                    <w:rPr>
                      <w:rFonts w:hint="eastAsia"/>
                      <w:color w:val="auto"/>
                      <w:vertAlign w:val="superscript"/>
                    </w:rPr>
                    <w:t>2</w:t>
                  </w:r>
                  <w:r>
                    <w:rPr>
                      <w:rFonts w:hint="eastAsia"/>
                      <w:color w:val="auto"/>
                    </w:rPr>
                    <w:t>，</w:t>
                  </w:r>
                  <w:r>
                    <w:rPr>
                      <w:rFonts w:hint="eastAsia"/>
                      <w:color w:val="auto"/>
                      <w:lang w:val="en-US" w:eastAsia="zh-CN"/>
                    </w:rPr>
                    <w:t>位于肉类车间西侧</w:t>
                  </w:r>
                </w:p>
              </w:tc>
              <w:tc>
                <w:tcPr>
                  <w:tcW w:w="812" w:type="dxa"/>
                  <w:noWrap w:val="0"/>
                  <w:vAlign w:val="center"/>
                </w:tcPr>
                <w:p w14:paraId="766384DB">
                  <w:pPr>
                    <w:jc w:val="center"/>
                    <w:rPr>
                      <w:rFonts w:hint="eastAsia" w:eastAsia="宋体"/>
                      <w:color w:val="auto"/>
                      <w:lang w:eastAsia="zh-CN"/>
                    </w:rPr>
                  </w:pPr>
                  <w:r>
                    <w:rPr>
                      <w:rFonts w:hint="eastAsia"/>
                      <w:color w:val="auto"/>
                      <w:lang w:val="en-US" w:eastAsia="zh-CN"/>
                    </w:rPr>
                    <w:t>/</w:t>
                  </w:r>
                </w:p>
              </w:tc>
            </w:tr>
            <w:tr w14:paraId="3275E8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vMerge w:val="continue"/>
                  <w:noWrap w:val="0"/>
                  <w:vAlign w:val="center"/>
                </w:tcPr>
                <w:p w14:paraId="63226BA7">
                  <w:pPr>
                    <w:jc w:val="center"/>
                    <w:rPr>
                      <w:rFonts w:hint="default"/>
                      <w:color w:val="auto"/>
                    </w:rPr>
                  </w:pPr>
                </w:p>
              </w:tc>
              <w:tc>
                <w:tcPr>
                  <w:tcW w:w="1190" w:type="dxa"/>
                  <w:noWrap w:val="0"/>
                  <w:vAlign w:val="center"/>
                </w:tcPr>
                <w:p w14:paraId="57165394">
                  <w:pPr>
                    <w:jc w:val="center"/>
                    <w:rPr>
                      <w:rFonts w:hint="default"/>
                      <w:color w:val="auto"/>
                      <w:lang w:val="en-US" w:eastAsia="zh-CN"/>
                    </w:rPr>
                  </w:pPr>
                  <w:r>
                    <w:rPr>
                      <w:rFonts w:hint="eastAsia"/>
                      <w:color w:val="auto"/>
                      <w:lang w:val="en-US" w:eastAsia="zh-CN"/>
                    </w:rPr>
                    <w:t>环境风险预防</w:t>
                  </w:r>
                </w:p>
              </w:tc>
              <w:tc>
                <w:tcPr>
                  <w:tcW w:w="5375" w:type="dxa"/>
                  <w:noWrap w:val="0"/>
                  <w:vAlign w:val="center"/>
                </w:tcPr>
                <w:p w14:paraId="1A80F1FF">
                  <w:pPr>
                    <w:jc w:val="center"/>
                    <w:rPr>
                      <w:rFonts w:hint="eastAsia" w:eastAsia="宋体"/>
                      <w:color w:val="auto"/>
                      <w:lang w:val="en-US" w:eastAsia="zh-CN"/>
                    </w:rPr>
                  </w:pPr>
                  <w:r>
                    <w:rPr>
                      <w:rFonts w:hint="eastAsia"/>
                      <w:color w:val="auto"/>
                      <w:lang w:eastAsia="zh-CN"/>
                    </w:rPr>
                    <w:t>树立环境风险意识、实行全面安全管理制度、</w:t>
                  </w:r>
                  <w:r>
                    <w:rPr>
                      <w:rFonts w:hint="eastAsia"/>
                      <w:color w:val="auto"/>
                    </w:rPr>
                    <w:t>建立三级防控体系</w:t>
                  </w:r>
                  <w:r>
                    <w:rPr>
                      <w:rFonts w:hint="eastAsia"/>
                      <w:color w:val="auto"/>
                      <w:lang w:val="en-US" w:eastAsia="zh-CN"/>
                    </w:rPr>
                    <w:t>等</w:t>
                  </w:r>
                </w:p>
              </w:tc>
              <w:tc>
                <w:tcPr>
                  <w:tcW w:w="812" w:type="dxa"/>
                  <w:noWrap w:val="0"/>
                  <w:vAlign w:val="center"/>
                </w:tcPr>
                <w:p w14:paraId="712923D6">
                  <w:pPr>
                    <w:jc w:val="center"/>
                    <w:rPr>
                      <w:rFonts w:hint="default"/>
                      <w:color w:val="auto"/>
                      <w:lang w:val="en-US" w:eastAsia="zh-CN"/>
                    </w:rPr>
                  </w:pPr>
                  <w:r>
                    <w:rPr>
                      <w:rFonts w:hint="eastAsia"/>
                      <w:color w:val="auto"/>
                      <w:lang w:val="en-US" w:eastAsia="zh-CN"/>
                    </w:rPr>
                    <w:t>/</w:t>
                  </w:r>
                </w:p>
              </w:tc>
            </w:tr>
          </w:tbl>
          <w:p w14:paraId="20C07523">
            <w:pPr>
              <w:pStyle w:val="124"/>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（三）</w:t>
            </w:r>
            <w:r>
              <w:rPr>
                <w:rFonts w:hint="default" w:ascii="Times New Roman" w:hAnsi="Times New Roman" w:eastAsia="宋体" w:cs="Times New Roman"/>
                <w:b/>
                <w:bCs/>
                <w:color w:val="auto"/>
                <w:lang w:val="en-US" w:eastAsia="zh-CN"/>
              </w:rPr>
              <w:t>项目产品方案</w:t>
            </w:r>
          </w:p>
          <w:p w14:paraId="3B685C3F">
            <w:pPr>
              <w:pStyle w:val="12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本项目产品具体方案见表2-</w:t>
            </w:r>
            <w:r>
              <w:rPr>
                <w:rFonts w:hint="eastAsia" w:cs="Times New Roman"/>
                <w:color w:val="auto"/>
                <w:lang w:val="en-US" w:eastAsia="zh-CN"/>
              </w:rPr>
              <w:t>3</w:t>
            </w:r>
            <w:r>
              <w:rPr>
                <w:rFonts w:hint="default" w:ascii="Times New Roman" w:hAnsi="Times New Roman" w:eastAsia="宋体" w:cs="Times New Roman"/>
                <w:color w:val="auto"/>
                <w:lang w:val="en-US" w:eastAsia="zh-CN"/>
              </w:rPr>
              <w:t>。</w:t>
            </w:r>
          </w:p>
          <w:p w14:paraId="7AB87434">
            <w:pPr>
              <w:pStyle w:val="125"/>
              <w:bidi w:val="0"/>
              <w:rPr>
                <w:rFonts w:hint="default"/>
                <w:color w:val="auto"/>
                <w:lang w:val="en-US" w:eastAsia="zh-CN"/>
              </w:rPr>
            </w:pPr>
            <w:r>
              <w:rPr>
                <w:rFonts w:hint="default"/>
                <w:color w:val="auto"/>
                <w:lang w:val="en-US" w:eastAsia="zh-CN"/>
              </w:rPr>
              <w:t>表2-</w:t>
            </w:r>
            <w:r>
              <w:rPr>
                <w:rFonts w:hint="eastAsia"/>
                <w:color w:val="auto"/>
                <w:lang w:val="en-US" w:eastAsia="zh-CN"/>
              </w:rPr>
              <w:t>3</w:t>
            </w:r>
            <w:r>
              <w:rPr>
                <w:rFonts w:hint="default"/>
                <w:color w:val="auto"/>
                <w:lang w:val="en-US" w:eastAsia="zh-CN"/>
              </w:rPr>
              <w:t xml:space="preserve"> 本项目产品方案表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06"/>
              <w:gridCol w:w="1200"/>
              <w:gridCol w:w="2296"/>
              <w:gridCol w:w="2596"/>
            </w:tblGrid>
            <w:tr w14:paraId="00381D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1284" w:type="pct"/>
                  <w:tcBorders>
                    <w:tl2br w:val="nil"/>
                    <w:tr2bl w:val="nil"/>
                  </w:tcBorders>
                  <w:noWrap w:val="0"/>
                  <w:vAlign w:val="center"/>
                </w:tcPr>
                <w:p w14:paraId="628FE625">
                  <w:pPr>
                    <w:pStyle w:val="1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default"/>
                      <w:color w:val="auto"/>
                    </w:rPr>
                    <w:t>产品名称</w:t>
                  </w:r>
                </w:p>
              </w:tc>
              <w:tc>
                <w:tcPr>
                  <w:tcW w:w="731" w:type="pct"/>
                  <w:tcBorders>
                    <w:tl2br w:val="nil"/>
                    <w:tr2bl w:val="nil"/>
                  </w:tcBorders>
                  <w:noWrap w:val="0"/>
                  <w:vAlign w:val="center"/>
                </w:tcPr>
                <w:p w14:paraId="696E4C3F">
                  <w:pPr>
                    <w:pStyle w:val="1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default"/>
                      <w:color w:val="auto"/>
                    </w:rPr>
                    <w:t>单位</w:t>
                  </w:r>
                </w:p>
              </w:tc>
              <w:tc>
                <w:tcPr>
                  <w:tcW w:w="1400" w:type="pct"/>
                  <w:tcBorders>
                    <w:tl2br w:val="nil"/>
                    <w:tr2bl w:val="nil"/>
                  </w:tcBorders>
                  <w:noWrap w:val="0"/>
                  <w:vAlign w:val="center"/>
                </w:tcPr>
                <w:p w14:paraId="1EDBA207">
                  <w:pPr>
                    <w:pStyle w:val="1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default"/>
                      <w:color w:val="auto"/>
                    </w:rPr>
                    <w:t>数量</w:t>
                  </w:r>
                </w:p>
              </w:tc>
              <w:tc>
                <w:tcPr>
                  <w:tcW w:w="1583" w:type="pct"/>
                  <w:tcBorders>
                    <w:tl2br w:val="nil"/>
                    <w:tr2bl w:val="nil"/>
                  </w:tcBorders>
                  <w:noWrap w:val="0"/>
                  <w:vAlign w:val="center"/>
                </w:tcPr>
                <w:p w14:paraId="3CDBCF3E">
                  <w:pPr>
                    <w:pStyle w:val="1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备注</w:t>
                  </w:r>
                </w:p>
              </w:tc>
            </w:tr>
            <w:tr w14:paraId="106045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284" w:type="pct"/>
                  <w:tcBorders>
                    <w:tl2br w:val="nil"/>
                    <w:tr2bl w:val="nil"/>
                  </w:tcBorders>
                  <w:noWrap w:val="0"/>
                  <w:vAlign w:val="center"/>
                </w:tcPr>
                <w:p w14:paraId="09E5DC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color w:val="auto"/>
                      <w:szCs w:val="21"/>
                      <w:lang w:val="en-US" w:eastAsia="zh-CN"/>
                    </w:rPr>
                    <w:t>配餐服务</w:t>
                  </w:r>
                </w:p>
              </w:tc>
              <w:tc>
                <w:tcPr>
                  <w:tcW w:w="731" w:type="pct"/>
                  <w:tcBorders>
                    <w:tl2br w:val="nil"/>
                    <w:tr2bl w:val="nil"/>
                  </w:tcBorders>
                  <w:noWrap w:val="0"/>
                  <w:vAlign w:val="center"/>
                </w:tcPr>
                <w:p w14:paraId="459736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szCs w:val="21"/>
                      <w:lang w:val="en-US" w:eastAsia="zh-CN"/>
                    </w:rPr>
                    <w:t>t/a</w:t>
                  </w:r>
                </w:p>
              </w:tc>
              <w:tc>
                <w:tcPr>
                  <w:tcW w:w="1400" w:type="pct"/>
                  <w:tcBorders>
                    <w:tl2br w:val="nil"/>
                    <w:tr2bl w:val="nil"/>
                  </w:tcBorders>
                  <w:noWrap w:val="0"/>
                  <w:vAlign w:val="center"/>
                </w:tcPr>
                <w:p w14:paraId="27EFE1D4">
                  <w:pPr>
                    <w:pStyle w:val="1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szCs w:val="21"/>
                      <w:lang w:val="en-US" w:eastAsia="zh-CN"/>
                    </w:rPr>
                    <w:t>3</w:t>
                  </w:r>
                  <w:r>
                    <w:rPr>
                      <w:rFonts w:hint="eastAsia"/>
                      <w:color w:val="auto"/>
                      <w:szCs w:val="21"/>
                    </w:rPr>
                    <w:t>万</w:t>
                  </w:r>
                </w:p>
              </w:tc>
              <w:tc>
                <w:tcPr>
                  <w:tcW w:w="1583" w:type="pct"/>
                  <w:tcBorders>
                    <w:tl2br w:val="nil"/>
                    <w:tr2bl w:val="nil"/>
                  </w:tcBorders>
                  <w:noWrap w:val="0"/>
                  <w:vAlign w:val="center"/>
                </w:tcPr>
                <w:p w14:paraId="5E59106E">
                  <w:pPr>
                    <w:keepNext w:val="0"/>
                    <w:keepLines w:val="0"/>
                    <w:widowControl/>
                    <w:suppressLineNumbers w:val="0"/>
                    <w:jc w:val="center"/>
                    <w:rPr>
                      <w:rFonts w:hint="default"/>
                      <w:color w:val="auto"/>
                      <w:lang w:val="en-US" w:eastAsia="zh-CN"/>
                    </w:rPr>
                  </w:pPr>
                  <w:r>
                    <w:rPr>
                      <w:rFonts w:hint="eastAsia" w:ascii="Times New Roman" w:hAnsi="Times New Roman" w:eastAsia="宋体" w:cs="Times New Roman"/>
                      <w:color w:val="auto"/>
                      <w:kern w:val="2"/>
                      <w:sz w:val="21"/>
                      <w:szCs w:val="21"/>
                      <w:lang w:val="en-US" w:eastAsia="zh-CN" w:bidi="ar-SA"/>
                    </w:rPr>
                    <w:t>仅为肉类及果蔬切配，无烹饪</w:t>
                  </w:r>
                </w:p>
              </w:tc>
            </w:tr>
            <w:tr w14:paraId="7E8DFF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1284" w:type="pct"/>
                  <w:tcBorders>
                    <w:tl2br w:val="nil"/>
                    <w:tr2bl w:val="nil"/>
                  </w:tcBorders>
                  <w:noWrap w:val="0"/>
                  <w:vAlign w:val="center"/>
                </w:tcPr>
                <w:p w14:paraId="14DF12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szCs w:val="21"/>
                      <w:lang w:val="en-US" w:eastAsia="zh-CN"/>
                    </w:rPr>
                    <w:t>熟食</w:t>
                  </w:r>
                </w:p>
              </w:tc>
              <w:tc>
                <w:tcPr>
                  <w:tcW w:w="731" w:type="pct"/>
                  <w:tcBorders>
                    <w:tl2br w:val="nil"/>
                    <w:tr2bl w:val="nil"/>
                  </w:tcBorders>
                  <w:noWrap w:val="0"/>
                  <w:vAlign w:val="center"/>
                </w:tcPr>
                <w:p w14:paraId="3EF516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szCs w:val="21"/>
                      <w:lang w:val="en-US" w:eastAsia="zh-CN"/>
                    </w:rPr>
                    <w:t>t/a</w:t>
                  </w:r>
                </w:p>
              </w:tc>
              <w:tc>
                <w:tcPr>
                  <w:tcW w:w="1400" w:type="pct"/>
                  <w:tcBorders>
                    <w:tl2br w:val="nil"/>
                    <w:tr2bl w:val="nil"/>
                  </w:tcBorders>
                  <w:noWrap w:val="0"/>
                  <w:vAlign w:val="center"/>
                </w:tcPr>
                <w:p w14:paraId="55F6CE25">
                  <w:pPr>
                    <w:pStyle w:val="1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szCs w:val="21"/>
                      <w:lang w:val="en-US" w:eastAsia="zh-CN"/>
                    </w:rPr>
                    <w:t>2万</w:t>
                  </w:r>
                </w:p>
              </w:tc>
              <w:tc>
                <w:tcPr>
                  <w:tcW w:w="1583" w:type="pct"/>
                  <w:tcBorders>
                    <w:tl2br w:val="nil"/>
                    <w:tr2bl w:val="nil"/>
                  </w:tcBorders>
                  <w:noWrap w:val="0"/>
                  <w:vAlign w:val="center"/>
                </w:tcPr>
                <w:p w14:paraId="086789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包含蒸煮类、炒制类工艺，主要供应周边学校、工厂等</w:t>
                  </w:r>
                </w:p>
              </w:tc>
            </w:tr>
            <w:tr w14:paraId="3CEC09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1284" w:type="pct"/>
                  <w:tcBorders>
                    <w:tl2br w:val="nil"/>
                    <w:tr2bl w:val="nil"/>
                  </w:tcBorders>
                  <w:noWrap w:val="0"/>
                  <w:vAlign w:val="center"/>
                </w:tcPr>
                <w:p w14:paraId="21622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rFonts w:hint="eastAsia"/>
                      <w:color w:val="auto"/>
                      <w:szCs w:val="21"/>
                      <w:lang w:val="en-US" w:eastAsia="zh-CN"/>
                    </w:rPr>
                    <w:t>预制菜</w:t>
                  </w:r>
                </w:p>
              </w:tc>
              <w:tc>
                <w:tcPr>
                  <w:tcW w:w="731" w:type="pct"/>
                  <w:tcBorders>
                    <w:tl2br w:val="nil"/>
                    <w:tr2bl w:val="nil"/>
                  </w:tcBorders>
                  <w:noWrap w:val="0"/>
                  <w:vAlign w:val="center"/>
                </w:tcPr>
                <w:p w14:paraId="771273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lang w:val="en-US" w:eastAsia="zh-CN"/>
                    </w:rPr>
                    <w:t>t/a</w:t>
                  </w:r>
                </w:p>
              </w:tc>
              <w:tc>
                <w:tcPr>
                  <w:tcW w:w="1400" w:type="pct"/>
                  <w:tcBorders>
                    <w:tl2br w:val="nil"/>
                    <w:tr2bl w:val="nil"/>
                  </w:tcBorders>
                  <w:noWrap w:val="0"/>
                  <w:vAlign w:val="center"/>
                </w:tcPr>
                <w:p w14:paraId="15E45602">
                  <w:pPr>
                    <w:pStyle w:val="1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5万</w:t>
                  </w:r>
                </w:p>
              </w:tc>
              <w:tc>
                <w:tcPr>
                  <w:tcW w:w="1583" w:type="pct"/>
                  <w:tcBorders>
                    <w:tl2br w:val="nil"/>
                    <w:tr2bl w:val="nil"/>
                  </w:tcBorders>
                  <w:noWrap w:val="0"/>
                  <w:vAlign w:val="center"/>
                </w:tcPr>
                <w:p w14:paraId="355933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rPr>
                  </w:pPr>
                  <w:r>
                    <w:rPr>
                      <w:rFonts w:hint="eastAsia"/>
                      <w:color w:val="auto"/>
                      <w:lang w:val="en-US" w:eastAsia="zh-CN"/>
                    </w:rPr>
                    <w:t>包含蒸煮类、炒制类工艺，主要为快餐便当类，养生汤类、罐头食品类</w:t>
                  </w:r>
                </w:p>
              </w:tc>
            </w:tr>
          </w:tbl>
          <w:p w14:paraId="40911A35">
            <w:pPr>
              <w:pStyle w:val="1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（四）</w:t>
            </w:r>
            <w:r>
              <w:rPr>
                <w:rFonts w:hint="default" w:ascii="Times New Roman" w:hAnsi="Times New Roman" w:eastAsia="宋体" w:cs="Times New Roman"/>
                <w:b/>
                <w:bCs/>
                <w:color w:val="auto"/>
                <w:lang w:val="en-US" w:eastAsia="zh-CN"/>
              </w:rPr>
              <w:t>主要原辅材料及能源消耗</w:t>
            </w:r>
          </w:p>
          <w:p w14:paraId="1D1F4F5D">
            <w:pPr>
              <w:pStyle w:val="2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rPr>
                <w:rFonts w:hint="default"/>
                <w:color w:val="auto"/>
                <w:lang w:val="en-US" w:eastAsia="zh-CN"/>
              </w:rPr>
            </w:pPr>
            <w:r>
              <w:rPr>
                <w:rFonts w:hint="eastAsia" w:cs="Times New Roman"/>
                <w:bCs/>
                <w:color w:val="auto"/>
                <w:kern w:val="2"/>
                <w:sz w:val="24"/>
                <w:szCs w:val="24"/>
                <w:lang w:val="en-US" w:eastAsia="zh-CN"/>
              </w:rPr>
              <w:t>本</w:t>
            </w:r>
            <w:r>
              <w:rPr>
                <w:rFonts w:hint="default" w:ascii="Times New Roman" w:hAnsi="Times New Roman" w:eastAsia="宋体" w:cs="Times New Roman"/>
                <w:bCs/>
                <w:color w:val="auto"/>
                <w:kern w:val="2"/>
                <w:sz w:val="24"/>
                <w:szCs w:val="24"/>
              </w:rPr>
              <w:t>项目原辅材料及能耗情况见表</w:t>
            </w:r>
            <w:r>
              <w:rPr>
                <w:rFonts w:hint="eastAsia" w:cs="Times New Roman"/>
                <w:bCs/>
                <w:color w:val="auto"/>
                <w:kern w:val="2"/>
                <w:sz w:val="24"/>
                <w:szCs w:val="24"/>
                <w:lang w:val="en-US" w:eastAsia="zh-CN"/>
              </w:rPr>
              <w:t>2-4</w:t>
            </w:r>
            <w:r>
              <w:rPr>
                <w:rFonts w:hint="default" w:ascii="Times New Roman" w:hAnsi="Times New Roman" w:eastAsia="宋体" w:cs="Times New Roman"/>
                <w:bCs/>
                <w:color w:val="auto"/>
                <w:kern w:val="2"/>
                <w:sz w:val="24"/>
                <w:szCs w:val="24"/>
              </w:rPr>
              <w:t>。</w:t>
            </w:r>
          </w:p>
          <w:p w14:paraId="48BD3778">
            <w:pPr>
              <w:pStyle w:val="129"/>
              <w:bidi w:val="0"/>
              <w:rPr>
                <w:rFonts w:hint="default"/>
                <w:color w:val="auto"/>
                <w:lang w:val="en-US" w:eastAsia="zh-CN"/>
              </w:rPr>
            </w:pPr>
            <w:r>
              <w:rPr>
                <w:rFonts w:hint="default"/>
                <w:color w:val="auto"/>
                <w:lang w:val="en-US" w:eastAsia="zh-CN"/>
              </w:rPr>
              <w:t>表2-</w:t>
            </w:r>
            <w:r>
              <w:rPr>
                <w:rFonts w:hint="eastAsia"/>
                <w:color w:val="auto"/>
                <w:lang w:val="en-US" w:eastAsia="zh-CN"/>
              </w:rPr>
              <w:t>4  项目主要</w:t>
            </w:r>
            <w:r>
              <w:rPr>
                <w:rFonts w:hint="default"/>
                <w:color w:val="auto"/>
                <w:lang w:val="en-US" w:eastAsia="zh-CN"/>
              </w:rPr>
              <w:t>原辅材料及</w:t>
            </w:r>
            <w:r>
              <w:rPr>
                <w:rFonts w:hint="eastAsia"/>
                <w:color w:val="auto"/>
                <w:lang w:val="en-US" w:eastAsia="zh-CN"/>
              </w:rPr>
              <w:t>能源</w:t>
            </w:r>
            <w:r>
              <w:rPr>
                <w:rFonts w:hint="default"/>
                <w:color w:val="auto"/>
                <w:lang w:val="en-US" w:eastAsia="zh-CN"/>
              </w:rPr>
              <w:t>消耗</w:t>
            </w:r>
            <w:r>
              <w:rPr>
                <w:rFonts w:hint="eastAsia"/>
                <w:color w:val="auto"/>
                <w:lang w:val="en-US" w:eastAsia="zh-CN"/>
              </w:rPr>
              <w:t>情况</w:t>
            </w:r>
            <w:r>
              <w:rPr>
                <w:rFonts w:hint="default"/>
                <w:color w:val="auto"/>
                <w:lang w:val="en-US" w:eastAsia="zh-CN"/>
              </w:rPr>
              <w:t>一览表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35"/>
              <w:gridCol w:w="1254"/>
              <w:gridCol w:w="1378"/>
              <w:gridCol w:w="2139"/>
              <w:gridCol w:w="1017"/>
              <w:gridCol w:w="1775"/>
            </w:tblGrid>
            <w:tr w14:paraId="10A2B8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387" w:type="pct"/>
                  <w:tcBorders>
                    <w:tl2br w:val="nil"/>
                    <w:tr2bl w:val="nil"/>
                  </w:tcBorders>
                  <w:noWrap w:val="0"/>
                  <w:vAlign w:val="center"/>
                </w:tcPr>
                <w:p w14:paraId="54822DFD">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rPr>
                  </w:pPr>
                  <w:r>
                    <w:rPr>
                      <w:color w:val="auto"/>
                    </w:rPr>
                    <w:t>序号</w:t>
                  </w:r>
                </w:p>
              </w:tc>
              <w:tc>
                <w:tcPr>
                  <w:tcW w:w="764" w:type="pct"/>
                  <w:tcBorders>
                    <w:tl2br w:val="nil"/>
                    <w:tr2bl w:val="nil"/>
                  </w:tcBorders>
                  <w:noWrap w:val="0"/>
                  <w:vAlign w:val="center"/>
                </w:tcPr>
                <w:p w14:paraId="0D489DB2">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rPr>
                  </w:pPr>
                  <w:r>
                    <w:rPr>
                      <w:color w:val="auto"/>
                    </w:rPr>
                    <w:t>原辅材料和能源</w:t>
                  </w:r>
                  <w:r>
                    <w:rPr>
                      <w:rFonts w:hint="eastAsia"/>
                      <w:color w:val="auto"/>
                    </w:rPr>
                    <w:t>名</w:t>
                  </w:r>
                  <w:r>
                    <w:rPr>
                      <w:color w:val="auto"/>
                    </w:rPr>
                    <w:t>称</w:t>
                  </w:r>
                </w:p>
              </w:tc>
              <w:tc>
                <w:tcPr>
                  <w:tcW w:w="840" w:type="pct"/>
                  <w:tcBorders>
                    <w:tl2br w:val="nil"/>
                    <w:tr2bl w:val="nil"/>
                  </w:tcBorders>
                  <w:noWrap w:val="0"/>
                  <w:vAlign w:val="center"/>
                </w:tcPr>
                <w:p w14:paraId="126E76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lang w:eastAsia="zh-CN"/>
                    </w:rPr>
                  </w:pPr>
                  <w:r>
                    <w:rPr>
                      <w:color w:val="auto"/>
                    </w:rPr>
                    <w:t>年</w:t>
                  </w:r>
                  <w:r>
                    <w:rPr>
                      <w:rFonts w:hint="eastAsia"/>
                      <w:color w:val="auto"/>
                    </w:rPr>
                    <w:t>消</w:t>
                  </w:r>
                  <w:r>
                    <w:rPr>
                      <w:color w:val="auto"/>
                    </w:rPr>
                    <w:t>耗量</w:t>
                  </w:r>
                  <w:r>
                    <w:rPr>
                      <w:rFonts w:hint="eastAsia"/>
                      <w:color w:val="auto"/>
                      <w:lang w:eastAsia="zh-CN"/>
                    </w:rPr>
                    <w:t>（</w:t>
                  </w:r>
                  <w:r>
                    <w:rPr>
                      <w:rFonts w:hint="eastAsia"/>
                      <w:color w:val="auto"/>
                      <w:lang w:val="en-US" w:eastAsia="zh-CN"/>
                    </w:rPr>
                    <w:t>t/a</w:t>
                  </w:r>
                  <w:r>
                    <w:rPr>
                      <w:rFonts w:hint="eastAsia"/>
                      <w:color w:val="auto"/>
                      <w:lang w:eastAsia="zh-CN"/>
                    </w:rPr>
                    <w:t>）</w:t>
                  </w:r>
                </w:p>
              </w:tc>
              <w:tc>
                <w:tcPr>
                  <w:tcW w:w="1304" w:type="pct"/>
                  <w:tcBorders>
                    <w:tl2br w:val="nil"/>
                    <w:tr2bl w:val="nil"/>
                  </w:tcBorders>
                  <w:noWrap w:val="0"/>
                  <w:vAlign w:val="center"/>
                </w:tcPr>
                <w:p w14:paraId="700EC6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包装方式/储存位置</w:t>
                  </w:r>
                </w:p>
              </w:tc>
              <w:tc>
                <w:tcPr>
                  <w:tcW w:w="620" w:type="pct"/>
                  <w:tcBorders>
                    <w:tl2br w:val="nil"/>
                    <w:tr2bl w:val="nil"/>
                  </w:tcBorders>
                  <w:noWrap w:val="0"/>
                  <w:vAlign w:val="center"/>
                </w:tcPr>
                <w:p w14:paraId="4C77D2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最大存储量</w:t>
                  </w:r>
                  <w:r>
                    <w:rPr>
                      <w:rFonts w:hint="eastAsia"/>
                      <w:color w:val="auto"/>
                      <w:lang w:eastAsia="zh-CN"/>
                    </w:rPr>
                    <w:t>（</w:t>
                  </w:r>
                  <w:r>
                    <w:rPr>
                      <w:rFonts w:hint="eastAsia"/>
                      <w:color w:val="auto"/>
                      <w:lang w:val="en-US" w:eastAsia="zh-CN"/>
                    </w:rPr>
                    <w:t>t</w:t>
                  </w:r>
                  <w:r>
                    <w:rPr>
                      <w:rFonts w:hint="eastAsia"/>
                      <w:color w:val="auto"/>
                      <w:lang w:eastAsia="zh-CN"/>
                    </w:rPr>
                    <w:t>）</w:t>
                  </w:r>
                </w:p>
              </w:tc>
              <w:tc>
                <w:tcPr>
                  <w:tcW w:w="1082" w:type="pct"/>
                  <w:tcBorders>
                    <w:tl2br w:val="nil"/>
                    <w:tr2bl w:val="nil"/>
                  </w:tcBorders>
                  <w:noWrap w:val="0"/>
                  <w:vAlign w:val="center"/>
                </w:tcPr>
                <w:p w14:paraId="53A77A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备注</w:t>
                  </w:r>
                </w:p>
              </w:tc>
            </w:tr>
            <w:tr w14:paraId="0405FA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5000" w:type="pct"/>
                  <w:gridSpan w:val="6"/>
                  <w:tcBorders>
                    <w:tl2br w:val="nil"/>
                    <w:tr2bl w:val="nil"/>
                  </w:tcBorders>
                  <w:noWrap w:val="0"/>
                  <w:vAlign w:val="center"/>
                </w:tcPr>
                <w:p w14:paraId="0488BE4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auto"/>
                      <w:lang w:val="en-US" w:eastAsia="zh-CN"/>
                    </w:rPr>
                  </w:pPr>
                  <w:r>
                    <w:rPr>
                      <w:rFonts w:hint="eastAsia"/>
                      <w:color w:val="auto"/>
                      <w:lang w:val="en-US" w:eastAsia="zh-CN"/>
                    </w:rPr>
                    <w:t>原辅材料消耗</w:t>
                  </w:r>
                </w:p>
              </w:tc>
            </w:tr>
            <w:tr w14:paraId="25332F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4" w:hRule="atLeast"/>
                <w:jc w:val="center"/>
              </w:trPr>
              <w:tc>
                <w:tcPr>
                  <w:tcW w:w="387" w:type="pct"/>
                  <w:tcBorders>
                    <w:tl2br w:val="nil"/>
                    <w:tr2bl w:val="nil"/>
                  </w:tcBorders>
                  <w:noWrap w:val="0"/>
                  <w:vAlign w:val="center"/>
                </w:tcPr>
                <w:p w14:paraId="734C29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default"/>
                      <w:color w:val="auto"/>
                      <w:lang w:val="en-US" w:eastAsia="zh-CN"/>
                    </w:rPr>
                    <w:t>1.1</w:t>
                  </w:r>
                </w:p>
              </w:tc>
              <w:tc>
                <w:tcPr>
                  <w:tcW w:w="764" w:type="pct"/>
                  <w:tcBorders>
                    <w:tl2br w:val="nil"/>
                    <w:tr2bl w:val="nil"/>
                  </w:tcBorders>
                  <w:noWrap w:val="0"/>
                  <w:vAlign w:val="center"/>
                </w:tcPr>
                <w:p w14:paraId="744F0F8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hAnsi="宋体" w:cs="Times New Roman"/>
                      <w:color w:val="auto"/>
                      <w:kern w:val="0"/>
                      <w:szCs w:val="21"/>
                      <w:lang w:val="en-US" w:eastAsia="zh-CN"/>
                    </w:rPr>
                    <w:t>大米</w:t>
                  </w:r>
                </w:p>
              </w:tc>
              <w:tc>
                <w:tcPr>
                  <w:tcW w:w="840" w:type="pct"/>
                  <w:tcBorders>
                    <w:tl2br w:val="nil"/>
                    <w:tr2bl w:val="nil"/>
                  </w:tcBorders>
                  <w:noWrap w:val="0"/>
                  <w:vAlign w:val="center"/>
                </w:tcPr>
                <w:p w14:paraId="730A22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hAnsi="宋体"/>
                      <w:color w:val="auto"/>
                      <w:szCs w:val="21"/>
                      <w:lang w:val="en-US" w:eastAsia="zh-CN"/>
                    </w:rPr>
                    <w:t>5000</w:t>
                  </w:r>
                </w:p>
              </w:tc>
              <w:tc>
                <w:tcPr>
                  <w:tcW w:w="1304" w:type="pct"/>
                  <w:tcBorders>
                    <w:tl2br w:val="nil"/>
                    <w:tr2bl w:val="nil"/>
                  </w:tcBorders>
                  <w:noWrap w:val="0"/>
                  <w:vAlign w:val="center"/>
                </w:tcPr>
                <w:p w14:paraId="3B35E70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袋装/中央厨房和预制菜车间</w:t>
                  </w:r>
                </w:p>
              </w:tc>
              <w:tc>
                <w:tcPr>
                  <w:tcW w:w="620" w:type="pct"/>
                  <w:tcBorders>
                    <w:tl2br w:val="nil"/>
                    <w:tr2bl w:val="nil"/>
                  </w:tcBorders>
                  <w:noWrap w:val="0"/>
                  <w:vAlign w:val="center"/>
                </w:tcPr>
                <w:p w14:paraId="5CCC44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400</w:t>
                  </w:r>
                </w:p>
              </w:tc>
              <w:tc>
                <w:tcPr>
                  <w:tcW w:w="1082" w:type="pct"/>
                  <w:tcBorders>
                    <w:tl2br w:val="nil"/>
                    <w:tr2bl w:val="nil"/>
                  </w:tcBorders>
                  <w:noWrap w:val="0"/>
                  <w:vAlign w:val="center"/>
                </w:tcPr>
                <w:p w14:paraId="485063D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w:t>
                  </w:r>
                </w:p>
              </w:tc>
            </w:tr>
            <w:tr w14:paraId="221799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tcBorders>
                    <w:tl2br w:val="nil"/>
                    <w:tr2bl w:val="nil"/>
                  </w:tcBorders>
                  <w:noWrap w:val="0"/>
                  <w:vAlign w:val="center"/>
                </w:tcPr>
                <w:p w14:paraId="1CDE16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w:t>
                  </w:r>
                  <w:r>
                    <w:rPr>
                      <w:rFonts w:hint="default"/>
                      <w:color w:val="auto"/>
                      <w:lang w:val="en-US" w:eastAsia="zh-CN"/>
                    </w:rPr>
                    <w:t>.</w:t>
                  </w:r>
                  <w:r>
                    <w:rPr>
                      <w:rFonts w:hint="eastAsia"/>
                      <w:color w:val="auto"/>
                      <w:lang w:val="en-US" w:eastAsia="zh-CN"/>
                    </w:rPr>
                    <w:t>2</w:t>
                  </w:r>
                </w:p>
              </w:tc>
              <w:tc>
                <w:tcPr>
                  <w:tcW w:w="764" w:type="pct"/>
                  <w:tcBorders>
                    <w:tl2br w:val="nil"/>
                    <w:tr2bl w:val="nil"/>
                  </w:tcBorders>
                  <w:noWrap w:val="0"/>
                  <w:vAlign w:val="center"/>
                </w:tcPr>
                <w:p w14:paraId="28C978A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hAnsi="宋体"/>
                      <w:color w:val="auto"/>
                      <w:szCs w:val="21"/>
                      <w:lang w:val="en-US" w:eastAsia="zh-CN"/>
                    </w:rPr>
                    <w:t>果蔬</w:t>
                  </w:r>
                </w:p>
              </w:tc>
              <w:tc>
                <w:tcPr>
                  <w:tcW w:w="840" w:type="pct"/>
                  <w:tcBorders>
                    <w:tl2br w:val="nil"/>
                    <w:tr2bl w:val="nil"/>
                  </w:tcBorders>
                  <w:noWrap w:val="0"/>
                  <w:vAlign w:val="center"/>
                </w:tcPr>
                <w:p w14:paraId="624350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40000</w:t>
                  </w:r>
                </w:p>
              </w:tc>
              <w:tc>
                <w:tcPr>
                  <w:tcW w:w="1304" w:type="pct"/>
                  <w:tcBorders>
                    <w:tl2br w:val="nil"/>
                    <w:tr2bl w:val="nil"/>
                  </w:tcBorders>
                  <w:noWrap w:val="0"/>
                  <w:vAlign w:val="center"/>
                </w:tcPr>
                <w:p w14:paraId="1D6CC36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冷库/果蔬车间和预制菜车间</w:t>
                  </w:r>
                </w:p>
              </w:tc>
              <w:tc>
                <w:tcPr>
                  <w:tcW w:w="620" w:type="pct"/>
                  <w:tcBorders>
                    <w:tl2br w:val="nil"/>
                    <w:tr2bl w:val="nil"/>
                  </w:tcBorders>
                  <w:noWrap w:val="0"/>
                  <w:vAlign w:val="center"/>
                </w:tcPr>
                <w:p w14:paraId="7CDE0DE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1000</w:t>
                  </w:r>
                </w:p>
              </w:tc>
              <w:tc>
                <w:tcPr>
                  <w:tcW w:w="1082" w:type="pct"/>
                  <w:tcBorders>
                    <w:tl2br w:val="nil"/>
                    <w:tr2bl w:val="nil"/>
                  </w:tcBorders>
                  <w:noWrap w:val="0"/>
                  <w:vAlign w:val="center"/>
                </w:tcPr>
                <w:p w14:paraId="7A5EF97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w:t>
                  </w:r>
                </w:p>
              </w:tc>
            </w:tr>
            <w:tr w14:paraId="3E1973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387" w:type="pct"/>
                  <w:tcBorders>
                    <w:tl2br w:val="nil"/>
                    <w:tr2bl w:val="nil"/>
                  </w:tcBorders>
                  <w:noWrap w:val="0"/>
                  <w:vAlign w:val="center"/>
                </w:tcPr>
                <w:p w14:paraId="258A51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1.3</w:t>
                  </w:r>
                </w:p>
              </w:tc>
              <w:tc>
                <w:tcPr>
                  <w:tcW w:w="764" w:type="pct"/>
                  <w:tcBorders>
                    <w:tl2br w:val="nil"/>
                    <w:tr2bl w:val="nil"/>
                  </w:tcBorders>
                  <w:noWrap w:val="0"/>
                  <w:vAlign w:val="center"/>
                </w:tcPr>
                <w:p w14:paraId="544493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肉类</w:t>
                  </w:r>
                </w:p>
              </w:tc>
              <w:tc>
                <w:tcPr>
                  <w:tcW w:w="840" w:type="pct"/>
                  <w:tcBorders>
                    <w:tl2br w:val="nil"/>
                    <w:tr2bl w:val="nil"/>
                  </w:tcBorders>
                  <w:noWrap w:val="0"/>
                  <w:vAlign w:val="center"/>
                </w:tcPr>
                <w:p w14:paraId="713D77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45000</w:t>
                  </w:r>
                </w:p>
              </w:tc>
              <w:tc>
                <w:tcPr>
                  <w:tcW w:w="1304" w:type="pct"/>
                  <w:tcBorders>
                    <w:tl2br w:val="nil"/>
                    <w:tr2bl w:val="nil"/>
                  </w:tcBorders>
                  <w:noWrap w:val="0"/>
                  <w:vAlign w:val="center"/>
                </w:tcPr>
                <w:p w14:paraId="36BB350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冷库/肉类车间和预制菜车间</w:t>
                  </w:r>
                </w:p>
              </w:tc>
              <w:tc>
                <w:tcPr>
                  <w:tcW w:w="620" w:type="pct"/>
                  <w:tcBorders>
                    <w:tl2br w:val="nil"/>
                    <w:tr2bl w:val="nil"/>
                  </w:tcBorders>
                  <w:noWrap w:val="0"/>
                  <w:vAlign w:val="center"/>
                </w:tcPr>
                <w:p w14:paraId="2CCA02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1000</w:t>
                  </w:r>
                </w:p>
              </w:tc>
              <w:tc>
                <w:tcPr>
                  <w:tcW w:w="1082" w:type="pct"/>
                  <w:tcBorders>
                    <w:tl2br w:val="nil"/>
                    <w:tr2bl w:val="nil"/>
                  </w:tcBorders>
                  <w:noWrap w:val="0"/>
                  <w:vAlign w:val="center"/>
                </w:tcPr>
                <w:p w14:paraId="7674D19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i/>
                      <w:iCs/>
                      <w:color w:val="auto"/>
                      <w:lang w:val="en-US" w:eastAsia="zh-CN"/>
                    </w:rPr>
                  </w:pPr>
                  <w:r>
                    <w:rPr>
                      <w:rFonts w:hint="eastAsia"/>
                      <w:i/>
                      <w:iCs/>
                      <w:color w:val="auto"/>
                      <w:lang w:val="en-US" w:eastAsia="zh-CN"/>
                    </w:rPr>
                    <w:t>/</w:t>
                  </w:r>
                </w:p>
              </w:tc>
            </w:tr>
            <w:tr w14:paraId="5332F9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tcBorders>
                    <w:tl2br w:val="nil"/>
                    <w:tr2bl w:val="nil"/>
                  </w:tcBorders>
                  <w:noWrap w:val="0"/>
                  <w:vAlign w:val="center"/>
                </w:tcPr>
                <w:p w14:paraId="5EB95BD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1.4</w:t>
                  </w:r>
                </w:p>
              </w:tc>
              <w:tc>
                <w:tcPr>
                  <w:tcW w:w="764" w:type="pct"/>
                  <w:tcBorders>
                    <w:tl2br w:val="nil"/>
                    <w:tr2bl w:val="nil"/>
                  </w:tcBorders>
                  <w:noWrap w:val="0"/>
                  <w:vAlign w:val="center"/>
                </w:tcPr>
                <w:p w14:paraId="30C0AA2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hAnsi="宋体" w:cs="Times New Roman"/>
                      <w:color w:val="auto"/>
                      <w:kern w:val="0"/>
                      <w:szCs w:val="21"/>
                      <w:lang w:val="en-US" w:eastAsia="zh-CN"/>
                    </w:rPr>
                    <w:t>鸡蛋</w:t>
                  </w:r>
                </w:p>
              </w:tc>
              <w:tc>
                <w:tcPr>
                  <w:tcW w:w="840" w:type="pct"/>
                  <w:tcBorders>
                    <w:tl2br w:val="nil"/>
                    <w:tr2bl w:val="nil"/>
                  </w:tcBorders>
                  <w:noWrap w:val="0"/>
                  <w:vAlign w:val="center"/>
                </w:tcPr>
                <w:p w14:paraId="02F8D75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hAnsi="宋体"/>
                      <w:color w:val="auto"/>
                      <w:szCs w:val="21"/>
                      <w:lang w:val="en-US" w:eastAsia="zh-CN"/>
                    </w:rPr>
                    <w:t>200</w:t>
                  </w:r>
                </w:p>
              </w:tc>
              <w:tc>
                <w:tcPr>
                  <w:tcW w:w="1304" w:type="pct"/>
                  <w:tcBorders>
                    <w:tl2br w:val="nil"/>
                    <w:tr2bl w:val="nil"/>
                  </w:tcBorders>
                  <w:noWrap w:val="0"/>
                  <w:vAlign w:val="center"/>
                </w:tcPr>
                <w:p w14:paraId="3BF02C9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箱装/中央厨房和预制菜车间</w:t>
                  </w:r>
                </w:p>
              </w:tc>
              <w:tc>
                <w:tcPr>
                  <w:tcW w:w="620" w:type="pct"/>
                  <w:tcBorders>
                    <w:tl2br w:val="nil"/>
                    <w:tr2bl w:val="nil"/>
                  </w:tcBorders>
                  <w:noWrap w:val="0"/>
                  <w:vAlign w:val="center"/>
                </w:tcPr>
                <w:p w14:paraId="4484CB2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15</w:t>
                  </w:r>
                </w:p>
              </w:tc>
              <w:tc>
                <w:tcPr>
                  <w:tcW w:w="1082" w:type="pct"/>
                  <w:tcBorders>
                    <w:tl2br w:val="nil"/>
                    <w:tr2bl w:val="nil"/>
                  </w:tcBorders>
                  <w:noWrap w:val="0"/>
                  <w:vAlign w:val="center"/>
                </w:tcPr>
                <w:p w14:paraId="171C6B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w:t>
                  </w:r>
                </w:p>
              </w:tc>
            </w:tr>
            <w:tr w14:paraId="3E02FC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tcBorders>
                    <w:tl2br w:val="nil"/>
                    <w:tr2bl w:val="nil"/>
                  </w:tcBorders>
                  <w:noWrap w:val="0"/>
                  <w:vAlign w:val="center"/>
                </w:tcPr>
                <w:p w14:paraId="78CD0E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1.5</w:t>
                  </w:r>
                </w:p>
              </w:tc>
              <w:tc>
                <w:tcPr>
                  <w:tcW w:w="764" w:type="pct"/>
                  <w:tcBorders>
                    <w:tl2br w:val="nil"/>
                    <w:tr2bl w:val="nil"/>
                  </w:tcBorders>
                  <w:noWrap w:val="0"/>
                  <w:vAlign w:val="center"/>
                </w:tcPr>
                <w:p w14:paraId="3F03A33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hAnsi="宋体"/>
                      <w:color w:val="auto"/>
                      <w:szCs w:val="21"/>
                      <w:lang w:val="en-US" w:eastAsia="zh-CN"/>
                    </w:rPr>
                    <w:t>调味材料</w:t>
                  </w:r>
                </w:p>
              </w:tc>
              <w:tc>
                <w:tcPr>
                  <w:tcW w:w="840" w:type="pct"/>
                  <w:tcBorders>
                    <w:tl2br w:val="nil"/>
                    <w:tr2bl w:val="nil"/>
                  </w:tcBorders>
                  <w:noWrap w:val="0"/>
                  <w:vAlign w:val="center"/>
                </w:tcPr>
                <w:p w14:paraId="30A81B4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hAnsi="宋体"/>
                      <w:color w:val="auto"/>
                      <w:szCs w:val="21"/>
                      <w:lang w:val="en-US" w:eastAsia="zh-CN"/>
                    </w:rPr>
                    <w:t>4000</w:t>
                  </w:r>
                </w:p>
              </w:tc>
              <w:tc>
                <w:tcPr>
                  <w:tcW w:w="1304" w:type="pct"/>
                  <w:tcBorders>
                    <w:tl2br w:val="nil"/>
                    <w:tr2bl w:val="nil"/>
                  </w:tcBorders>
                  <w:noWrap w:val="0"/>
                  <w:vAlign w:val="center"/>
                </w:tcPr>
                <w:p w14:paraId="318EA2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箱装/中央厨房和预制菜车间</w:t>
                  </w:r>
                </w:p>
              </w:tc>
              <w:tc>
                <w:tcPr>
                  <w:tcW w:w="620" w:type="pct"/>
                  <w:tcBorders>
                    <w:tl2br w:val="nil"/>
                    <w:tr2bl w:val="nil"/>
                  </w:tcBorders>
                  <w:noWrap w:val="0"/>
                  <w:vAlign w:val="center"/>
                </w:tcPr>
                <w:p w14:paraId="1BC54F1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200</w:t>
                  </w:r>
                </w:p>
              </w:tc>
              <w:tc>
                <w:tcPr>
                  <w:tcW w:w="1082" w:type="pct"/>
                  <w:tcBorders>
                    <w:tl2br w:val="nil"/>
                    <w:tr2bl w:val="nil"/>
                  </w:tcBorders>
                  <w:noWrap w:val="0"/>
                  <w:vAlign w:val="center"/>
                </w:tcPr>
                <w:p w14:paraId="1E7D35A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包括食用盐、味精等</w:t>
                  </w:r>
                </w:p>
              </w:tc>
            </w:tr>
            <w:tr w14:paraId="4EC651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tcBorders>
                    <w:tl2br w:val="nil"/>
                    <w:tr2bl w:val="nil"/>
                  </w:tcBorders>
                  <w:noWrap w:val="0"/>
                  <w:vAlign w:val="center"/>
                </w:tcPr>
                <w:p w14:paraId="443475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1.6</w:t>
                  </w:r>
                </w:p>
              </w:tc>
              <w:tc>
                <w:tcPr>
                  <w:tcW w:w="764" w:type="pct"/>
                  <w:tcBorders>
                    <w:tl2br w:val="nil"/>
                    <w:tr2bl w:val="nil"/>
                  </w:tcBorders>
                  <w:noWrap w:val="0"/>
                  <w:vAlign w:val="center"/>
                </w:tcPr>
                <w:p w14:paraId="04C363C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hAnsi="宋体"/>
                      <w:color w:val="auto"/>
                      <w:szCs w:val="21"/>
                      <w:lang w:val="en-US" w:eastAsia="zh-CN"/>
                    </w:rPr>
                    <w:t>食用油</w:t>
                  </w:r>
                </w:p>
              </w:tc>
              <w:tc>
                <w:tcPr>
                  <w:tcW w:w="840" w:type="pct"/>
                  <w:tcBorders>
                    <w:tl2br w:val="nil"/>
                    <w:tr2bl w:val="nil"/>
                  </w:tcBorders>
                  <w:noWrap w:val="0"/>
                  <w:vAlign w:val="center"/>
                </w:tcPr>
                <w:p w14:paraId="40B8C6E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hAnsi="宋体"/>
                      <w:color w:val="auto"/>
                      <w:szCs w:val="21"/>
                      <w:lang w:val="en-US" w:eastAsia="zh-CN"/>
                    </w:rPr>
                    <w:t>210</w:t>
                  </w:r>
                </w:p>
              </w:tc>
              <w:tc>
                <w:tcPr>
                  <w:tcW w:w="1304" w:type="pct"/>
                  <w:tcBorders>
                    <w:tl2br w:val="nil"/>
                    <w:tr2bl w:val="nil"/>
                  </w:tcBorders>
                  <w:noWrap w:val="0"/>
                  <w:vAlign w:val="center"/>
                </w:tcPr>
                <w:p w14:paraId="4F751D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瓶装/中央厨房和预制菜车间</w:t>
                  </w:r>
                </w:p>
              </w:tc>
              <w:tc>
                <w:tcPr>
                  <w:tcW w:w="620" w:type="pct"/>
                  <w:tcBorders>
                    <w:tl2br w:val="nil"/>
                    <w:tr2bl w:val="nil"/>
                  </w:tcBorders>
                  <w:noWrap w:val="0"/>
                  <w:vAlign w:val="center"/>
                </w:tcPr>
                <w:p w14:paraId="579130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10</w:t>
                  </w:r>
                </w:p>
              </w:tc>
              <w:tc>
                <w:tcPr>
                  <w:tcW w:w="1082" w:type="pct"/>
                  <w:tcBorders>
                    <w:tl2br w:val="nil"/>
                    <w:tr2bl w:val="nil"/>
                  </w:tcBorders>
                  <w:noWrap w:val="0"/>
                  <w:vAlign w:val="center"/>
                </w:tcPr>
                <w:p w14:paraId="13F2F61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w:t>
                  </w:r>
                </w:p>
              </w:tc>
            </w:tr>
            <w:tr w14:paraId="4E25A3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tcBorders>
                    <w:tl2br w:val="nil"/>
                    <w:tr2bl w:val="nil"/>
                  </w:tcBorders>
                  <w:noWrap w:val="0"/>
                  <w:vAlign w:val="center"/>
                </w:tcPr>
                <w:p w14:paraId="173C3A6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1.7</w:t>
                  </w:r>
                </w:p>
              </w:tc>
              <w:tc>
                <w:tcPr>
                  <w:tcW w:w="764" w:type="pct"/>
                  <w:tcBorders>
                    <w:tl2br w:val="nil"/>
                    <w:tr2bl w:val="nil"/>
                  </w:tcBorders>
                  <w:noWrap w:val="0"/>
                  <w:vAlign w:val="center"/>
                </w:tcPr>
                <w:p w14:paraId="29CA334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包装材料</w:t>
                  </w:r>
                </w:p>
              </w:tc>
              <w:tc>
                <w:tcPr>
                  <w:tcW w:w="840" w:type="pct"/>
                  <w:tcBorders>
                    <w:tl2br w:val="nil"/>
                    <w:tr2bl w:val="nil"/>
                  </w:tcBorders>
                  <w:noWrap w:val="0"/>
                  <w:vAlign w:val="center"/>
                </w:tcPr>
                <w:p w14:paraId="41E2601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hAnsi="宋体"/>
                      <w:color w:val="auto"/>
                      <w:szCs w:val="21"/>
                      <w:lang w:val="en-US" w:eastAsia="zh-CN"/>
                    </w:rPr>
                    <w:t>2</w:t>
                  </w:r>
                </w:p>
              </w:tc>
              <w:tc>
                <w:tcPr>
                  <w:tcW w:w="1304" w:type="pct"/>
                  <w:tcBorders>
                    <w:tl2br w:val="nil"/>
                    <w:tr2bl w:val="nil"/>
                  </w:tcBorders>
                  <w:noWrap w:val="0"/>
                  <w:vAlign w:val="center"/>
                </w:tcPr>
                <w:p w14:paraId="03F83DF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箱装/日常用品仓库</w:t>
                  </w:r>
                </w:p>
              </w:tc>
              <w:tc>
                <w:tcPr>
                  <w:tcW w:w="620" w:type="pct"/>
                  <w:tcBorders>
                    <w:tl2br w:val="nil"/>
                    <w:tr2bl w:val="nil"/>
                  </w:tcBorders>
                  <w:noWrap w:val="0"/>
                  <w:vAlign w:val="center"/>
                </w:tcPr>
                <w:p w14:paraId="66F6656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0.2</w:t>
                  </w:r>
                </w:p>
              </w:tc>
              <w:tc>
                <w:tcPr>
                  <w:tcW w:w="1082" w:type="pct"/>
                  <w:tcBorders>
                    <w:tl2br w:val="nil"/>
                    <w:tr2bl w:val="nil"/>
                  </w:tcBorders>
                  <w:noWrap w:val="0"/>
                  <w:vAlign w:val="center"/>
                </w:tcPr>
                <w:p w14:paraId="2CB6C41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用于包装成品</w:t>
                  </w:r>
                </w:p>
              </w:tc>
            </w:tr>
            <w:tr w14:paraId="619FB2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tcBorders>
                    <w:tl2br w:val="nil"/>
                    <w:tr2bl w:val="nil"/>
                  </w:tcBorders>
                  <w:noWrap w:val="0"/>
                  <w:vAlign w:val="center"/>
                </w:tcPr>
                <w:p w14:paraId="2B56D2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1.8</w:t>
                  </w:r>
                </w:p>
              </w:tc>
              <w:tc>
                <w:tcPr>
                  <w:tcW w:w="764" w:type="pct"/>
                  <w:tcBorders>
                    <w:tl2br w:val="nil"/>
                    <w:tr2bl w:val="nil"/>
                  </w:tcBorders>
                  <w:noWrap w:val="0"/>
                  <w:vAlign w:val="center"/>
                </w:tcPr>
                <w:p w14:paraId="14A6E2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制冷剂R22</w:t>
                  </w:r>
                </w:p>
              </w:tc>
              <w:tc>
                <w:tcPr>
                  <w:tcW w:w="840" w:type="pct"/>
                  <w:tcBorders>
                    <w:tl2br w:val="nil"/>
                    <w:tr2bl w:val="nil"/>
                  </w:tcBorders>
                  <w:noWrap w:val="0"/>
                  <w:vAlign w:val="center"/>
                </w:tcPr>
                <w:p w14:paraId="7407581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hAnsi="宋体"/>
                      <w:color w:val="auto"/>
                      <w:szCs w:val="21"/>
                      <w:lang w:val="en-US" w:eastAsia="zh-CN"/>
                    </w:rPr>
                  </w:pPr>
                  <w:r>
                    <w:rPr>
                      <w:rFonts w:hint="eastAsia" w:hAnsi="宋体"/>
                      <w:color w:val="auto"/>
                      <w:szCs w:val="21"/>
                      <w:lang w:val="en-US" w:eastAsia="zh-CN"/>
                    </w:rPr>
                    <w:t>1</w:t>
                  </w:r>
                </w:p>
              </w:tc>
              <w:tc>
                <w:tcPr>
                  <w:tcW w:w="1304" w:type="pct"/>
                  <w:tcBorders>
                    <w:tl2br w:val="nil"/>
                    <w:tr2bl w:val="nil"/>
                  </w:tcBorders>
                  <w:noWrap w:val="0"/>
                  <w:vAlign w:val="center"/>
                </w:tcPr>
                <w:p w14:paraId="4C4E9D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瓶装</w:t>
                  </w:r>
                </w:p>
              </w:tc>
              <w:tc>
                <w:tcPr>
                  <w:tcW w:w="620" w:type="pct"/>
                  <w:tcBorders>
                    <w:tl2br w:val="nil"/>
                    <w:tr2bl w:val="nil"/>
                  </w:tcBorders>
                  <w:noWrap w:val="0"/>
                  <w:vAlign w:val="center"/>
                </w:tcPr>
                <w:p w14:paraId="2015B7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0</w:t>
                  </w:r>
                </w:p>
              </w:tc>
              <w:tc>
                <w:tcPr>
                  <w:tcW w:w="1082" w:type="pct"/>
                  <w:tcBorders>
                    <w:tl2br w:val="nil"/>
                    <w:tr2bl w:val="nil"/>
                  </w:tcBorders>
                  <w:noWrap w:val="0"/>
                  <w:vAlign w:val="center"/>
                </w:tcPr>
                <w:p w14:paraId="2C7156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hAnsi="宋体"/>
                      <w:color w:val="auto"/>
                      <w:szCs w:val="21"/>
                      <w:lang w:val="en-US" w:eastAsia="zh-CN"/>
                    </w:rPr>
                  </w:pPr>
                  <w:r>
                    <w:rPr>
                      <w:rFonts w:hint="eastAsia" w:hAnsi="宋体"/>
                      <w:color w:val="auto"/>
                      <w:szCs w:val="21"/>
                      <w:lang w:val="en-US" w:eastAsia="zh-CN"/>
                    </w:rPr>
                    <w:t>用于制冷</w:t>
                  </w:r>
                </w:p>
              </w:tc>
            </w:tr>
            <w:tr w14:paraId="30CD85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tcBorders>
                    <w:tl2br w:val="nil"/>
                    <w:tr2bl w:val="nil"/>
                  </w:tcBorders>
                  <w:noWrap w:val="0"/>
                  <w:vAlign w:val="center"/>
                </w:tcPr>
                <w:p w14:paraId="2200233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1.9</w:t>
                  </w:r>
                </w:p>
              </w:tc>
              <w:tc>
                <w:tcPr>
                  <w:tcW w:w="764" w:type="pct"/>
                  <w:tcBorders>
                    <w:tl2br w:val="nil"/>
                    <w:tr2bl w:val="nil"/>
                  </w:tcBorders>
                  <w:noWrap w:val="0"/>
                  <w:vAlign w:val="center"/>
                </w:tcPr>
                <w:p w14:paraId="1330CA1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PAC</w:t>
                  </w:r>
                  <w:r>
                    <w:rPr>
                      <w:rFonts w:hint="eastAsia" w:ascii="Times New Roman" w:hAnsi="Times New Roman" w:eastAsia="宋体" w:cs="Times New Roman"/>
                      <w:color w:val="auto"/>
                      <w:lang w:val="en-US" w:eastAsia="zh-CN"/>
                    </w:rPr>
                    <w:t>（聚合氯化铝）</w:t>
                  </w:r>
                </w:p>
              </w:tc>
              <w:tc>
                <w:tcPr>
                  <w:tcW w:w="840" w:type="pct"/>
                  <w:tcBorders>
                    <w:tl2br w:val="nil"/>
                    <w:tr2bl w:val="nil"/>
                  </w:tcBorders>
                  <w:noWrap w:val="0"/>
                  <w:vAlign w:val="center"/>
                </w:tcPr>
                <w:p w14:paraId="6A2698E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304" w:type="pct"/>
                  <w:tcBorders>
                    <w:tl2br w:val="nil"/>
                    <w:tr2bl w:val="nil"/>
                  </w:tcBorders>
                  <w:noWrap w:val="0"/>
                  <w:vAlign w:val="center"/>
                </w:tcPr>
                <w:p w14:paraId="7EECDB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袋装/日常用品仓库</w:t>
                  </w:r>
                </w:p>
              </w:tc>
              <w:tc>
                <w:tcPr>
                  <w:tcW w:w="620" w:type="pct"/>
                  <w:tcBorders>
                    <w:tl2br w:val="nil"/>
                    <w:tr2bl w:val="nil"/>
                  </w:tcBorders>
                  <w:noWrap w:val="0"/>
                  <w:vAlign w:val="center"/>
                </w:tcPr>
                <w:p w14:paraId="3094F31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w:t>
                  </w:r>
                </w:p>
              </w:tc>
              <w:tc>
                <w:tcPr>
                  <w:tcW w:w="1082" w:type="pct"/>
                  <w:tcBorders>
                    <w:tl2br w:val="nil"/>
                    <w:tr2bl w:val="nil"/>
                  </w:tcBorders>
                  <w:noWrap w:val="0"/>
                  <w:vAlign w:val="center"/>
                </w:tcPr>
                <w:p w14:paraId="5C8939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用于污水处理</w:t>
                  </w:r>
                </w:p>
              </w:tc>
            </w:tr>
            <w:tr w14:paraId="201FB6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59E1C332">
                  <w:pPr>
                    <w:keepNext w:val="0"/>
                    <w:keepLines w:val="0"/>
                    <w:pageBreakBefore w:val="0"/>
                    <w:kinsoku/>
                    <w:wordWrap/>
                    <w:overflowPunct/>
                    <w:topLinePunct w:val="0"/>
                    <w:autoSpaceDE/>
                    <w:autoSpaceDN/>
                    <w:bidi w:val="0"/>
                    <w:adjustRightInd/>
                    <w:snapToGrid/>
                    <w:spacing w:line="240" w:lineRule="auto"/>
                    <w:jc w:val="left"/>
                    <w:textAlignment w:val="auto"/>
                    <w:rPr>
                      <w:color w:val="auto"/>
                    </w:rPr>
                  </w:pPr>
                  <w:r>
                    <w:rPr>
                      <w:color w:val="auto"/>
                    </w:rPr>
                    <w:cr/>
                  </w:r>
                  <w:r>
                    <w:rPr>
                      <w:color w:val="auto"/>
                    </w:rPr>
                    <w:t>能</w:t>
                  </w:r>
                  <w:r>
                    <w:rPr>
                      <w:rFonts w:hint="eastAsia"/>
                      <w:color w:val="auto"/>
                    </w:rPr>
                    <w:t>源</w:t>
                  </w:r>
                  <w:r>
                    <w:rPr>
                      <w:color w:val="auto"/>
                    </w:rPr>
                    <w:t>及动力消耗</w:t>
                  </w:r>
                </w:p>
              </w:tc>
            </w:tr>
            <w:tr w14:paraId="250C78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tcBorders>
                    <w:tl2br w:val="nil"/>
                    <w:tr2bl w:val="nil"/>
                  </w:tcBorders>
                  <w:noWrap w:val="0"/>
                  <w:vAlign w:val="center"/>
                </w:tcPr>
                <w:p w14:paraId="6EC7A5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.1</w:t>
                  </w:r>
                </w:p>
              </w:tc>
              <w:tc>
                <w:tcPr>
                  <w:tcW w:w="764" w:type="pct"/>
                  <w:tcBorders>
                    <w:tl2br w:val="nil"/>
                    <w:tr2bl w:val="nil"/>
                  </w:tcBorders>
                  <w:noWrap w:val="0"/>
                  <w:vAlign w:val="center"/>
                </w:tcPr>
                <w:p w14:paraId="68143C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color w:val="auto"/>
                      <w:sz w:val="21"/>
                      <w:szCs w:val="21"/>
                    </w:rPr>
                    <w:t>电</w:t>
                  </w:r>
                </w:p>
              </w:tc>
              <w:tc>
                <w:tcPr>
                  <w:tcW w:w="840" w:type="pct"/>
                  <w:tcBorders>
                    <w:tl2br w:val="nil"/>
                    <w:tr2bl w:val="nil"/>
                  </w:tcBorders>
                  <w:noWrap w:val="0"/>
                  <w:vAlign w:val="center"/>
                </w:tcPr>
                <w:p w14:paraId="3CCED3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694</w:t>
                  </w:r>
                  <w:r>
                    <w:rPr>
                      <w:rFonts w:hint="eastAsia"/>
                      <w:color w:val="auto"/>
                      <w:sz w:val="21"/>
                      <w:szCs w:val="21"/>
                    </w:rPr>
                    <w:t>万</w:t>
                  </w:r>
                  <w:r>
                    <w:rPr>
                      <w:color w:val="auto"/>
                      <w:sz w:val="21"/>
                      <w:szCs w:val="21"/>
                    </w:rPr>
                    <w:t>度</w:t>
                  </w:r>
                </w:p>
              </w:tc>
              <w:tc>
                <w:tcPr>
                  <w:tcW w:w="1304" w:type="pct"/>
                  <w:tcBorders>
                    <w:tl2br w:val="nil"/>
                    <w:tr2bl w:val="nil"/>
                  </w:tcBorders>
                  <w:noWrap w:val="0"/>
                  <w:vAlign w:val="center"/>
                </w:tcPr>
                <w:p w14:paraId="0EC43C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620" w:type="pct"/>
                  <w:tcBorders>
                    <w:tl2br w:val="nil"/>
                    <w:tr2bl w:val="nil"/>
                  </w:tcBorders>
                  <w:noWrap w:val="0"/>
                  <w:vAlign w:val="center"/>
                </w:tcPr>
                <w:p w14:paraId="740E61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082" w:type="pct"/>
                  <w:tcBorders>
                    <w:tl2br w:val="nil"/>
                    <w:tr2bl w:val="nil"/>
                  </w:tcBorders>
                  <w:noWrap w:val="0"/>
                  <w:vAlign w:val="center"/>
                </w:tcPr>
                <w:p w14:paraId="65D56AC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市政</w:t>
                  </w:r>
                  <w:r>
                    <w:rPr>
                      <w:rFonts w:hint="eastAsia"/>
                      <w:color w:val="auto"/>
                      <w:sz w:val="21"/>
                      <w:szCs w:val="21"/>
                    </w:rPr>
                    <w:t>电网供电</w:t>
                  </w:r>
                </w:p>
              </w:tc>
            </w:tr>
            <w:tr w14:paraId="2D9F85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tcBorders>
                    <w:tl2br w:val="nil"/>
                    <w:tr2bl w:val="nil"/>
                  </w:tcBorders>
                  <w:noWrap w:val="0"/>
                  <w:vAlign w:val="center"/>
                </w:tcPr>
                <w:p w14:paraId="2568C2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.2</w:t>
                  </w:r>
                </w:p>
              </w:tc>
              <w:tc>
                <w:tcPr>
                  <w:tcW w:w="764" w:type="pct"/>
                  <w:tcBorders>
                    <w:tl2br w:val="nil"/>
                    <w:tr2bl w:val="nil"/>
                  </w:tcBorders>
                  <w:noWrap w:val="0"/>
                  <w:vAlign w:val="center"/>
                </w:tcPr>
                <w:p w14:paraId="6B8B83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color w:val="auto"/>
                      <w:sz w:val="21"/>
                      <w:szCs w:val="21"/>
                    </w:rPr>
                    <w:t>水</w:t>
                  </w:r>
                </w:p>
              </w:tc>
              <w:tc>
                <w:tcPr>
                  <w:tcW w:w="840" w:type="pct"/>
                  <w:tcBorders>
                    <w:tl2br w:val="nil"/>
                    <w:tr2bl w:val="nil"/>
                  </w:tcBorders>
                  <w:noWrap w:val="0"/>
                  <w:vAlign w:val="center"/>
                </w:tcPr>
                <w:p w14:paraId="466C0E7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24.38</w:t>
                  </w:r>
                  <w:r>
                    <w:rPr>
                      <w:rFonts w:hint="eastAsia"/>
                      <w:color w:val="auto"/>
                      <w:sz w:val="21"/>
                      <w:szCs w:val="21"/>
                    </w:rPr>
                    <w:t>万吨</w:t>
                  </w:r>
                </w:p>
              </w:tc>
              <w:tc>
                <w:tcPr>
                  <w:tcW w:w="1304" w:type="pct"/>
                  <w:tcBorders>
                    <w:tl2br w:val="nil"/>
                    <w:tr2bl w:val="nil"/>
                  </w:tcBorders>
                  <w:noWrap w:val="0"/>
                  <w:vAlign w:val="center"/>
                </w:tcPr>
                <w:p w14:paraId="1779F4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620" w:type="pct"/>
                  <w:tcBorders>
                    <w:tl2br w:val="nil"/>
                    <w:tr2bl w:val="nil"/>
                  </w:tcBorders>
                  <w:noWrap w:val="0"/>
                  <w:vAlign w:val="center"/>
                </w:tcPr>
                <w:p w14:paraId="27D7B8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082" w:type="pct"/>
                  <w:tcBorders>
                    <w:tl2br w:val="nil"/>
                    <w:tr2bl w:val="nil"/>
                  </w:tcBorders>
                  <w:noWrap w:val="0"/>
                  <w:vAlign w:val="center"/>
                </w:tcPr>
                <w:p w14:paraId="6BFF51E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市政</w:t>
                  </w:r>
                  <w:r>
                    <w:rPr>
                      <w:rFonts w:hint="eastAsia"/>
                      <w:color w:val="auto"/>
                      <w:sz w:val="21"/>
                      <w:szCs w:val="21"/>
                    </w:rPr>
                    <w:t>供水</w:t>
                  </w:r>
                </w:p>
              </w:tc>
            </w:tr>
            <w:tr w14:paraId="702AAF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vMerge w:val="restart"/>
                  <w:tcBorders>
                    <w:tl2br w:val="nil"/>
                    <w:tr2bl w:val="nil"/>
                  </w:tcBorders>
                  <w:noWrap w:val="0"/>
                  <w:vAlign w:val="center"/>
                </w:tcPr>
                <w:p w14:paraId="4576ACC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2.3</w:t>
                  </w:r>
                </w:p>
              </w:tc>
              <w:tc>
                <w:tcPr>
                  <w:tcW w:w="764" w:type="pct"/>
                  <w:vMerge w:val="restart"/>
                  <w:tcBorders>
                    <w:tl2br w:val="nil"/>
                    <w:tr2bl w:val="nil"/>
                  </w:tcBorders>
                  <w:noWrap w:val="0"/>
                  <w:vAlign w:val="center"/>
                </w:tcPr>
                <w:p w14:paraId="7E23709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天然气</w:t>
                  </w:r>
                </w:p>
              </w:tc>
              <w:tc>
                <w:tcPr>
                  <w:tcW w:w="1378" w:type="dxa"/>
                  <w:tcBorders>
                    <w:tl2br w:val="nil"/>
                    <w:tr2bl w:val="nil"/>
                  </w:tcBorders>
                  <w:noWrap w:val="0"/>
                  <w:vAlign w:val="center"/>
                </w:tcPr>
                <w:p w14:paraId="1AC77EB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ascii="Times New Roman" w:hAnsi="Times New Roman" w:cs="Times New Roman"/>
                      <w:color w:val="auto"/>
                      <w:sz w:val="21"/>
                      <w:szCs w:val="21"/>
                      <w:lang w:val="en-US" w:eastAsia="zh-CN"/>
                    </w:rPr>
                    <w:t>201.6</w:t>
                  </w:r>
                  <w:r>
                    <w:rPr>
                      <w:rFonts w:hint="eastAsia" w:ascii="Times New Roman" w:hAnsi="Times New Roman" w:eastAsia="宋体" w:cs="Times New Roman"/>
                      <w:i w:val="0"/>
                      <w:iCs w:val="0"/>
                      <w:color w:val="000000"/>
                      <w:kern w:val="0"/>
                      <w:sz w:val="21"/>
                      <w:szCs w:val="21"/>
                      <w:u w:val="none"/>
                      <w:lang w:val="en-US" w:eastAsia="zh-CN" w:bidi="ar"/>
                    </w:rPr>
                    <w:t>万</w:t>
                  </w:r>
                  <w:r>
                    <w:rPr>
                      <w:rFonts w:hint="eastAsia" w:cs="Times New Roman"/>
                      <w:i w:val="0"/>
                      <w:iCs w:val="0"/>
                      <w:color w:val="000000"/>
                      <w:kern w:val="0"/>
                      <w:sz w:val="21"/>
                      <w:szCs w:val="21"/>
                      <w:u w:val="none"/>
                      <w:lang w:val="en-US" w:eastAsia="zh-CN" w:bidi="ar"/>
                    </w:rPr>
                    <w:t>m</w:t>
                  </w:r>
                  <w:r>
                    <w:rPr>
                      <w:rFonts w:hint="eastAsia" w:cs="Times New Roman"/>
                      <w:i w:val="0"/>
                      <w:iCs w:val="0"/>
                      <w:color w:val="000000"/>
                      <w:kern w:val="0"/>
                      <w:sz w:val="21"/>
                      <w:szCs w:val="21"/>
                      <w:u w:val="none"/>
                      <w:vertAlign w:val="superscript"/>
                      <w:lang w:val="en-US" w:eastAsia="zh-CN" w:bidi="ar"/>
                    </w:rPr>
                    <w:t>3</w:t>
                  </w:r>
                  <w:r>
                    <w:rPr>
                      <w:rFonts w:hint="eastAsia" w:cs="Times New Roman"/>
                      <w:i w:val="0"/>
                      <w:iCs w:val="0"/>
                      <w:color w:val="000000"/>
                      <w:kern w:val="0"/>
                      <w:sz w:val="21"/>
                      <w:szCs w:val="21"/>
                      <w:u w:val="none"/>
                      <w:lang w:val="en-US" w:eastAsia="zh-CN" w:bidi="ar"/>
                    </w:rPr>
                    <w:t>/a</w:t>
                  </w:r>
                </w:p>
              </w:tc>
              <w:tc>
                <w:tcPr>
                  <w:tcW w:w="1304" w:type="pct"/>
                  <w:tcBorders>
                    <w:tl2br w:val="nil"/>
                    <w:tr2bl w:val="nil"/>
                  </w:tcBorders>
                  <w:noWrap w:val="0"/>
                  <w:vAlign w:val="center"/>
                </w:tcPr>
                <w:p w14:paraId="352846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620" w:type="pct"/>
                  <w:tcBorders>
                    <w:tl2br w:val="nil"/>
                    <w:tr2bl w:val="nil"/>
                  </w:tcBorders>
                  <w:noWrap w:val="0"/>
                  <w:vAlign w:val="center"/>
                </w:tcPr>
                <w:p w14:paraId="1CDD8C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082" w:type="pct"/>
                  <w:tcBorders>
                    <w:tl2br w:val="nil"/>
                    <w:tr2bl w:val="nil"/>
                  </w:tcBorders>
                  <w:shd w:val="clear" w:color="auto" w:fill="auto"/>
                  <w:noWrap w:val="0"/>
                  <w:vAlign w:val="center"/>
                </w:tcPr>
                <w:p w14:paraId="43E666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燃气锅炉消耗</w:t>
                  </w:r>
                </w:p>
              </w:tc>
            </w:tr>
            <w:tr w14:paraId="11DDA5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7" w:type="pct"/>
                  <w:vMerge w:val="continue"/>
                  <w:tcBorders>
                    <w:tl2br w:val="nil"/>
                    <w:tr2bl w:val="nil"/>
                  </w:tcBorders>
                  <w:noWrap w:val="0"/>
                  <w:vAlign w:val="center"/>
                </w:tcPr>
                <w:p w14:paraId="3AB177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p>
              </w:tc>
              <w:tc>
                <w:tcPr>
                  <w:tcW w:w="764" w:type="pct"/>
                  <w:vMerge w:val="continue"/>
                  <w:tcBorders>
                    <w:tl2br w:val="nil"/>
                    <w:tr2bl w:val="nil"/>
                  </w:tcBorders>
                  <w:noWrap w:val="0"/>
                  <w:vAlign w:val="center"/>
                </w:tcPr>
                <w:p w14:paraId="4B99FCC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p>
              </w:tc>
              <w:tc>
                <w:tcPr>
                  <w:tcW w:w="1378" w:type="dxa"/>
                  <w:tcBorders>
                    <w:tl2br w:val="nil"/>
                    <w:tr2bl w:val="nil"/>
                  </w:tcBorders>
                  <w:noWrap w:val="0"/>
                  <w:vAlign w:val="center"/>
                </w:tcPr>
                <w:p w14:paraId="0BD08E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s="Times New Roman"/>
                      <w:color w:val="auto"/>
                      <w:sz w:val="21"/>
                      <w:szCs w:val="21"/>
                      <w:lang w:val="en-US" w:eastAsia="zh-CN"/>
                    </w:rPr>
                    <w:t>31.68</w:t>
                  </w:r>
                  <w:r>
                    <w:rPr>
                      <w:rFonts w:hint="eastAsia" w:ascii="Times New Roman" w:hAnsi="Times New Roman" w:eastAsia="宋体" w:cs="Times New Roman"/>
                      <w:i w:val="0"/>
                      <w:iCs w:val="0"/>
                      <w:color w:val="000000"/>
                      <w:kern w:val="0"/>
                      <w:sz w:val="21"/>
                      <w:szCs w:val="21"/>
                      <w:u w:val="none"/>
                      <w:lang w:val="en-US" w:eastAsia="zh-CN" w:bidi="ar"/>
                    </w:rPr>
                    <w:t>万</w:t>
                  </w:r>
                  <w:r>
                    <w:rPr>
                      <w:rFonts w:hint="eastAsia" w:cs="Times New Roman"/>
                      <w:i w:val="0"/>
                      <w:iCs w:val="0"/>
                      <w:color w:val="000000"/>
                      <w:kern w:val="0"/>
                      <w:sz w:val="21"/>
                      <w:szCs w:val="21"/>
                      <w:u w:val="none"/>
                      <w:lang w:val="en-US" w:eastAsia="zh-CN" w:bidi="ar"/>
                    </w:rPr>
                    <w:t>m</w:t>
                  </w:r>
                  <w:r>
                    <w:rPr>
                      <w:rFonts w:hint="eastAsia" w:cs="Times New Roman"/>
                      <w:i w:val="0"/>
                      <w:iCs w:val="0"/>
                      <w:color w:val="000000"/>
                      <w:kern w:val="0"/>
                      <w:sz w:val="21"/>
                      <w:szCs w:val="21"/>
                      <w:u w:val="none"/>
                      <w:vertAlign w:val="superscript"/>
                      <w:lang w:val="en-US" w:eastAsia="zh-CN" w:bidi="ar"/>
                    </w:rPr>
                    <w:t>3</w:t>
                  </w:r>
                  <w:r>
                    <w:rPr>
                      <w:rFonts w:hint="eastAsia" w:cs="Times New Roman"/>
                      <w:i w:val="0"/>
                      <w:iCs w:val="0"/>
                      <w:color w:val="000000"/>
                      <w:kern w:val="0"/>
                      <w:sz w:val="21"/>
                      <w:szCs w:val="21"/>
                      <w:u w:val="none"/>
                      <w:lang w:val="en-US" w:eastAsia="zh-CN" w:bidi="ar"/>
                    </w:rPr>
                    <w:t>/a</w:t>
                  </w:r>
                </w:p>
              </w:tc>
              <w:tc>
                <w:tcPr>
                  <w:tcW w:w="1304" w:type="pct"/>
                  <w:tcBorders>
                    <w:tl2br w:val="nil"/>
                    <w:tr2bl w:val="nil"/>
                  </w:tcBorders>
                  <w:noWrap w:val="0"/>
                  <w:vAlign w:val="center"/>
                </w:tcPr>
                <w:p w14:paraId="0CC325C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620" w:type="pct"/>
                  <w:tcBorders>
                    <w:tl2br w:val="nil"/>
                    <w:tr2bl w:val="nil"/>
                  </w:tcBorders>
                  <w:noWrap w:val="0"/>
                  <w:vAlign w:val="center"/>
                </w:tcPr>
                <w:p w14:paraId="53FAFD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082" w:type="pct"/>
                  <w:tcBorders>
                    <w:tl2br w:val="nil"/>
                    <w:tr2bl w:val="nil"/>
                  </w:tcBorders>
                  <w:shd w:val="clear" w:color="auto" w:fill="auto"/>
                  <w:noWrap w:val="0"/>
                  <w:vAlign w:val="center"/>
                </w:tcPr>
                <w:p w14:paraId="361522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炒制菜品消耗</w:t>
                  </w:r>
                </w:p>
              </w:tc>
            </w:tr>
            <w:tr w14:paraId="1C955A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6E985C1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注：</w:t>
                  </w:r>
                </w:p>
                <w:p w14:paraId="765D6E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1、</w:t>
                  </w:r>
                  <w:r>
                    <w:rPr>
                      <w:rFonts w:hint="eastAsia" w:ascii="Times New Roman" w:hAnsi="Times New Roman" w:eastAsia="宋体" w:cs="Times New Roman"/>
                      <w:color w:val="auto"/>
                      <w:lang w:val="en-US" w:eastAsia="zh-CN"/>
                    </w:rPr>
                    <w:t xml:space="preserve">天然气由宁都县城乡燃气有限责任公司提供，无储存，天然气中硫含量 </w:t>
                  </w:r>
                  <w:r>
                    <w:rPr>
                      <w:rFonts w:hint="default" w:ascii="Times New Roman" w:hAnsi="Times New Roman" w:eastAsia="宋体" w:cs="Times New Roman"/>
                      <w:color w:val="auto"/>
                      <w:lang w:val="en-US" w:eastAsia="zh-CN"/>
                    </w:rPr>
                    <w:t>200mg/m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p>
                <w:p w14:paraId="4143BE8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 xml:space="preserve">2、本项目 </w:t>
                  </w:r>
                  <w:r>
                    <w:rPr>
                      <w:rFonts w:hint="default" w:cs="Times New Roman"/>
                      <w:color w:val="auto"/>
                      <w:lang w:val="en-US" w:eastAsia="zh-CN"/>
                    </w:rPr>
                    <w:t xml:space="preserve">R22 </w:t>
                  </w:r>
                  <w:r>
                    <w:rPr>
                      <w:rFonts w:hint="eastAsia" w:cs="Times New Roman"/>
                      <w:color w:val="auto"/>
                      <w:lang w:val="en-US" w:eastAsia="zh-CN"/>
                    </w:rPr>
                    <w:t xml:space="preserve">制冷剂由专业公司上门进行更换、补充，项目内不存放制冷剂，因此项目内该原料最大储存量为 </w:t>
                  </w:r>
                  <w:r>
                    <w:rPr>
                      <w:rFonts w:hint="default" w:cs="Times New Roman"/>
                      <w:color w:val="auto"/>
                      <w:lang w:val="en-US" w:eastAsia="zh-CN"/>
                    </w:rPr>
                    <w:t>0</w:t>
                  </w:r>
                  <w:r>
                    <w:rPr>
                      <w:rFonts w:hint="eastAsia" w:cs="Times New Roman"/>
                      <w:color w:val="auto"/>
                      <w:lang w:val="en-US" w:eastAsia="zh-CN"/>
                    </w:rPr>
                    <w:t>；</w:t>
                  </w:r>
                </w:p>
              </w:tc>
            </w:tr>
          </w:tbl>
          <w:p w14:paraId="12147A2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0"/>
                <w:lang w:val="en-US" w:eastAsia="zh-CN" w:bidi="ar-SA"/>
              </w:rPr>
            </w:pPr>
            <w:r>
              <w:rPr>
                <w:rFonts w:hint="default" w:ascii="Times New Roman" w:hAnsi="Times New Roman" w:eastAsia="宋体" w:cs="Times New Roman"/>
                <w:b/>
                <w:bCs/>
                <w:color w:val="auto"/>
                <w:kern w:val="0"/>
                <w:sz w:val="24"/>
                <w:szCs w:val="20"/>
                <w:lang w:val="en-US" w:eastAsia="zh-CN" w:bidi="ar-SA"/>
              </w:rPr>
              <w:t>原辅材料理化性质：</w:t>
            </w:r>
          </w:p>
          <w:p w14:paraId="123D96B4">
            <w:pPr>
              <w:pStyle w:val="124"/>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①</w:t>
            </w:r>
            <w:r>
              <w:rPr>
                <w:rFonts w:hint="default" w:ascii="Times New Roman" w:hAnsi="Times New Roman" w:cs="Times New Roman"/>
                <w:color w:val="auto"/>
                <w:lang w:val="en-US" w:eastAsia="zh-CN"/>
              </w:rPr>
              <w:t>制冷剂 R22：是氟利昂家族的一员，属于氢氯氟烃类。化学名二氟一氯甲烷，CAS 号：75-45-6，分子式：CHClF2，分子量：86.47，沸点：-40.8℃，相对密度（30℃），液体：1.174g/cm3，熔点：-160.00℃，临界温度：96.2℃，临界压力 4.99MPA，破坏臭氧层潜能值（ODP）0.055，全球变暖系数值（GWP）1700，液体比热 30℃，[KJ/（Kg·℃）]0.31。制冷剂 R-22 作为当今使用最广泛的中低温制冷剂，广泛用于往复式压缩机，作为工业、商业、家庭空调系统的制冷剂。</w:t>
            </w:r>
            <w:r>
              <w:rPr>
                <w:rFonts w:hint="eastAsia" w:ascii="Times New Roman" w:hAnsi="Times New Roman" w:eastAsia="宋体" w:cs="Times New Roman"/>
                <w:color w:val="auto"/>
                <w:kern w:val="2"/>
                <w:sz w:val="24"/>
                <w:szCs w:val="24"/>
                <w:lang w:val="en-US" w:eastAsia="zh-CN" w:bidi="ar-SA"/>
              </w:rPr>
              <w:t>本项目冷库系统用于原料及产品的暂时冷冻储存，制冷剂在安装时一次性充入制冷系统密封管道中，循环使用不外排。</w:t>
            </w:r>
          </w:p>
          <w:p w14:paraId="161F6F8B">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eastAsia="宋体"/>
                <w:color w:val="auto"/>
                <w:sz w:val="24"/>
                <w:szCs w:val="20"/>
                <w:highlight w:val="none"/>
                <w:lang w:val="en-US" w:eastAsia="zh-CN"/>
              </w:rPr>
            </w:pPr>
            <w:r>
              <w:rPr>
                <w:rFonts w:hint="eastAsia" w:ascii="Times New Roman" w:hAnsi="Times New Roman" w:eastAsia="宋体" w:cs="Times New Roman"/>
                <w:color w:val="auto"/>
                <w:lang w:val="en-US" w:eastAsia="zh-CN"/>
              </w:rPr>
              <w:t>②</w:t>
            </w:r>
            <w:r>
              <w:rPr>
                <w:rFonts w:hint="default" w:ascii="Times New Roman" w:hAnsi="Times New Roman" w:eastAsia="宋体" w:cs="Times New Roman"/>
                <w:color w:val="auto"/>
                <w:sz w:val="24"/>
                <w:szCs w:val="20"/>
                <w:highlight w:val="none"/>
                <w:lang w:val="en-US" w:eastAsia="zh-CN"/>
              </w:rPr>
              <w:t>PAC</w:t>
            </w:r>
            <w:r>
              <w:rPr>
                <w:rFonts w:hint="eastAsia" w:ascii="Times New Roman" w:hAnsi="Times New Roman" w:eastAsia="宋体" w:cs="Times New Roman"/>
                <w:color w:val="auto"/>
                <w:sz w:val="24"/>
                <w:szCs w:val="20"/>
                <w:highlight w:val="none"/>
                <w:lang w:val="en-US" w:eastAsia="zh-CN"/>
              </w:rPr>
              <w:t>（聚合氯化铝）：对水中胶体及颗粒物具有高度电中和桥联功能，并可强力去除金属离子，性状稳定。在水中与胶体颗粒所带的负电荷瞬间产生中和作用，使胶体脱稳，胶体颗粒迅速絮凝，并进一步架桥生成大絮团而快速沉淀。</w:t>
            </w:r>
          </w:p>
          <w:p w14:paraId="70E58BF8">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kern w:val="2"/>
                <w:sz w:val="24"/>
                <w:szCs w:val="24"/>
                <w:lang w:val="en-US" w:eastAsia="zh-CN" w:bidi="ar-SA"/>
              </w:rPr>
              <w:t>（五）</w:t>
            </w:r>
            <w:r>
              <w:rPr>
                <w:rFonts w:hint="eastAsia" w:ascii="Times New Roman" w:hAnsi="Times New Roman" w:eastAsia="宋体" w:cs="Times New Roman"/>
                <w:b/>
                <w:bCs/>
                <w:color w:val="auto"/>
                <w:lang w:val="en-US" w:eastAsia="zh-CN"/>
              </w:rPr>
              <w:t>主要设备表</w:t>
            </w:r>
          </w:p>
          <w:p w14:paraId="1DACA937">
            <w:pPr>
              <w:pStyle w:val="124"/>
              <w:bidi w:val="0"/>
              <w:rPr>
                <w:rFonts w:hint="default" w:ascii="Times New Roman" w:hAnsi="Times New Roman" w:eastAsia="宋体" w:cs="Times New Roman"/>
                <w:b/>
                <w:bCs/>
                <w:color w:val="auto"/>
                <w:lang w:val="en-US" w:eastAsia="zh-CN"/>
              </w:rPr>
            </w:pPr>
            <w:r>
              <w:rPr>
                <w:rFonts w:hint="eastAsia"/>
                <w:color w:val="auto"/>
                <w:lang w:val="en-US" w:eastAsia="zh-CN"/>
              </w:rPr>
              <w:t>项目主要设备情况见表2-5。</w:t>
            </w:r>
          </w:p>
          <w:p w14:paraId="534EFCAF">
            <w:pPr>
              <w:pStyle w:val="12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表2-5  项目主要生产设备一览表</w:t>
            </w:r>
          </w:p>
          <w:tbl>
            <w:tblPr>
              <w:tblStyle w:val="34"/>
              <w:tblW w:w="819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000"/>
              <w:gridCol w:w="2835"/>
              <w:gridCol w:w="1456"/>
            </w:tblGrid>
            <w:tr w14:paraId="17D0F1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5A8D6FDC">
                  <w:pPr>
                    <w:pStyle w:val="142"/>
                    <w:adjustRightInd w:val="0"/>
                    <w:snapToGrid w:val="0"/>
                    <w:spacing w:line="240" w:lineRule="auto"/>
                    <w:jc w:val="center"/>
                    <w:rPr>
                      <w:rFonts w:hint="eastAsia" w:ascii="Times New Roman" w:hAnsi="Times New Roman" w:eastAsia="宋体" w:cs="Times New Roman"/>
                      <w:b/>
                      <w:kern w:val="2"/>
                      <w:sz w:val="21"/>
                      <w:szCs w:val="21"/>
                      <w:lang w:val="en-US" w:eastAsia="zh-CN" w:bidi="ar-SA"/>
                    </w:rPr>
                  </w:pPr>
                  <w:r>
                    <w:rPr>
                      <w:b/>
                      <w:szCs w:val="21"/>
                    </w:rPr>
                    <w:t>序号</w:t>
                  </w:r>
                </w:p>
              </w:tc>
              <w:tc>
                <w:tcPr>
                  <w:tcW w:w="3000" w:type="dxa"/>
                  <w:vAlign w:val="center"/>
                </w:tcPr>
                <w:p w14:paraId="102BE233">
                  <w:pPr>
                    <w:pStyle w:val="142"/>
                    <w:adjustRightInd w:val="0"/>
                    <w:snapToGrid w:val="0"/>
                    <w:spacing w:line="240" w:lineRule="auto"/>
                    <w:jc w:val="center"/>
                    <w:rPr>
                      <w:rFonts w:hint="eastAsia" w:ascii="Times New Roman" w:hAnsi="Times New Roman" w:eastAsia="宋体" w:cs="Times New Roman"/>
                      <w:b/>
                      <w:color w:val="000000"/>
                      <w:kern w:val="2"/>
                      <w:sz w:val="21"/>
                      <w:szCs w:val="21"/>
                      <w:lang w:val="en-US" w:eastAsia="zh-CN" w:bidi="ar-SA"/>
                    </w:rPr>
                  </w:pPr>
                  <w:r>
                    <w:rPr>
                      <w:b/>
                      <w:color w:val="000000"/>
                      <w:szCs w:val="21"/>
                    </w:rPr>
                    <w:t>设备名称</w:t>
                  </w:r>
                </w:p>
              </w:tc>
              <w:tc>
                <w:tcPr>
                  <w:tcW w:w="2835" w:type="dxa"/>
                  <w:vAlign w:val="center"/>
                </w:tcPr>
                <w:p w14:paraId="7E2D90C4">
                  <w:pPr>
                    <w:pStyle w:val="142"/>
                    <w:adjustRightInd w:val="0"/>
                    <w:snapToGrid w:val="0"/>
                    <w:spacing w:line="240" w:lineRule="auto"/>
                    <w:jc w:val="center"/>
                    <w:rPr>
                      <w:rFonts w:hint="default" w:ascii="Times New Roman" w:hAnsi="Times New Roman" w:eastAsia="宋体" w:cs="Times New Roman"/>
                      <w:b/>
                      <w:color w:val="000000"/>
                      <w:kern w:val="2"/>
                      <w:sz w:val="21"/>
                      <w:szCs w:val="21"/>
                      <w:lang w:val="en-US" w:eastAsia="zh-CN" w:bidi="ar-SA"/>
                    </w:rPr>
                  </w:pPr>
                  <w:r>
                    <w:rPr>
                      <w:rFonts w:hint="eastAsia"/>
                      <w:b/>
                      <w:color w:val="000000"/>
                      <w:szCs w:val="21"/>
                      <w:lang w:val="en-US" w:eastAsia="zh-CN"/>
                    </w:rPr>
                    <w:t>型号规格</w:t>
                  </w:r>
                </w:p>
              </w:tc>
              <w:tc>
                <w:tcPr>
                  <w:tcW w:w="1456" w:type="dxa"/>
                  <w:vAlign w:val="center"/>
                </w:tcPr>
                <w:p w14:paraId="69056362">
                  <w:pPr>
                    <w:pStyle w:val="142"/>
                    <w:adjustRightInd w:val="0"/>
                    <w:snapToGrid w:val="0"/>
                    <w:spacing w:line="240" w:lineRule="auto"/>
                    <w:jc w:val="center"/>
                    <w:rPr>
                      <w:rFonts w:hint="eastAsia"/>
                      <w:b/>
                      <w:color w:val="000000"/>
                      <w:szCs w:val="21"/>
                    </w:rPr>
                  </w:pPr>
                  <w:r>
                    <w:rPr>
                      <w:b/>
                      <w:color w:val="000000"/>
                      <w:szCs w:val="21"/>
                    </w:rPr>
                    <w:t>设备</w:t>
                  </w:r>
                  <w:r>
                    <w:rPr>
                      <w:rFonts w:hint="eastAsia"/>
                      <w:b/>
                      <w:color w:val="000000"/>
                      <w:szCs w:val="21"/>
                    </w:rPr>
                    <w:t>数量</w:t>
                  </w:r>
                </w:p>
                <w:p w14:paraId="1DD97C18">
                  <w:pPr>
                    <w:pStyle w:val="142"/>
                    <w:adjustRightInd w:val="0"/>
                    <w:snapToGrid w:val="0"/>
                    <w:spacing w:line="240" w:lineRule="auto"/>
                    <w:jc w:val="center"/>
                    <w:rPr>
                      <w:rFonts w:hint="eastAsia" w:ascii="Times New Roman" w:hAnsi="Times New Roman" w:eastAsia="宋体" w:cs="Times New Roman"/>
                      <w:b/>
                      <w:color w:val="000000"/>
                      <w:kern w:val="2"/>
                      <w:sz w:val="21"/>
                      <w:szCs w:val="21"/>
                      <w:lang w:val="en-US" w:eastAsia="zh-CN" w:bidi="ar-SA"/>
                    </w:rPr>
                  </w:pPr>
                  <w:r>
                    <w:rPr>
                      <w:rFonts w:hint="eastAsia"/>
                      <w:b/>
                      <w:color w:val="000000"/>
                      <w:szCs w:val="21"/>
                      <w:lang w:eastAsia="zh-CN"/>
                    </w:rPr>
                    <w:t>（</w:t>
                  </w:r>
                  <w:r>
                    <w:rPr>
                      <w:rFonts w:hint="eastAsia"/>
                      <w:b/>
                      <w:color w:val="000000"/>
                      <w:szCs w:val="21"/>
                      <w:lang w:val="en-US" w:eastAsia="zh-CN"/>
                    </w:rPr>
                    <w:t>台/套</w:t>
                  </w:r>
                  <w:r>
                    <w:rPr>
                      <w:rFonts w:hint="eastAsia"/>
                      <w:b/>
                      <w:color w:val="000000"/>
                      <w:szCs w:val="21"/>
                      <w:lang w:eastAsia="zh-CN"/>
                    </w:rPr>
                    <w:t>）</w:t>
                  </w:r>
                </w:p>
              </w:tc>
            </w:tr>
            <w:tr w14:paraId="715529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97" w:type="dxa"/>
                  <w:gridSpan w:val="4"/>
                  <w:vAlign w:val="center"/>
                </w:tcPr>
                <w:p w14:paraId="2353D117">
                  <w:pPr>
                    <w:pStyle w:val="142"/>
                    <w:adjustRightInd w:val="0"/>
                    <w:snapToGrid w:val="0"/>
                    <w:spacing w:line="240" w:lineRule="auto"/>
                    <w:jc w:val="both"/>
                    <w:rPr>
                      <w:rFonts w:hint="eastAsia"/>
                      <w:b/>
                      <w:color w:val="000000"/>
                      <w:szCs w:val="21"/>
                      <w:lang w:val="en-US" w:eastAsia="zh-CN"/>
                    </w:rPr>
                  </w:pPr>
                  <w:r>
                    <w:rPr>
                      <w:rFonts w:hint="eastAsia"/>
                      <w:b/>
                      <w:color w:val="000000"/>
                      <w:szCs w:val="21"/>
                      <w:lang w:val="en-US" w:eastAsia="zh-CN"/>
                    </w:rPr>
                    <w:t>一、中央厨房</w:t>
                  </w:r>
                </w:p>
              </w:tc>
            </w:tr>
            <w:tr w14:paraId="07E9E1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4BEDD478">
                  <w:pPr>
                    <w:pStyle w:val="142"/>
                    <w:jc w:val="center"/>
                    <w:rPr>
                      <w:rFonts w:hint="eastAsia" w:ascii="Times New Roman" w:hAnsi="Times New Roman" w:eastAsia="宋体" w:cs="Times New Roman"/>
                      <w:kern w:val="2"/>
                      <w:sz w:val="21"/>
                      <w:szCs w:val="21"/>
                      <w:lang w:val="en-US" w:eastAsia="zh-CN" w:bidi="ar-SA"/>
                    </w:rPr>
                  </w:pPr>
                  <w:r>
                    <w:rPr>
                      <w:szCs w:val="21"/>
                    </w:rPr>
                    <w:t>1</w:t>
                  </w:r>
                </w:p>
              </w:tc>
              <w:tc>
                <w:tcPr>
                  <w:tcW w:w="3000" w:type="dxa"/>
                  <w:shd w:val="clear" w:color="auto" w:fill="auto"/>
                  <w:vAlign w:val="center"/>
                </w:tcPr>
                <w:p w14:paraId="1CFD8A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炒锅</w:t>
                  </w:r>
                </w:p>
              </w:tc>
              <w:tc>
                <w:tcPr>
                  <w:tcW w:w="2835" w:type="dxa"/>
                  <w:shd w:val="clear" w:color="auto" w:fill="auto"/>
                  <w:vAlign w:val="center"/>
                </w:tcPr>
                <w:p w14:paraId="5696D0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150L</w:t>
                  </w:r>
                </w:p>
              </w:tc>
              <w:tc>
                <w:tcPr>
                  <w:tcW w:w="1456" w:type="dxa"/>
                  <w:shd w:val="clear" w:color="auto" w:fill="auto"/>
                  <w:vAlign w:val="center"/>
                </w:tcPr>
                <w:p w14:paraId="0EBBCC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19</w:t>
                  </w:r>
                </w:p>
              </w:tc>
            </w:tr>
            <w:tr w14:paraId="309A0F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7598D2EA">
                  <w:pPr>
                    <w:pStyle w:val="142"/>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w:t>
                  </w:r>
                </w:p>
              </w:tc>
              <w:tc>
                <w:tcPr>
                  <w:tcW w:w="3000" w:type="dxa"/>
                  <w:shd w:val="clear" w:color="auto" w:fill="auto"/>
                  <w:vAlign w:val="center"/>
                </w:tcPr>
                <w:p w14:paraId="5BBA6F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汤锅</w:t>
                  </w:r>
                </w:p>
              </w:tc>
              <w:tc>
                <w:tcPr>
                  <w:tcW w:w="2835" w:type="dxa"/>
                  <w:shd w:val="clear" w:color="auto" w:fill="auto"/>
                  <w:vAlign w:val="center"/>
                </w:tcPr>
                <w:p w14:paraId="7F7BB4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300L</w:t>
                  </w:r>
                </w:p>
              </w:tc>
              <w:tc>
                <w:tcPr>
                  <w:tcW w:w="1456" w:type="dxa"/>
                  <w:shd w:val="clear" w:color="auto" w:fill="auto"/>
                  <w:vAlign w:val="center"/>
                </w:tcPr>
                <w:p w14:paraId="3BBEA4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5</w:t>
                  </w:r>
                </w:p>
              </w:tc>
            </w:tr>
            <w:tr w14:paraId="3D1D31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6D180D82">
                  <w:pPr>
                    <w:pStyle w:val="142"/>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p>
              </w:tc>
              <w:tc>
                <w:tcPr>
                  <w:tcW w:w="3000" w:type="dxa"/>
                  <w:shd w:val="clear" w:color="auto" w:fill="auto"/>
                  <w:vAlign w:val="center"/>
                </w:tcPr>
                <w:p w14:paraId="346943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燃气蒸箱</w:t>
                  </w:r>
                </w:p>
              </w:tc>
              <w:tc>
                <w:tcPr>
                  <w:tcW w:w="2835" w:type="dxa"/>
                  <w:shd w:val="clear" w:color="auto" w:fill="auto"/>
                  <w:vAlign w:val="center"/>
                </w:tcPr>
                <w:p w14:paraId="59B842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w:t>
                  </w:r>
                </w:p>
              </w:tc>
              <w:tc>
                <w:tcPr>
                  <w:tcW w:w="1456" w:type="dxa"/>
                  <w:shd w:val="clear" w:color="auto" w:fill="auto"/>
                  <w:vAlign w:val="center"/>
                </w:tcPr>
                <w:p w14:paraId="1B98CF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w:t>
                  </w:r>
                </w:p>
              </w:tc>
            </w:tr>
            <w:tr w14:paraId="772D6C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6AF0F943">
                  <w:pPr>
                    <w:pStyle w:val="142"/>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w:t>
                  </w:r>
                </w:p>
              </w:tc>
              <w:tc>
                <w:tcPr>
                  <w:tcW w:w="3000" w:type="dxa"/>
                  <w:shd w:val="clear" w:color="auto" w:fill="auto"/>
                  <w:vAlign w:val="center"/>
                </w:tcPr>
                <w:p w14:paraId="75ED4D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电蒸箱</w:t>
                  </w:r>
                  <w:r>
                    <w:rPr>
                      <w:rFonts w:hint="eastAsia"/>
                      <w:vertAlign w:val="baseline"/>
                      <w:lang w:val="en-US" w:eastAsia="zh-CN"/>
                    </w:rPr>
                    <w:t>48盒</w:t>
                  </w:r>
                </w:p>
              </w:tc>
              <w:tc>
                <w:tcPr>
                  <w:tcW w:w="2835" w:type="dxa"/>
                  <w:shd w:val="clear" w:color="auto" w:fill="auto"/>
                  <w:vAlign w:val="center"/>
                </w:tcPr>
                <w:p w14:paraId="182F53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w:t>
                  </w:r>
                </w:p>
              </w:tc>
              <w:tc>
                <w:tcPr>
                  <w:tcW w:w="1456" w:type="dxa"/>
                  <w:shd w:val="clear" w:color="auto" w:fill="auto"/>
                  <w:vAlign w:val="center"/>
                </w:tcPr>
                <w:p w14:paraId="7D14FB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w:t>
                  </w:r>
                </w:p>
              </w:tc>
            </w:tr>
            <w:tr w14:paraId="0FA62E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51B4DD9F">
                  <w:pPr>
                    <w:pStyle w:val="142"/>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w:t>
                  </w:r>
                </w:p>
              </w:tc>
              <w:tc>
                <w:tcPr>
                  <w:tcW w:w="3000" w:type="dxa"/>
                  <w:shd w:val="clear" w:color="auto" w:fill="auto"/>
                  <w:vAlign w:val="center"/>
                </w:tcPr>
                <w:p w14:paraId="3F9E94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电蒸箱</w:t>
                  </w:r>
                  <w:r>
                    <w:rPr>
                      <w:rFonts w:hint="eastAsia"/>
                      <w:vertAlign w:val="baseline"/>
                      <w:lang w:val="en-US" w:eastAsia="zh-CN"/>
                    </w:rPr>
                    <w:t>24盒</w:t>
                  </w:r>
                </w:p>
              </w:tc>
              <w:tc>
                <w:tcPr>
                  <w:tcW w:w="2835" w:type="dxa"/>
                  <w:shd w:val="clear" w:color="auto" w:fill="auto"/>
                  <w:vAlign w:val="center"/>
                </w:tcPr>
                <w:p w14:paraId="50FC41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w:t>
                  </w:r>
                </w:p>
              </w:tc>
              <w:tc>
                <w:tcPr>
                  <w:tcW w:w="1456" w:type="dxa"/>
                  <w:shd w:val="clear" w:color="auto" w:fill="auto"/>
                  <w:vAlign w:val="center"/>
                </w:tcPr>
                <w:p w14:paraId="3C6F4A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w:t>
                  </w:r>
                </w:p>
              </w:tc>
            </w:tr>
            <w:tr w14:paraId="236C9C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61C938D6">
                  <w:pPr>
                    <w:pStyle w:val="142"/>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w:t>
                  </w:r>
                </w:p>
              </w:tc>
              <w:tc>
                <w:tcPr>
                  <w:tcW w:w="3000" w:type="dxa"/>
                  <w:shd w:val="clear" w:color="auto" w:fill="auto"/>
                  <w:vAlign w:val="center"/>
                </w:tcPr>
                <w:p w14:paraId="2F1C34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洗碗机</w:t>
                  </w:r>
                </w:p>
              </w:tc>
              <w:tc>
                <w:tcPr>
                  <w:tcW w:w="2835" w:type="dxa"/>
                  <w:shd w:val="clear" w:color="auto" w:fill="auto"/>
                  <w:vAlign w:val="center"/>
                </w:tcPr>
                <w:p w14:paraId="2C1EC6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5800*800-1950</w:t>
                  </w:r>
                </w:p>
              </w:tc>
              <w:tc>
                <w:tcPr>
                  <w:tcW w:w="1456" w:type="dxa"/>
                  <w:shd w:val="clear" w:color="auto" w:fill="auto"/>
                  <w:vAlign w:val="center"/>
                </w:tcPr>
                <w:p w14:paraId="7F25D8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w:t>
                  </w:r>
                </w:p>
              </w:tc>
            </w:tr>
            <w:tr w14:paraId="748677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0249A6A3">
                  <w:pPr>
                    <w:pStyle w:val="142"/>
                    <w:jc w:val="center"/>
                    <w:rPr>
                      <w:rFonts w:hint="eastAsia" w:ascii="Times New Roman" w:hAnsi="Times New Roman" w:eastAsia="楷体_GB2312" w:cs="Times New Roman"/>
                      <w:color w:val="000000"/>
                      <w:kern w:val="2"/>
                      <w:sz w:val="21"/>
                      <w:szCs w:val="21"/>
                      <w:lang w:val="en-US" w:eastAsia="zh-CN" w:bidi="ar-SA"/>
                    </w:rPr>
                  </w:pPr>
                  <w:r>
                    <w:rPr>
                      <w:rFonts w:hint="default" w:ascii="Times New Roman" w:hAnsi="Times New Roman" w:eastAsia="楷体_GB2312" w:cs="Times New Roman"/>
                      <w:color w:val="000000"/>
                      <w:szCs w:val="21"/>
                      <w:lang w:val="en-US" w:eastAsia="zh-CN"/>
                    </w:rPr>
                    <w:t>7</w:t>
                  </w:r>
                </w:p>
              </w:tc>
              <w:tc>
                <w:tcPr>
                  <w:tcW w:w="3000" w:type="dxa"/>
                  <w:shd w:val="clear" w:color="auto" w:fill="auto"/>
                  <w:vAlign w:val="center"/>
                </w:tcPr>
                <w:p w14:paraId="053C7C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洗碗机</w:t>
                  </w:r>
                </w:p>
              </w:tc>
              <w:tc>
                <w:tcPr>
                  <w:tcW w:w="2835" w:type="dxa"/>
                  <w:shd w:val="clear" w:color="auto" w:fill="auto"/>
                  <w:vAlign w:val="center"/>
                </w:tcPr>
                <w:p w14:paraId="4E699E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3000*800-1400</w:t>
                  </w:r>
                </w:p>
              </w:tc>
              <w:tc>
                <w:tcPr>
                  <w:tcW w:w="1456" w:type="dxa"/>
                  <w:shd w:val="clear" w:color="auto" w:fill="auto"/>
                  <w:vAlign w:val="center"/>
                </w:tcPr>
                <w:p w14:paraId="332ACA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w:t>
                  </w:r>
                </w:p>
              </w:tc>
            </w:tr>
            <w:tr w14:paraId="4AA974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0F1F4721">
                  <w:pPr>
                    <w:pStyle w:val="142"/>
                    <w:jc w:val="center"/>
                    <w:rPr>
                      <w:rFonts w:hint="eastAsia" w:ascii="Times New Roman" w:hAnsi="Times New Roman" w:eastAsia="楷体_GB2312" w:cs="Times New Roman"/>
                      <w:color w:val="000000"/>
                      <w:kern w:val="2"/>
                      <w:sz w:val="21"/>
                      <w:szCs w:val="21"/>
                      <w:lang w:val="en-US" w:eastAsia="zh-CN" w:bidi="ar-SA"/>
                    </w:rPr>
                  </w:pPr>
                  <w:r>
                    <w:rPr>
                      <w:rFonts w:hint="eastAsia" w:eastAsia="楷体_GB2312" w:cs="Times New Roman"/>
                      <w:color w:val="000000"/>
                      <w:szCs w:val="21"/>
                      <w:lang w:val="en-US" w:eastAsia="zh-CN"/>
                    </w:rPr>
                    <w:t>8</w:t>
                  </w:r>
                </w:p>
              </w:tc>
              <w:tc>
                <w:tcPr>
                  <w:tcW w:w="3000" w:type="dxa"/>
                  <w:shd w:val="clear" w:color="auto" w:fill="auto"/>
                  <w:vAlign w:val="center"/>
                </w:tcPr>
                <w:p w14:paraId="538227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eastAsia="zh-CN"/>
                    </w:rPr>
                    <w:t>高温消毒库</w:t>
                  </w:r>
                </w:p>
              </w:tc>
              <w:tc>
                <w:tcPr>
                  <w:tcW w:w="2835" w:type="dxa"/>
                  <w:shd w:val="clear" w:color="auto" w:fill="auto"/>
                  <w:vAlign w:val="center"/>
                </w:tcPr>
                <w:p w14:paraId="30C14B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6DDC7F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2</w:t>
                  </w:r>
                </w:p>
              </w:tc>
            </w:tr>
            <w:tr w14:paraId="6A99A3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0701C4F4">
                  <w:pPr>
                    <w:pStyle w:val="142"/>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9</w:t>
                  </w:r>
                </w:p>
              </w:tc>
              <w:tc>
                <w:tcPr>
                  <w:tcW w:w="3000" w:type="dxa"/>
                  <w:shd w:val="clear" w:color="auto" w:fill="auto"/>
                  <w:vAlign w:val="center"/>
                </w:tcPr>
                <w:p w14:paraId="717F52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消毒池</w:t>
                  </w:r>
                </w:p>
              </w:tc>
              <w:tc>
                <w:tcPr>
                  <w:tcW w:w="2835" w:type="dxa"/>
                  <w:shd w:val="clear" w:color="auto" w:fill="auto"/>
                  <w:vAlign w:val="center"/>
                </w:tcPr>
                <w:p w14:paraId="6CC028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定制</w:t>
                  </w:r>
                </w:p>
              </w:tc>
              <w:tc>
                <w:tcPr>
                  <w:tcW w:w="1456" w:type="dxa"/>
                  <w:shd w:val="clear" w:color="auto" w:fill="auto"/>
                  <w:vAlign w:val="center"/>
                </w:tcPr>
                <w:p w14:paraId="7474F1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5AFFFC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1BCD15C">
                  <w:pPr>
                    <w:pStyle w:val="142"/>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w:t>
                  </w:r>
                </w:p>
              </w:tc>
              <w:tc>
                <w:tcPr>
                  <w:tcW w:w="3000" w:type="dxa"/>
                  <w:shd w:val="clear" w:color="auto" w:fill="auto"/>
                  <w:vAlign w:val="center"/>
                </w:tcPr>
                <w:p w14:paraId="2852D6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紫外线消毒设备</w:t>
                  </w:r>
                </w:p>
              </w:tc>
              <w:tc>
                <w:tcPr>
                  <w:tcW w:w="2835" w:type="dxa"/>
                  <w:shd w:val="clear" w:color="auto" w:fill="auto"/>
                  <w:vAlign w:val="center"/>
                </w:tcPr>
                <w:p w14:paraId="722876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vertAlign w:val="baseline"/>
                      <w:lang w:val="en-US" w:eastAsia="zh-CN"/>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0C7DAB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1</w:t>
                  </w:r>
                </w:p>
              </w:tc>
            </w:tr>
            <w:tr w14:paraId="584184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C85238E">
                  <w:pPr>
                    <w:pStyle w:val="142"/>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11</w:t>
                  </w:r>
                </w:p>
              </w:tc>
              <w:tc>
                <w:tcPr>
                  <w:tcW w:w="3000" w:type="dxa"/>
                  <w:shd w:val="clear" w:color="auto" w:fill="auto"/>
                  <w:vAlign w:val="center"/>
                </w:tcPr>
                <w:p w14:paraId="682CB7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臭氧消毒设备</w:t>
                  </w:r>
                </w:p>
              </w:tc>
              <w:tc>
                <w:tcPr>
                  <w:tcW w:w="2835" w:type="dxa"/>
                  <w:shd w:val="clear" w:color="auto" w:fill="auto"/>
                  <w:vAlign w:val="center"/>
                </w:tcPr>
                <w:p w14:paraId="284CB7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vertAlign w:val="baseline"/>
                      <w:lang w:val="en-US" w:eastAsia="zh-CN"/>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0582EE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1</w:t>
                  </w:r>
                </w:p>
              </w:tc>
            </w:tr>
            <w:tr w14:paraId="718CCA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BE2A052">
                  <w:pPr>
                    <w:pStyle w:val="142"/>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12</w:t>
                  </w:r>
                </w:p>
              </w:tc>
              <w:tc>
                <w:tcPr>
                  <w:tcW w:w="3000" w:type="dxa"/>
                  <w:shd w:val="clear" w:color="auto" w:fill="auto"/>
                  <w:vAlign w:val="center"/>
                </w:tcPr>
                <w:p w14:paraId="3D26E1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软水机</w:t>
                  </w:r>
                </w:p>
              </w:tc>
              <w:tc>
                <w:tcPr>
                  <w:tcW w:w="2835" w:type="dxa"/>
                  <w:shd w:val="clear" w:color="auto" w:fill="auto"/>
                  <w:vAlign w:val="center"/>
                </w:tcPr>
                <w:p w14:paraId="3CF3CD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55D4F2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1</w:t>
                  </w:r>
                </w:p>
              </w:tc>
            </w:tr>
            <w:tr w14:paraId="245BAF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B95AE78">
                  <w:pPr>
                    <w:pStyle w:val="142"/>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13</w:t>
                  </w:r>
                </w:p>
              </w:tc>
              <w:tc>
                <w:tcPr>
                  <w:tcW w:w="3000" w:type="dxa"/>
                  <w:shd w:val="clear" w:color="auto" w:fill="auto"/>
                  <w:vAlign w:val="center"/>
                </w:tcPr>
                <w:p w14:paraId="6B02D0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纯水机</w:t>
                  </w:r>
                </w:p>
              </w:tc>
              <w:tc>
                <w:tcPr>
                  <w:tcW w:w="2835" w:type="dxa"/>
                  <w:shd w:val="clear" w:color="auto" w:fill="auto"/>
                  <w:vAlign w:val="center"/>
                </w:tcPr>
                <w:p w14:paraId="47F911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06B1CA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w:t>
                  </w:r>
                </w:p>
              </w:tc>
            </w:tr>
            <w:tr w14:paraId="7B91D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shd w:val="clear" w:color="auto" w:fill="auto"/>
                  <w:vAlign w:val="center"/>
                </w:tcPr>
                <w:p w14:paraId="504F7382">
                  <w:pPr>
                    <w:pStyle w:val="142"/>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14</w:t>
                  </w:r>
                </w:p>
              </w:tc>
              <w:tc>
                <w:tcPr>
                  <w:tcW w:w="3000" w:type="dxa"/>
                  <w:shd w:val="clear" w:color="auto" w:fill="auto"/>
                  <w:vAlign w:val="center"/>
                </w:tcPr>
                <w:p w14:paraId="2FDF5B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抽油烟机</w:t>
                  </w:r>
                </w:p>
              </w:tc>
              <w:tc>
                <w:tcPr>
                  <w:tcW w:w="2835" w:type="dxa"/>
                  <w:shd w:val="clear" w:color="auto" w:fill="auto"/>
                  <w:vAlign w:val="center"/>
                </w:tcPr>
                <w:p w14:paraId="1750C7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w:t>
                  </w:r>
                </w:p>
              </w:tc>
              <w:tc>
                <w:tcPr>
                  <w:tcW w:w="1456" w:type="dxa"/>
                  <w:shd w:val="clear" w:color="auto" w:fill="auto"/>
                  <w:vAlign w:val="center"/>
                </w:tcPr>
                <w:p w14:paraId="2461C9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w:t>
                  </w:r>
                </w:p>
              </w:tc>
            </w:tr>
            <w:tr w14:paraId="77B5B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04B9D96D">
                  <w:pPr>
                    <w:pStyle w:val="1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w:t>
                  </w:r>
                </w:p>
              </w:tc>
              <w:tc>
                <w:tcPr>
                  <w:tcW w:w="3000" w:type="dxa"/>
                  <w:shd w:val="clear" w:color="auto" w:fill="auto"/>
                  <w:vAlign w:val="center"/>
                </w:tcPr>
                <w:p w14:paraId="702CA4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静电油烟净化装置</w:t>
                  </w:r>
                </w:p>
              </w:tc>
              <w:tc>
                <w:tcPr>
                  <w:tcW w:w="2835" w:type="dxa"/>
                  <w:shd w:val="clear" w:color="auto" w:fill="auto"/>
                  <w:vAlign w:val="center"/>
                </w:tcPr>
                <w:p w14:paraId="28FF5E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c>
                <w:tcPr>
                  <w:tcW w:w="1456" w:type="dxa"/>
                  <w:shd w:val="clear" w:color="auto" w:fill="auto"/>
                  <w:vAlign w:val="center"/>
                </w:tcPr>
                <w:p w14:paraId="7878A2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4</w:t>
                  </w:r>
                </w:p>
              </w:tc>
            </w:tr>
            <w:tr w14:paraId="56C798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51F0E388">
                  <w:pPr>
                    <w:pStyle w:val="1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w:t>
                  </w:r>
                </w:p>
              </w:tc>
              <w:tc>
                <w:tcPr>
                  <w:tcW w:w="3000" w:type="dxa"/>
                  <w:shd w:val="clear" w:color="auto" w:fill="auto"/>
                  <w:vAlign w:val="center"/>
                </w:tcPr>
                <w:p w14:paraId="197BE2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0.5t/h燃气锅炉</w:t>
                  </w:r>
                </w:p>
              </w:tc>
              <w:tc>
                <w:tcPr>
                  <w:tcW w:w="2835" w:type="dxa"/>
                  <w:shd w:val="clear" w:color="auto" w:fill="auto"/>
                  <w:vAlign w:val="center"/>
                </w:tcPr>
                <w:p w14:paraId="6948AC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LSS</w:t>
                  </w:r>
                </w:p>
              </w:tc>
              <w:tc>
                <w:tcPr>
                  <w:tcW w:w="1456" w:type="dxa"/>
                  <w:shd w:val="clear" w:color="auto" w:fill="auto"/>
                  <w:vAlign w:val="center"/>
                </w:tcPr>
                <w:p w14:paraId="1733FE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w:t>
                  </w:r>
                </w:p>
              </w:tc>
            </w:tr>
            <w:tr w14:paraId="454147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97" w:type="dxa"/>
                  <w:gridSpan w:val="4"/>
                  <w:vAlign w:val="center"/>
                </w:tcPr>
                <w:p w14:paraId="47E25110">
                  <w:pPr>
                    <w:jc w:val="both"/>
                    <w:rPr>
                      <w:rFonts w:hint="eastAsia"/>
                      <w:b/>
                      <w:bCs/>
                      <w:szCs w:val="21"/>
                      <w:lang w:val="en-US" w:eastAsia="zh-CN"/>
                    </w:rPr>
                  </w:pPr>
                  <w:r>
                    <w:rPr>
                      <w:rFonts w:hint="eastAsia"/>
                      <w:b/>
                      <w:bCs/>
                      <w:szCs w:val="21"/>
                      <w:lang w:val="en-US" w:eastAsia="zh-CN"/>
                    </w:rPr>
                    <w:t>二、肉类车间</w:t>
                  </w:r>
                </w:p>
              </w:tc>
            </w:tr>
            <w:tr w14:paraId="5E499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9EE8C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c>
                <w:tcPr>
                  <w:tcW w:w="3000" w:type="dxa"/>
                  <w:shd w:val="clear" w:color="auto" w:fill="auto"/>
                  <w:vAlign w:val="center"/>
                </w:tcPr>
                <w:p w14:paraId="68F154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大型切丝机</w:t>
                  </w:r>
                </w:p>
              </w:tc>
              <w:tc>
                <w:tcPr>
                  <w:tcW w:w="2835" w:type="dxa"/>
                  <w:shd w:val="clear" w:color="auto" w:fill="auto"/>
                  <w:vAlign w:val="center"/>
                </w:tcPr>
                <w:p w14:paraId="3524C4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GS-12</w:t>
                  </w:r>
                </w:p>
              </w:tc>
              <w:tc>
                <w:tcPr>
                  <w:tcW w:w="1456" w:type="dxa"/>
                  <w:shd w:val="clear" w:color="auto" w:fill="auto"/>
                  <w:vAlign w:val="center"/>
                </w:tcPr>
                <w:p w14:paraId="61F564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4AE6E3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E9F57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w:t>
                  </w:r>
                </w:p>
              </w:tc>
              <w:tc>
                <w:tcPr>
                  <w:tcW w:w="3000" w:type="dxa"/>
                  <w:shd w:val="clear" w:color="auto" w:fill="auto"/>
                  <w:vAlign w:val="center"/>
                </w:tcPr>
                <w:p w14:paraId="08C002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真空滚揉机</w:t>
                  </w:r>
                </w:p>
              </w:tc>
              <w:tc>
                <w:tcPr>
                  <w:tcW w:w="2835" w:type="dxa"/>
                  <w:shd w:val="clear" w:color="auto" w:fill="auto"/>
                  <w:vAlign w:val="center"/>
                </w:tcPr>
                <w:p w14:paraId="0E3DB6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J-VM600</w:t>
                  </w:r>
                </w:p>
              </w:tc>
              <w:tc>
                <w:tcPr>
                  <w:tcW w:w="1456" w:type="dxa"/>
                  <w:shd w:val="clear" w:color="auto" w:fill="auto"/>
                  <w:vAlign w:val="center"/>
                </w:tcPr>
                <w:p w14:paraId="173EB8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0E6DFB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4B539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w:t>
                  </w:r>
                </w:p>
              </w:tc>
              <w:tc>
                <w:tcPr>
                  <w:tcW w:w="3000" w:type="dxa"/>
                  <w:shd w:val="clear" w:color="auto" w:fill="auto"/>
                  <w:vAlign w:val="center"/>
                </w:tcPr>
                <w:p w14:paraId="221871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连续式肉丝机</w:t>
                  </w:r>
                </w:p>
              </w:tc>
              <w:tc>
                <w:tcPr>
                  <w:tcW w:w="2835" w:type="dxa"/>
                  <w:shd w:val="clear" w:color="auto" w:fill="auto"/>
                  <w:vAlign w:val="center"/>
                </w:tcPr>
                <w:p w14:paraId="1C944E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SG-10C</w:t>
                  </w:r>
                </w:p>
              </w:tc>
              <w:tc>
                <w:tcPr>
                  <w:tcW w:w="1456" w:type="dxa"/>
                  <w:shd w:val="clear" w:color="auto" w:fill="auto"/>
                  <w:vAlign w:val="center"/>
                </w:tcPr>
                <w:p w14:paraId="79F99E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52DC0B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E4A72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4</w:t>
                  </w:r>
                </w:p>
              </w:tc>
              <w:tc>
                <w:tcPr>
                  <w:tcW w:w="3000" w:type="dxa"/>
                  <w:shd w:val="clear" w:color="auto" w:fill="auto"/>
                  <w:vAlign w:val="center"/>
                </w:tcPr>
                <w:p w14:paraId="1AA500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多功能切肉机</w:t>
                  </w:r>
                </w:p>
              </w:tc>
              <w:tc>
                <w:tcPr>
                  <w:tcW w:w="2835" w:type="dxa"/>
                  <w:shd w:val="clear" w:color="auto" w:fill="auto"/>
                  <w:vAlign w:val="center"/>
                </w:tcPr>
                <w:p w14:paraId="32DCF2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PG-20C</w:t>
                  </w:r>
                </w:p>
              </w:tc>
              <w:tc>
                <w:tcPr>
                  <w:tcW w:w="1456" w:type="dxa"/>
                  <w:shd w:val="clear" w:color="auto" w:fill="auto"/>
                  <w:vAlign w:val="center"/>
                </w:tcPr>
                <w:p w14:paraId="010619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63D99F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03222F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5</w:t>
                  </w:r>
                </w:p>
              </w:tc>
              <w:tc>
                <w:tcPr>
                  <w:tcW w:w="3000" w:type="dxa"/>
                  <w:shd w:val="clear" w:color="auto" w:fill="auto"/>
                  <w:vAlign w:val="center"/>
                </w:tcPr>
                <w:p w14:paraId="0A8A71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禽类切丁（块）机</w:t>
                  </w:r>
                </w:p>
              </w:tc>
              <w:tc>
                <w:tcPr>
                  <w:tcW w:w="2835" w:type="dxa"/>
                  <w:shd w:val="clear" w:color="auto" w:fill="auto"/>
                  <w:vAlign w:val="center"/>
                </w:tcPr>
                <w:p w14:paraId="577972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SN-550</w:t>
                  </w:r>
                </w:p>
              </w:tc>
              <w:tc>
                <w:tcPr>
                  <w:tcW w:w="1456" w:type="dxa"/>
                  <w:shd w:val="clear" w:color="auto" w:fill="auto"/>
                  <w:vAlign w:val="center"/>
                </w:tcPr>
                <w:p w14:paraId="58164D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131EB2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0EC188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6</w:t>
                  </w:r>
                </w:p>
              </w:tc>
              <w:tc>
                <w:tcPr>
                  <w:tcW w:w="3000" w:type="dxa"/>
                  <w:shd w:val="clear" w:color="auto" w:fill="auto"/>
                  <w:vAlign w:val="center"/>
                </w:tcPr>
                <w:p w14:paraId="29A9C5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大型切丁机</w:t>
                  </w:r>
                </w:p>
              </w:tc>
              <w:tc>
                <w:tcPr>
                  <w:tcW w:w="2835" w:type="dxa"/>
                  <w:shd w:val="clear" w:color="auto" w:fill="auto"/>
                  <w:vAlign w:val="center"/>
                </w:tcPr>
                <w:p w14:paraId="64F58E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TD-3D</w:t>
                  </w:r>
                </w:p>
              </w:tc>
              <w:tc>
                <w:tcPr>
                  <w:tcW w:w="1456" w:type="dxa"/>
                  <w:shd w:val="clear" w:color="auto" w:fill="auto"/>
                  <w:vAlign w:val="center"/>
                </w:tcPr>
                <w:p w14:paraId="728E65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150CF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A41F7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7</w:t>
                  </w:r>
                </w:p>
              </w:tc>
              <w:tc>
                <w:tcPr>
                  <w:tcW w:w="3000" w:type="dxa"/>
                  <w:shd w:val="clear" w:color="auto" w:fill="auto"/>
                  <w:vAlign w:val="center"/>
                </w:tcPr>
                <w:p w14:paraId="76AEC1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禽类带骨切丁机</w:t>
                  </w:r>
                </w:p>
              </w:tc>
              <w:tc>
                <w:tcPr>
                  <w:tcW w:w="2835" w:type="dxa"/>
                  <w:shd w:val="clear" w:color="auto" w:fill="auto"/>
                  <w:vAlign w:val="center"/>
                </w:tcPr>
                <w:p w14:paraId="181824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SN-550</w:t>
                  </w:r>
                </w:p>
              </w:tc>
              <w:tc>
                <w:tcPr>
                  <w:tcW w:w="1456" w:type="dxa"/>
                  <w:shd w:val="clear" w:color="auto" w:fill="auto"/>
                  <w:vAlign w:val="center"/>
                </w:tcPr>
                <w:p w14:paraId="79C8A5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12BAAE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1D4FBD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8</w:t>
                  </w:r>
                </w:p>
              </w:tc>
              <w:tc>
                <w:tcPr>
                  <w:tcW w:w="3000" w:type="dxa"/>
                  <w:shd w:val="clear" w:color="auto" w:fill="auto"/>
                  <w:vAlign w:val="center"/>
                </w:tcPr>
                <w:p w14:paraId="1CBA7B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锯骨机</w:t>
                  </w:r>
                </w:p>
              </w:tc>
              <w:tc>
                <w:tcPr>
                  <w:tcW w:w="2835" w:type="dxa"/>
                  <w:shd w:val="clear" w:color="auto" w:fill="auto"/>
                  <w:vAlign w:val="center"/>
                </w:tcPr>
                <w:p w14:paraId="155C6D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HY-320</w:t>
                  </w:r>
                </w:p>
              </w:tc>
              <w:tc>
                <w:tcPr>
                  <w:tcW w:w="1456" w:type="dxa"/>
                  <w:shd w:val="clear" w:color="auto" w:fill="auto"/>
                  <w:vAlign w:val="center"/>
                </w:tcPr>
                <w:p w14:paraId="36E26A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1601A8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53D98F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9</w:t>
                  </w:r>
                </w:p>
              </w:tc>
              <w:tc>
                <w:tcPr>
                  <w:tcW w:w="3000" w:type="dxa"/>
                  <w:shd w:val="clear" w:color="auto" w:fill="auto"/>
                  <w:vAlign w:val="center"/>
                </w:tcPr>
                <w:p w14:paraId="76F10E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肉丝肉片机</w:t>
                  </w:r>
                </w:p>
              </w:tc>
              <w:tc>
                <w:tcPr>
                  <w:tcW w:w="2835" w:type="dxa"/>
                  <w:shd w:val="clear" w:color="auto" w:fill="auto"/>
                  <w:vAlign w:val="center"/>
                </w:tcPr>
                <w:p w14:paraId="7C3E08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SN-DL</w:t>
                  </w:r>
                </w:p>
              </w:tc>
              <w:tc>
                <w:tcPr>
                  <w:tcW w:w="1456" w:type="dxa"/>
                  <w:shd w:val="clear" w:color="auto" w:fill="auto"/>
                  <w:vAlign w:val="center"/>
                </w:tcPr>
                <w:p w14:paraId="3645F7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5C463E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7AEF31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10</w:t>
                  </w:r>
                </w:p>
              </w:tc>
              <w:tc>
                <w:tcPr>
                  <w:tcW w:w="3000" w:type="dxa"/>
                  <w:shd w:val="clear" w:color="auto" w:fill="auto"/>
                  <w:vAlign w:val="center"/>
                </w:tcPr>
                <w:p w14:paraId="69A621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全自动杀鱼机</w:t>
                  </w:r>
                </w:p>
              </w:tc>
              <w:tc>
                <w:tcPr>
                  <w:tcW w:w="2835" w:type="dxa"/>
                  <w:shd w:val="clear" w:color="auto" w:fill="auto"/>
                  <w:vAlign w:val="center"/>
                </w:tcPr>
                <w:p w14:paraId="275F40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w:t>
                  </w:r>
                </w:p>
              </w:tc>
              <w:tc>
                <w:tcPr>
                  <w:tcW w:w="1456" w:type="dxa"/>
                  <w:shd w:val="clear" w:color="auto" w:fill="auto"/>
                  <w:vAlign w:val="center"/>
                </w:tcPr>
                <w:p w14:paraId="055ADA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782EC1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1FD63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11</w:t>
                  </w:r>
                </w:p>
              </w:tc>
              <w:tc>
                <w:tcPr>
                  <w:tcW w:w="3000" w:type="dxa"/>
                  <w:shd w:val="clear" w:color="auto" w:fill="auto"/>
                  <w:vAlign w:val="center"/>
                </w:tcPr>
                <w:p w14:paraId="6E953B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成品输送线</w:t>
                  </w:r>
                </w:p>
              </w:tc>
              <w:tc>
                <w:tcPr>
                  <w:tcW w:w="2835" w:type="dxa"/>
                  <w:shd w:val="clear" w:color="auto" w:fill="auto"/>
                  <w:vAlign w:val="center"/>
                </w:tcPr>
                <w:p w14:paraId="039C31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w:t>
                  </w:r>
                </w:p>
              </w:tc>
              <w:tc>
                <w:tcPr>
                  <w:tcW w:w="1456" w:type="dxa"/>
                  <w:shd w:val="clear" w:color="auto" w:fill="auto"/>
                  <w:vAlign w:val="center"/>
                </w:tcPr>
                <w:p w14:paraId="232061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5</w:t>
                  </w:r>
                </w:p>
              </w:tc>
            </w:tr>
            <w:tr w14:paraId="268F32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7D6746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12</w:t>
                  </w:r>
                </w:p>
              </w:tc>
              <w:tc>
                <w:tcPr>
                  <w:tcW w:w="3000" w:type="dxa"/>
                  <w:shd w:val="clear" w:color="auto" w:fill="auto"/>
                  <w:vAlign w:val="center"/>
                </w:tcPr>
                <w:p w14:paraId="2B7EBD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肉类清洗解冻池</w:t>
                  </w:r>
                </w:p>
              </w:tc>
              <w:tc>
                <w:tcPr>
                  <w:tcW w:w="2835" w:type="dxa"/>
                  <w:shd w:val="clear" w:color="auto" w:fill="auto"/>
                  <w:vAlign w:val="center"/>
                </w:tcPr>
                <w:p w14:paraId="38D720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定制</w:t>
                  </w:r>
                </w:p>
              </w:tc>
              <w:tc>
                <w:tcPr>
                  <w:tcW w:w="1456" w:type="dxa"/>
                  <w:shd w:val="clear" w:color="auto" w:fill="auto"/>
                  <w:vAlign w:val="center"/>
                </w:tcPr>
                <w:p w14:paraId="0267A1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334142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03B909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13</w:t>
                  </w:r>
                </w:p>
              </w:tc>
              <w:tc>
                <w:tcPr>
                  <w:tcW w:w="3000" w:type="dxa"/>
                  <w:shd w:val="clear" w:color="auto" w:fill="auto"/>
                  <w:vAlign w:val="center"/>
                </w:tcPr>
                <w:p w14:paraId="2A58D6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真空包装机</w:t>
                  </w:r>
                  <w:r>
                    <w:rPr>
                      <w:rFonts w:hint="eastAsia"/>
                      <w:vertAlign w:val="baseline"/>
                      <w:lang w:val="en-US" w:eastAsia="zh-CN"/>
                    </w:rPr>
                    <w:t>YD10-12-1318</w:t>
                  </w:r>
                </w:p>
              </w:tc>
              <w:tc>
                <w:tcPr>
                  <w:tcW w:w="2835" w:type="dxa"/>
                  <w:shd w:val="clear" w:color="auto" w:fill="auto"/>
                  <w:vAlign w:val="center"/>
                </w:tcPr>
                <w:p w14:paraId="2648ED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JV-016A</w:t>
                  </w:r>
                </w:p>
              </w:tc>
              <w:tc>
                <w:tcPr>
                  <w:tcW w:w="1456" w:type="dxa"/>
                  <w:shd w:val="clear" w:color="auto" w:fill="auto"/>
                  <w:vAlign w:val="center"/>
                </w:tcPr>
                <w:p w14:paraId="4BACD8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6FA68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CF73F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14</w:t>
                  </w:r>
                </w:p>
              </w:tc>
              <w:tc>
                <w:tcPr>
                  <w:tcW w:w="3000" w:type="dxa"/>
                  <w:shd w:val="clear" w:color="auto" w:fill="auto"/>
                  <w:vAlign w:val="center"/>
                </w:tcPr>
                <w:p w14:paraId="319431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纯水机</w:t>
                  </w:r>
                </w:p>
              </w:tc>
              <w:tc>
                <w:tcPr>
                  <w:tcW w:w="2835" w:type="dxa"/>
                  <w:shd w:val="clear" w:color="auto" w:fill="auto"/>
                  <w:vAlign w:val="center"/>
                </w:tcPr>
                <w:p w14:paraId="7F8076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1F22F5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w:t>
                  </w:r>
                </w:p>
              </w:tc>
            </w:tr>
            <w:tr w14:paraId="3FFF2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088EA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15</w:t>
                  </w:r>
                </w:p>
              </w:tc>
              <w:tc>
                <w:tcPr>
                  <w:tcW w:w="3000" w:type="dxa"/>
                  <w:shd w:val="clear" w:color="auto" w:fill="auto"/>
                  <w:vAlign w:val="center"/>
                </w:tcPr>
                <w:p w14:paraId="056A48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空气消毒机</w:t>
                  </w:r>
                </w:p>
              </w:tc>
              <w:tc>
                <w:tcPr>
                  <w:tcW w:w="2835" w:type="dxa"/>
                  <w:shd w:val="clear" w:color="auto" w:fill="auto"/>
                  <w:vAlign w:val="center"/>
                </w:tcPr>
                <w:p w14:paraId="693B71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AUT-200</w:t>
                  </w:r>
                </w:p>
              </w:tc>
              <w:tc>
                <w:tcPr>
                  <w:tcW w:w="1456" w:type="dxa"/>
                  <w:shd w:val="clear" w:color="auto" w:fill="auto"/>
                  <w:vAlign w:val="center"/>
                </w:tcPr>
                <w:p w14:paraId="076BD6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23</w:t>
                  </w:r>
                </w:p>
              </w:tc>
            </w:tr>
            <w:tr w14:paraId="443B90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384F0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16</w:t>
                  </w:r>
                </w:p>
              </w:tc>
              <w:tc>
                <w:tcPr>
                  <w:tcW w:w="3000" w:type="dxa"/>
                  <w:shd w:val="clear" w:color="auto" w:fill="auto"/>
                  <w:vAlign w:val="center"/>
                </w:tcPr>
                <w:p w14:paraId="4A6565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墙挂空气消毒机</w:t>
                  </w:r>
                </w:p>
              </w:tc>
              <w:tc>
                <w:tcPr>
                  <w:tcW w:w="2835" w:type="dxa"/>
                  <w:shd w:val="clear" w:color="auto" w:fill="auto"/>
                  <w:vAlign w:val="center"/>
                </w:tcPr>
                <w:p w14:paraId="5B0348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AUW-100B1</w:t>
                  </w:r>
                </w:p>
              </w:tc>
              <w:tc>
                <w:tcPr>
                  <w:tcW w:w="1456" w:type="dxa"/>
                  <w:shd w:val="clear" w:color="auto" w:fill="auto"/>
                  <w:vAlign w:val="center"/>
                </w:tcPr>
                <w:p w14:paraId="10F8F0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1C5976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22BB6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17</w:t>
                  </w:r>
                </w:p>
              </w:tc>
              <w:tc>
                <w:tcPr>
                  <w:tcW w:w="3000" w:type="dxa"/>
                  <w:shd w:val="clear" w:color="auto" w:fill="auto"/>
                  <w:vAlign w:val="center"/>
                </w:tcPr>
                <w:p w14:paraId="32C9C8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烘靴机</w:t>
                  </w:r>
                </w:p>
              </w:tc>
              <w:tc>
                <w:tcPr>
                  <w:tcW w:w="2835" w:type="dxa"/>
                  <w:shd w:val="clear" w:color="auto" w:fill="auto"/>
                  <w:vAlign w:val="center"/>
                </w:tcPr>
                <w:p w14:paraId="08BC1D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PBD-10E</w:t>
                  </w:r>
                </w:p>
              </w:tc>
              <w:tc>
                <w:tcPr>
                  <w:tcW w:w="1456" w:type="dxa"/>
                  <w:shd w:val="clear" w:color="auto" w:fill="auto"/>
                  <w:vAlign w:val="center"/>
                </w:tcPr>
                <w:p w14:paraId="13842A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w:t>
                  </w:r>
                </w:p>
              </w:tc>
            </w:tr>
            <w:tr w14:paraId="15173D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97" w:type="dxa"/>
                  <w:gridSpan w:val="4"/>
                  <w:vAlign w:val="center"/>
                </w:tcPr>
                <w:p w14:paraId="50B737C5">
                  <w:pPr>
                    <w:jc w:val="both"/>
                    <w:rPr>
                      <w:rFonts w:hint="eastAsia"/>
                      <w:b/>
                      <w:bCs/>
                      <w:szCs w:val="21"/>
                      <w:lang w:val="en-US" w:eastAsia="zh-CN"/>
                    </w:rPr>
                  </w:pPr>
                  <w:r>
                    <w:rPr>
                      <w:rFonts w:hint="eastAsia"/>
                      <w:b/>
                      <w:bCs/>
                      <w:szCs w:val="21"/>
                      <w:lang w:val="en-US" w:eastAsia="zh-CN"/>
                    </w:rPr>
                    <w:t>三、果蔬车间</w:t>
                  </w:r>
                </w:p>
              </w:tc>
            </w:tr>
            <w:tr w14:paraId="7C8E46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522012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c>
                <w:tcPr>
                  <w:tcW w:w="3000" w:type="dxa"/>
                  <w:shd w:val="clear" w:color="auto" w:fill="auto"/>
                  <w:vAlign w:val="center"/>
                </w:tcPr>
                <w:p w14:paraId="03033B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分拣台</w:t>
                  </w:r>
                </w:p>
              </w:tc>
              <w:tc>
                <w:tcPr>
                  <w:tcW w:w="2835" w:type="dxa"/>
                  <w:shd w:val="clear" w:color="auto" w:fill="auto"/>
                  <w:vAlign w:val="center"/>
                </w:tcPr>
                <w:p w14:paraId="3BD86F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SN-FJ</w:t>
                  </w:r>
                </w:p>
              </w:tc>
              <w:tc>
                <w:tcPr>
                  <w:tcW w:w="1456" w:type="dxa"/>
                  <w:shd w:val="clear" w:color="auto" w:fill="auto"/>
                  <w:vAlign w:val="center"/>
                </w:tcPr>
                <w:p w14:paraId="78DD46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56B23C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AB381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w:t>
                  </w:r>
                </w:p>
              </w:tc>
              <w:tc>
                <w:tcPr>
                  <w:tcW w:w="3000" w:type="dxa"/>
                  <w:shd w:val="clear" w:color="auto" w:fill="auto"/>
                  <w:vAlign w:val="center"/>
                </w:tcPr>
                <w:p w14:paraId="3C1F49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大型叶菜切菜机</w:t>
                  </w:r>
                </w:p>
              </w:tc>
              <w:tc>
                <w:tcPr>
                  <w:tcW w:w="2835" w:type="dxa"/>
                  <w:shd w:val="clear" w:color="auto" w:fill="auto"/>
                  <w:vAlign w:val="center"/>
                </w:tcPr>
                <w:p w14:paraId="2B9A85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TS-168  LC-YQC200</w:t>
                  </w:r>
                </w:p>
              </w:tc>
              <w:tc>
                <w:tcPr>
                  <w:tcW w:w="1456" w:type="dxa"/>
                  <w:shd w:val="clear" w:color="auto" w:fill="auto"/>
                  <w:vAlign w:val="center"/>
                </w:tcPr>
                <w:p w14:paraId="30FDFD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072BB1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E3976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3</w:t>
                  </w:r>
                </w:p>
              </w:tc>
              <w:tc>
                <w:tcPr>
                  <w:tcW w:w="3000" w:type="dxa"/>
                  <w:shd w:val="clear" w:color="auto" w:fill="auto"/>
                  <w:vAlign w:val="center"/>
                </w:tcPr>
                <w:p w14:paraId="1EE2EF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连续式磨皮机</w:t>
                  </w:r>
                </w:p>
              </w:tc>
              <w:tc>
                <w:tcPr>
                  <w:tcW w:w="2835" w:type="dxa"/>
                  <w:shd w:val="clear" w:color="auto" w:fill="auto"/>
                  <w:vAlign w:val="center"/>
                </w:tcPr>
                <w:p w14:paraId="24EC86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GM-27AB</w:t>
                  </w:r>
                </w:p>
              </w:tc>
              <w:tc>
                <w:tcPr>
                  <w:tcW w:w="1456" w:type="dxa"/>
                  <w:shd w:val="clear" w:color="auto" w:fill="auto"/>
                  <w:vAlign w:val="center"/>
                </w:tcPr>
                <w:p w14:paraId="292105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4FF363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2E9EF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4</w:t>
                  </w:r>
                </w:p>
              </w:tc>
              <w:tc>
                <w:tcPr>
                  <w:tcW w:w="3000" w:type="dxa"/>
                  <w:shd w:val="clear" w:color="auto" w:fill="auto"/>
                  <w:vAlign w:val="center"/>
                </w:tcPr>
                <w:p w14:paraId="58575E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土豆脱皮机</w:t>
                  </w:r>
                </w:p>
              </w:tc>
              <w:tc>
                <w:tcPr>
                  <w:tcW w:w="2835" w:type="dxa"/>
                  <w:shd w:val="clear" w:color="auto" w:fill="auto"/>
                  <w:vAlign w:val="center"/>
                </w:tcPr>
                <w:p w14:paraId="7D3D01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w:t>
                  </w:r>
                </w:p>
              </w:tc>
              <w:tc>
                <w:tcPr>
                  <w:tcW w:w="1456" w:type="dxa"/>
                  <w:shd w:val="clear" w:color="auto" w:fill="auto"/>
                  <w:vAlign w:val="center"/>
                </w:tcPr>
                <w:p w14:paraId="676FBD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2B98DF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7036FB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5</w:t>
                  </w:r>
                </w:p>
              </w:tc>
              <w:tc>
                <w:tcPr>
                  <w:tcW w:w="3000" w:type="dxa"/>
                  <w:shd w:val="clear" w:color="auto" w:fill="auto"/>
                  <w:vAlign w:val="center"/>
                </w:tcPr>
                <w:p w14:paraId="780C55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根茎类切割清洗流水线</w:t>
                  </w:r>
                </w:p>
              </w:tc>
              <w:tc>
                <w:tcPr>
                  <w:tcW w:w="2835" w:type="dxa"/>
                  <w:shd w:val="clear" w:color="auto" w:fill="auto"/>
                  <w:vAlign w:val="center"/>
                </w:tcPr>
                <w:p w14:paraId="5A4284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PT-34</w:t>
                  </w:r>
                </w:p>
              </w:tc>
              <w:tc>
                <w:tcPr>
                  <w:tcW w:w="1456" w:type="dxa"/>
                  <w:shd w:val="clear" w:color="auto" w:fill="auto"/>
                  <w:vAlign w:val="center"/>
                </w:tcPr>
                <w:p w14:paraId="6733C6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180E70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52D2CD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6</w:t>
                  </w:r>
                </w:p>
              </w:tc>
              <w:tc>
                <w:tcPr>
                  <w:tcW w:w="3000" w:type="dxa"/>
                  <w:shd w:val="clear" w:color="auto" w:fill="auto"/>
                  <w:vAlign w:val="center"/>
                </w:tcPr>
                <w:p w14:paraId="0FD8DA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叶茎类切割清洗流水线</w:t>
                  </w:r>
                </w:p>
              </w:tc>
              <w:tc>
                <w:tcPr>
                  <w:tcW w:w="2835" w:type="dxa"/>
                  <w:shd w:val="clear" w:color="auto" w:fill="auto"/>
                  <w:vAlign w:val="center"/>
                </w:tcPr>
                <w:p w14:paraId="2AD3AE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PT-34</w:t>
                  </w:r>
                </w:p>
              </w:tc>
              <w:tc>
                <w:tcPr>
                  <w:tcW w:w="1456" w:type="dxa"/>
                  <w:shd w:val="clear" w:color="auto" w:fill="auto"/>
                  <w:vAlign w:val="center"/>
                </w:tcPr>
                <w:p w14:paraId="6EE684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1B6F5D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5F6CF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7</w:t>
                  </w:r>
                </w:p>
              </w:tc>
              <w:tc>
                <w:tcPr>
                  <w:tcW w:w="3000" w:type="dxa"/>
                  <w:shd w:val="clear" w:color="auto" w:fill="auto"/>
                  <w:vAlign w:val="center"/>
                </w:tcPr>
                <w:p w14:paraId="2B526C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可调式快拆装提升机</w:t>
                  </w:r>
                </w:p>
              </w:tc>
              <w:tc>
                <w:tcPr>
                  <w:tcW w:w="2835" w:type="dxa"/>
                  <w:shd w:val="clear" w:color="auto" w:fill="auto"/>
                  <w:vAlign w:val="center"/>
                </w:tcPr>
                <w:p w14:paraId="146E4C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PT-34T</w:t>
                  </w:r>
                </w:p>
              </w:tc>
              <w:tc>
                <w:tcPr>
                  <w:tcW w:w="1456" w:type="dxa"/>
                  <w:shd w:val="clear" w:color="auto" w:fill="auto"/>
                  <w:vAlign w:val="center"/>
                </w:tcPr>
                <w:p w14:paraId="0C2A43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2</w:t>
                  </w:r>
                </w:p>
              </w:tc>
            </w:tr>
            <w:tr w14:paraId="2080C2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9C077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8</w:t>
                  </w:r>
                </w:p>
              </w:tc>
              <w:tc>
                <w:tcPr>
                  <w:tcW w:w="3000" w:type="dxa"/>
                  <w:shd w:val="clear" w:color="auto" w:fill="auto"/>
                  <w:vAlign w:val="center"/>
                </w:tcPr>
                <w:p w14:paraId="712698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可调式快拆装输送机</w:t>
                  </w:r>
                </w:p>
              </w:tc>
              <w:tc>
                <w:tcPr>
                  <w:tcW w:w="2835" w:type="dxa"/>
                  <w:shd w:val="clear" w:color="auto" w:fill="auto"/>
                  <w:vAlign w:val="center"/>
                </w:tcPr>
                <w:p w14:paraId="2BA805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PT-34S</w:t>
                  </w:r>
                </w:p>
              </w:tc>
              <w:tc>
                <w:tcPr>
                  <w:tcW w:w="1456" w:type="dxa"/>
                  <w:shd w:val="clear" w:color="auto" w:fill="auto"/>
                  <w:vAlign w:val="center"/>
                </w:tcPr>
                <w:p w14:paraId="772B11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498B6E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777A7C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9</w:t>
                  </w:r>
                </w:p>
              </w:tc>
              <w:tc>
                <w:tcPr>
                  <w:tcW w:w="3000" w:type="dxa"/>
                  <w:shd w:val="clear" w:color="auto" w:fill="auto"/>
                  <w:vAlign w:val="center"/>
                </w:tcPr>
                <w:p w14:paraId="745EF8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真空包装机</w:t>
                  </w:r>
                  <w:r>
                    <w:rPr>
                      <w:rFonts w:hint="eastAsia"/>
                      <w:vertAlign w:val="baseline"/>
                      <w:lang w:val="en-US" w:eastAsia="zh-CN"/>
                    </w:rPr>
                    <w:t>YD10-12-1318</w:t>
                  </w:r>
                </w:p>
              </w:tc>
              <w:tc>
                <w:tcPr>
                  <w:tcW w:w="2835" w:type="dxa"/>
                  <w:shd w:val="clear" w:color="auto" w:fill="auto"/>
                  <w:vAlign w:val="center"/>
                </w:tcPr>
                <w:p w14:paraId="2DD22E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JV-016A</w:t>
                  </w:r>
                </w:p>
              </w:tc>
              <w:tc>
                <w:tcPr>
                  <w:tcW w:w="1456" w:type="dxa"/>
                  <w:shd w:val="clear" w:color="auto" w:fill="auto"/>
                  <w:vAlign w:val="center"/>
                </w:tcPr>
                <w:p w14:paraId="2CD200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611582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100936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10</w:t>
                  </w:r>
                </w:p>
              </w:tc>
              <w:tc>
                <w:tcPr>
                  <w:tcW w:w="3000" w:type="dxa"/>
                  <w:shd w:val="clear" w:color="auto" w:fill="auto"/>
                  <w:vAlign w:val="center"/>
                </w:tcPr>
                <w:p w14:paraId="75ED7B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纯水机</w:t>
                  </w:r>
                </w:p>
              </w:tc>
              <w:tc>
                <w:tcPr>
                  <w:tcW w:w="2835" w:type="dxa"/>
                  <w:shd w:val="clear" w:color="auto" w:fill="auto"/>
                  <w:vAlign w:val="center"/>
                </w:tcPr>
                <w:p w14:paraId="0600DB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07F8F2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w:t>
                  </w:r>
                </w:p>
              </w:tc>
            </w:tr>
            <w:tr w14:paraId="06850E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8A957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11</w:t>
                  </w:r>
                </w:p>
              </w:tc>
              <w:tc>
                <w:tcPr>
                  <w:tcW w:w="3000" w:type="dxa"/>
                  <w:shd w:val="clear" w:color="auto" w:fill="auto"/>
                  <w:vAlign w:val="center"/>
                </w:tcPr>
                <w:p w14:paraId="1F2E62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墙挂空气消毒机</w:t>
                  </w:r>
                </w:p>
              </w:tc>
              <w:tc>
                <w:tcPr>
                  <w:tcW w:w="2835" w:type="dxa"/>
                  <w:shd w:val="clear" w:color="auto" w:fill="auto"/>
                  <w:vAlign w:val="center"/>
                </w:tcPr>
                <w:p w14:paraId="2FBEE2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AUW-100B1</w:t>
                  </w:r>
                </w:p>
              </w:tc>
              <w:tc>
                <w:tcPr>
                  <w:tcW w:w="1456" w:type="dxa"/>
                  <w:shd w:val="clear" w:color="auto" w:fill="auto"/>
                  <w:vAlign w:val="center"/>
                </w:tcPr>
                <w:p w14:paraId="551C88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646F73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136B68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12</w:t>
                  </w:r>
                </w:p>
              </w:tc>
              <w:tc>
                <w:tcPr>
                  <w:tcW w:w="3000" w:type="dxa"/>
                  <w:shd w:val="clear" w:color="auto" w:fill="auto"/>
                  <w:vAlign w:val="center"/>
                </w:tcPr>
                <w:p w14:paraId="1C3DF2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毛刷清洗机</w:t>
                  </w:r>
                </w:p>
              </w:tc>
              <w:tc>
                <w:tcPr>
                  <w:tcW w:w="2835" w:type="dxa"/>
                  <w:shd w:val="clear" w:color="auto" w:fill="auto"/>
                  <w:vAlign w:val="center"/>
                </w:tcPr>
                <w:p w14:paraId="018412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SN-170</w:t>
                  </w:r>
                </w:p>
              </w:tc>
              <w:tc>
                <w:tcPr>
                  <w:tcW w:w="1456" w:type="dxa"/>
                  <w:shd w:val="clear" w:color="auto" w:fill="auto"/>
                  <w:vAlign w:val="center"/>
                </w:tcPr>
                <w:p w14:paraId="6455AE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1</w:t>
                  </w:r>
                </w:p>
              </w:tc>
            </w:tr>
            <w:tr w14:paraId="6F34E9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0D3DF0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13</w:t>
                  </w:r>
                </w:p>
              </w:tc>
              <w:tc>
                <w:tcPr>
                  <w:tcW w:w="3000" w:type="dxa"/>
                  <w:shd w:val="clear" w:color="auto" w:fill="auto"/>
                  <w:vAlign w:val="center"/>
                </w:tcPr>
                <w:p w14:paraId="7A6E22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烘靴机</w:t>
                  </w:r>
                </w:p>
              </w:tc>
              <w:tc>
                <w:tcPr>
                  <w:tcW w:w="2835" w:type="dxa"/>
                  <w:shd w:val="clear" w:color="auto" w:fill="auto"/>
                  <w:vAlign w:val="center"/>
                </w:tcPr>
                <w:p w14:paraId="5F2E8C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PBD-10E</w:t>
                  </w:r>
                </w:p>
              </w:tc>
              <w:tc>
                <w:tcPr>
                  <w:tcW w:w="1456" w:type="dxa"/>
                  <w:shd w:val="clear" w:color="auto" w:fill="auto"/>
                  <w:vAlign w:val="center"/>
                </w:tcPr>
                <w:p w14:paraId="1007AF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4</w:t>
                  </w:r>
                </w:p>
              </w:tc>
            </w:tr>
            <w:tr w14:paraId="199751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97" w:type="dxa"/>
                  <w:gridSpan w:val="4"/>
                  <w:shd w:val="clear" w:color="auto" w:fill="auto"/>
                  <w:vAlign w:val="center"/>
                </w:tcPr>
                <w:p w14:paraId="34892F9C">
                  <w:pPr>
                    <w:jc w:val="both"/>
                    <w:rPr>
                      <w:rFonts w:hint="eastAsia" w:ascii="Times New Roman" w:hAnsi="Times New Roman" w:eastAsia="宋体" w:cs="Times New Roman"/>
                      <w:b/>
                      <w:bCs/>
                      <w:kern w:val="2"/>
                      <w:sz w:val="21"/>
                      <w:szCs w:val="21"/>
                      <w:lang w:val="en-US" w:eastAsia="zh-CN" w:bidi="ar-SA"/>
                    </w:rPr>
                  </w:pPr>
                  <w:r>
                    <w:rPr>
                      <w:rFonts w:hint="eastAsia"/>
                      <w:b/>
                      <w:bCs/>
                      <w:szCs w:val="21"/>
                      <w:lang w:val="en-US" w:eastAsia="zh-CN"/>
                    </w:rPr>
                    <w:t>四、预制菜车间（1号—5号）</w:t>
                  </w:r>
                </w:p>
              </w:tc>
            </w:tr>
            <w:tr w14:paraId="36C730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1CC53047">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3000" w:type="dxa"/>
                  <w:shd w:val="clear" w:color="auto" w:fill="auto"/>
                  <w:vAlign w:val="center"/>
                </w:tcPr>
                <w:p w14:paraId="3EF59A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滚筒式冻肉刨肉机</w:t>
                  </w:r>
                </w:p>
              </w:tc>
              <w:tc>
                <w:tcPr>
                  <w:tcW w:w="2835" w:type="dxa"/>
                  <w:shd w:val="clear" w:color="auto" w:fill="auto"/>
                  <w:vAlign w:val="center"/>
                </w:tcPr>
                <w:p w14:paraId="513979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YR-PR3000</w:t>
                  </w:r>
                </w:p>
              </w:tc>
              <w:tc>
                <w:tcPr>
                  <w:tcW w:w="1456" w:type="dxa"/>
                  <w:shd w:val="clear" w:color="auto" w:fill="auto"/>
                  <w:vAlign w:val="center"/>
                </w:tcPr>
                <w:p w14:paraId="56F60A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18DB0A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5F510A28">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3000" w:type="dxa"/>
                  <w:shd w:val="clear" w:color="auto" w:fill="auto"/>
                  <w:vAlign w:val="center"/>
                </w:tcPr>
                <w:p w14:paraId="2F15EC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双绞龙绞肉机</w:t>
                  </w:r>
                </w:p>
              </w:tc>
              <w:tc>
                <w:tcPr>
                  <w:tcW w:w="2835" w:type="dxa"/>
                  <w:shd w:val="clear" w:color="auto" w:fill="auto"/>
                  <w:vAlign w:val="center"/>
                </w:tcPr>
                <w:p w14:paraId="48CB21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YR-JR200</w:t>
                  </w:r>
                </w:p>
              </w:tc>
              <w:tc>
                <w:tcPr>
                  <w:tcW w:w="1456" w:type="dxa"/>
                  <w:shd w:val="clear" w:color="auto" w:fill="auto"/>
                  <w:vAlign w:val="center"/>
                </w:tcPr>
                <w:p w14:paraId="05EA06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0AB1C1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7BFDF7C">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3000" w:type="dxa"/>
                  <w:shd w:val="clear" w:color="auto" w:fill="auto"/>
                  <w:vAlign w:val="center"/>
                </w:tcPr>
                <w:p w14:paraId="15114A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制冷变频打浆机</w:t>
                  </w:r>
                </w:p>
              </w:tc>
              <w:tc>
                <w:tcPr>
                  <w:tcW w:w="2835" w:type="dxa"/>
                  <w:shd w:val="clear" w:color="auto" w:fill="auto"/>
                  <w:vAlign w:val="center"/>
                </w:tcPr>
                <w:p w14:paraId="51FB68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YR-S760LZ</w:t>
                  </w:r>
                </w:p>
              </w:tc>
              <w:tc>
                <w:tcPr>
                  <w:tcW w:w="1456" w:type="dxa"/>
                  <w:shd w:val="clear" w:color="auto" w:fill="auto"/>
                  <w:vAlign w:val="center"/>
                </w:tcPr>
                <w:p w14:paraId="1C6E79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6</w:t>
                  </w:r>
                </w:p>
              </w:tc>
            </w:tr>
            <w:tr w14:paraId="47C505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5E4A753">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3000" w:type="dxa"/>
                  <w:shd w:val="clear" w:color="auto" w:fill="auto"/>
                  <w:vAlign w:val="center"/>
                </w:tcPr>
                <w:p w14:paraId="3A0437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排骨切丁机</w:t>
                  </w:r>
                </w:p>
              </w:tc>
              <w:tc>
                <w:tcPr>
                  <w:tcW w:w="2835" w:type="dxa"/>
                  <w:shd w:val="clear" w:color="auto" w:fill="auto"/>
                  <w:vAlign w:val="center"/>
                </w:tcPr>
                <w:p w14:paraId="05CBE5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HYTW-560C型</w:t>
                  </w:r>
                </w:p>
              </w:tc>
              <w:tc>
                <w:tcPr>
                  <w:tcW w:w="1456" w:type="dxa"/>
                  <w:shd w:val="clear" w:color="auto" w:fill="auto"/>
                  <w:vAlign w:val="center"/>
                </w:tcPr>
                <w:p w14:paraId="463816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2116D8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7E988D3">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3000" w:type="dxa"/>
                  <w:shd w:val="clear" w:color="auto" w:fill="auto"/>
                  <w:vAlign w:val="center"/>
                </w:tcPr>
                <w:p w14:paraId="02A84D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变频斩拌机</w:t>
                  </w:r>
                </w:p>
              </w:tc>
              <w:tc>
                <w:tcPr>
                  <w:tcW w:w="2835" w:type="dxa"/>
                  <w:shd w:val="clear" w:color="auto" w:fill="auto"/>
                  <w:vAlign w:val="center"/>
                </w:tcPr>
                <w:p w14:paraId="7BC755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YR-ZB330L</w:t>
                  </w:r>
                </w:p>
              </w:tc>
              <w:tc>
                <w:tcPr>
                  <w:tcW w:w="1456" w:type="dxa"/>
                  <w:shd w:val="clear" w:color="auto" w:fill="auto"/>
                  <w:vAlign w:val="center"/>
                </w:tcPr>
                <w:p w14:paraId="0132B1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548CE5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18DE2F4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3000" w:type="dxa"/>
                  <w:shd w:val="clear" w:color="auto" w:fill="auto"/>
                  <w:vAlign w:val="center"/>
                </w:tcPr>
                <w:p w14:paraId="0E7EB6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熟肉机</w:t>
                  </w:r>
                </w:p>
              </w:tc>
              <w:tc>
                <w:tcPr>
                  <w:tcW w:w="2835" w:type="dxa"/>
                  <w:shd w:val="clear" w:color="auto" w:fill="auto"/>
                  <w:vAlign w:val="center"/>
                </w:tcPr>
                <w:p w14:paraId="316D97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HYTW-804C型</w:t>
                  </w:r>
                </w:p>
              </w:tc>
              <w:tc>
                <w:tcPr>
                  <w:tcW w:w="1456" w:type="dxa"/>
                  <w:shd w:val="clear" w:color="auto" w:fill="auto"/>
                  <w:vAlign w:val="center"/>
                </w:tcPr>
                <w:p w14:paraId="61AA10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47A536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C62EB89">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3000" w:type="dxa"/>
                  <w:shd w:val="clear" w:color="auto" w:fill="auto"/>
                  <w:vAlign w:val="center"/>
                </w:tcPr>
                <w:p w14:paraId="592A22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伺服高速成型机</w:t>
                  </w:r>
                </w:p>
              </w:tc>
              <w:tc>
                <w:tcPr>
                  <w:tcW w:w="2835" w:type="dxa"/>
                  <w:shd w:val="clear" w:color="auto" w:fill="auto"/>
                  <w:vAlign w:val="center"/>
                </w:tcPr>
                <w:p w14:paraId="5F570E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YR-M680</w:t>
                  </w:r>
                </w:p>
              </w:tc>
              <w:tc>
                <w:tcPr>
                  <w:tcW w:w="1456" w:type="dxa"/>
                  <w:shd w:val="clear" w:color="auto" w:fill="auto"/>
                  <w:vAlign w:val="center"/>
                </w:tcPr>
                <w:p w14:paraId="0837A8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47BF62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5FE83C5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3000" w:type="dxa"/>
                  <w:shd w:val="clear" w:color="auto" w:fill="auto"/>
                  <w:vAlign w:val="center"/>
                </w:tcPr>
                <w:p w14:paraId="45D26D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包心丸子机</w:t>
                  </w:r>
                </w:p>
              </w:tc>
              <w:tc>
                <w:tcPr>
                  <w:tcW w:w="2835" w:type="dxa"/>
                  <w:shd w:val="clear" w:color="auto" w:fill="auto"/>
                  <w:vAlign w:val="center"/>
                </w:tcPr>
                <w:p w14:paraId="329C91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YR-BX200</w:t>
                  </w:r>
                </w:p>
              </w:tc>
              <w:tc>
                <w:tcPr>
                  <w:tcW w:w="1456" w:type="dxa"/>
                  <w:shd w:val="clear" w:color="auto" w:fill="auto"/>
                  <w:vAlign w:val="center"/>
                </w:tcPr>
                <w:p w14:paraId="228E46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8</w:t>
                  </w:r>
                </w:p>
              </w:tc>
            </w:tr>
            <w:tr w14:paraId="5E541A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F1E3262">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3000" w:type="dxa"/>
                  <w:shd w:val="clear" w:color="auto" w:fill="auto"/>
                  <w:vAlign w:val="center"/>
                </w:tcPr>
                <w:p w14:paraId="5FCBDF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自动搅拌燃气炒菜机</w:t>
                  </w:r>
                </w:p>
              </w:tc>
              <w:tc>
                <w:tcPr>
                  <w:tcW w:w="2835" w:type="dxa"/>
                  <w:shd w:val="clear" w:color="auto" w:fill="auto"/>
                  <w:vAlign w:val="center"/>
                </w:tcPr>
                <w:p w14:paraId="1187C7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200L</w:t>
                  </w:r>
                </w:p>
              </w:tc>
              <w:tc>
                <w:tcPr>
                  <w:tcW w:w="1456" w:type="dxa"/>
                  <w:shd w:val="clear" w:color="auto" w:fill="auto"/>
                  <w:vAlign w:val="center"/>
                </w:tcPr>
                <w:p w14:paraId="4B58A1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8</w:t>
                  </w:r>
                </w:p>
              </w:tc>
            </w:tr>
            <w:tr w14:paraId="1417E8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4BA14A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3000" w:type="dxa"/>
                  <w:shd w:val="clear" w:color="auto" w:fill="auto"/>
                  <w:vAlign w:val="center"/>
                </w:tcPr>
                <w:p w14:paraId="778B45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eastAsia="zh-CN"/>
                    </w:rPr>
                    <w:t>燃气蒸箱</w:t>
                  </w:r>
                </w:p>
              </w:tc>
              <w:tc>
                <w:tcPr>
                  <w:tcW w:w="2835" w:type="dxa"/>
                  <w:shd w:val="clear" w:color="auto" w:fill="auto"/>
                  <w:vAlign w:val="center"/>
                </w:tcPr>
                <w:p w14:paraId="3ADFF8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304C18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w:t>
                  </w:r>
                </w:p>
              </w:tc>
            </w:tr>
            <w:tr w14:paraId="30DF51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6D89EC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3000" w:type="dxa"/>
                  <w:shd w:val="clear" w:color="auto" w:fill="auto"/>
                  <w:vAlign w:val="center"/>
                </w:tcPr>
                <w:p w14:paraId="585CDD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eastAsia="zh-CN"/>
                    </w:rPr>
                    <w:t>电蒸箱</w:t>
                  </w:r>
                </w:p>
              </w:tc>
              <w:tc>
                <w:tcPr>
                  <w:tcW w:w="2835" w:type="dxa"/>
                  <w:shd w:val="clear" w:color="auto" w:fill="auto"/>
                  <w:vAlign w:val="center"/>
                </w:tcPr>
                <w:p w14:paraId="27D884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253A9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10</w:t>
                  </w:r>
                </w:p>
              </w:tc>
            </w:tr>
            <w:tr w14:paraId="30491B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14AF9A42">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3000" w:type="dxa"/>
                  <w:shd w:val="clear" w:color="auto" w:fill="auto"/>
                  <w:vAlign w:val="center"/>
                </w:tcPr>
                <w:p w14:paraId="3478E8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负压式摊凉机</w:t>
                  </w:r>
                </w:p>
              </w:tc>
              <w:tc>
                <w:tcPr>
                  <w:tcW w:w="2835" w:type="dxa"/>
                  <w:shd w:val="clear" w:color="auto" w:fill="auto"/>
                  <w:vAlign w:val="center"/>
                </w:tcPr>
                <w:p w14:paraId="33885E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YR-FLX8M-1000-5S</w:t>
                  </w:r>
                </w:p>
              </w:tc>
              <w:tc>
                <w:tcPr>
                  <w:tcW w:w="1456" w:type="dxa"/>
                  <w:shd w:val="clear" w:color="auto" w:fill="auto"/>
                  <w:vAlign w:val="center"/>
                </w:tcPr>
                <w:p w14:paraId="1EA5F2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w:t>
                  </w:r>
                </w:p>
              </w:tc>
            </w:tr>
            <w:tr w14:paraId="5FBE2D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04CDA5E6">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3000" w:type="dxa"/>
                  <w:shd w:val="clear" w:color="auto" w:fill="auto"/>
                  <w:vAlign w:val="center"/>
                </w:tcPr>
                <w:p w14:paraId="477FD6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负压式摊凉机</w:t>
                  </w:r>
                </w:p>
              </w:tc>
              <w:tc>
                <w:tcPr>
                  <w:tcW w:w="2835" w:type="dxa"/>
                  <w:shd w:val="clear" w:color="auto" w:fill="auto"/>
                  <w:vAlign w:val="center"/>
                </w:tcPr>
                <w:p w14:paraId="24CFD4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YR-FLX8M-1000-6S</w:t>
                  </w:r>
                </w:p>
              </w:tc>
              <w:tc>
                <w:tcPr>
                  <w:tcW w:w="1456" w:type="dxa"/>
                  <w:shd w:val="clear" w:color="auto" w:fill="auto"/>
                  <w:vAlign w:val="center"/>
                </w:tcPr>
                <w:p w14:paraId="2D9B93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w:t>
                  </w:r>
                </w:p>
              </w:tc>
            </w:tr>
            <w:tr w14:paraId="02B3B1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12FA3FFD">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3000" w:type="dxa"/>
                  <w:shd w:val="clear" w:color="auto" w:fill="auto"/>
                  <w:vAlign w:val="center"/>
                </w:tcPr>
                <w:p w14:paraId="6CFBF7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双螺旋速冻机</w:t>
                  </w:r>
                </w:p>
              </w:tc>
              <w:tc>
                <w:tcPr>
                  <w:tcW w:w="2835" w:type="dxa"/>
                  <w:shd w:val="clear" w:color="auto" w:fill="auto"/>
                  <w:vAlign w:val="center"/>
                </w:tcPr>
                <w:p w14:paraId="3D390C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SD-2000</w:t>
                  </w:r>
                </w:p>
              </w:tc>
              <w:tc>
                <w:tcPr>
                  <w:tcW w:w="1456" w:type="dxa"/>
                  <w:shd w:val="clear" w:color="auto" w:fill="auto"/>
                  <w:vAlign w:val="center"/>
                </w:tcPr>
                <w:p w14:paraId="793FAB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3</w:t>
                  </w:r>
                </w:p>
              </w:tc>
            </w:tr>
            <w:tr w14:paraId="5C60CD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925630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3000" w:type="dxa"/>
                  <w:shd w:val="clear" w:color="auto" w:fill="auto"/>
                  <w:vAlign w:val="center"/>
                </w:tcPr>
                <w:p w14:paraId="6AEE0D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移动式多功能清洗机</w:t>
                  </w:r>
                </w:p>
              </w:tc>
              <w:tc>
                <w:tcPr>
                  <w:tcW w:w="2835" w:type="dxa"/>
                  <w:shd w:val="clear" w:color="auto" w:fill="auto"/>
                  <w:vAlign w:val="center"/>
                </w:tcPr>
                <w:p w14:paraId="2421D1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EFC-325M</w:t>
                  </w:r>
                </w:p>
              </w:tc>
              <w:tc>
                <w:tcPr>
                  <w:tcW w:w="1456" w:type="dxa"/>
                  <w:shd w:val="clear" w:color="auto" w:fill="auto"/>
                  <w:vAlign w:val="center"/>
                </w:tcPr>
                <w:p w14:paraId="176DFA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5AAB8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72F6A2B">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3000" w:type="dxa"/>
                  <w:shd w:val="clear" w:color="auto" w:fill="auto"/>
                  <w:vAlign w:val="center"/>
                </w:tcPr>
                <w:p w14:paraId="1558FD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智能泡沫清洗机</w:t>
                  </w:r>
                </w:p>
              </w:tc>
              <w:tc>
                <w:tcPr>
                  <w:tcW w:w="2835" w:type="dxa"/>
                  <w:shd w:val="clear" w:color="auto" w:fill="auto"/>
                  <w:vAlign w:val="center"/>
                </w:tcPr>
                <w:p w14:paraId="5DFB98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EFC-325E</w:t>
                  </w:r>
                </w:p>
              </w:tc>
              <w:tc>
                <w:tcPr>
                  <w:tcW w:w="1456" w:type="dxa"/>
                  <w:shd w:val="clear" w:color="auto" w:fill="auto"/>
                  <w:vAlign w:val="center"/>
                </w:tcPr>
                <w:p w14:paraId="21B50A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031807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CD28A2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3000" w:type="dxa"/>
                  <w:shd w:val="clear" w:color="auto" w:fill="auto"/>
                  <w:vAlign w:val="center"/>
                </w:tcPr>
                <w:p w14:paraId="345FE3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不锈钢料桶车</w:t>
                  </w:r>
                </w:p>
              </w:tc>
              <w:tc>
                <w:tcPr>
                  <w:tcW w:w="2835" w:type="dxa"/>
                  <w:shd w:val="clear" w:color="auto" w:fill="auto"/>
                  <w:vAlign w:val="center"/>
                </w:tcPr>
                <w:p w14:paraId="724B9C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YR-RL200</w:t>
                  </w:r>
                </w:p>
              </w:tc>
              <w:tc>
                <w:tcPr>
                  <w:tcW w:w="1456" w:type="dxa"/>
                  <w:shd w:val="clear" w:color="auto" w:fill="auto"/>
                  <w:vAlign w:val="center"/>
                </w:tcPr>
                <w:p w14:paraId="2E14F0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200</w:t>
                  </w:r>
                </w:p>
              </w:tc>
            </w:tr>
            <w:tr w14:paraId="07DD0D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958C8D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3000" w:type="dxa"/>
                  <w:shd w:val="clear" w:color="auto" w:fill="auto"/>
                  <w:vAlign w:val="center"/>
                </w:tcPr>
                <w:p w14:paraId="4FC6F8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底链式定型槽</w:t>
                  </w:r>
                </w:p>
              </w:tc>
              <w:tc>
                <w:tcPr>
                  <w:tcW w:w="2835" w:type="dxa"/>
                  <w:shd w:val="clear" w:color="auto" w:fill="auto"/>
                  <w:vAlign w:val="center"/>
                </w:tcPr>
                <w:p w14:paraId="7940DD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YR-DLC16M-1950-D</w:t>
                  </w:r>
                </w:p>
              </w:tc>
              <w:tc>
                <w:tcPr>
                  <w:tcW w:w="1456" w:type="dxa"/>
                  <w:shd w:val="clear" w:color="auto" w:fill="auto"/>
                  <w:vAlign w:val="center"/>
                </w:tcPr>
                <w:p w14:paraId="416CD0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w:t>
                  </w:r>
                </w:p>
              </w:tc>
            </w:tr>
            <w:tr w14:paraId="672CE0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AFEF36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3000" w:type="dxa"/>
                  <w:shd w:val="clear" w:color="auto" w:fill="auto"/>
                  <w:vAlign w:val="center"/>
                </w:tcPr>
                <w:p w14:paraId="2D4E15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压浸式高温槽</w:t>
                  </w:r>
                </w:p>
              </w:tc>
              <w:tc>
                <w:tcPr>
                  <w:tcW w:w="2835" w:type="dxa"/>
                  <w:shd w:val="clear" w:color="auto" w:fill="auto"/>
                  <w:vAlign w:val="center"/>
                </w:tcPr>
                <w:p w14:paraId="09B3D0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YR-SZX6M-1900-G</w:t>
                  </w:r>
                </w:p>
              </w:tc>
              <w:tc>
                <w:tcPr>
                  <w:tcW w:w="1456" w:type="dxa"/>
                  <w:shd w:val="clear" w:color="auto" w:fill="auto"/>
                  <w:vAlign w:val="center"/>
                </w:tcPr>
                <w:p w14:paraId="417857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w:t>
                  </w:r>
                </w:p>
              </w:tc>
            </w:tr>
            <w:tr w14:paraId="3EF52F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AED0849">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3000" w:type="dxa"/>
                  <w:shd w:val="clear" w:color="auto" w:fill="auto"/>
                  <w:vAlign w:val="center"/>
                </w:tcPr>
                <w:p w14:paraId="212A8C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紫外线消毒杀菌设备</w:t>
                  </w:r>
                </w:p>
              </w:tc>
              <w:tc>
                <w:tcPr>
                  <w:tcW w:w="2835" w:type="dxa"/>
                  <w:shd w:val="clear" w:color="auto" w:fill="auto"/>
                  <w:vAlign w:val="center"/>
                </w:tcPr>
                <w:p w14:paraId="6F056A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4C32D1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w:t>
                  </w:r>
                </w:p>
              </w:tc>
            </w:tr>
            <w:tr w14:paraId="303105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24BEA348">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3000" w:type="dxa"/>
                  <w:shd w:val="clear" w:color="auto" w:fill="auto"/>
                  <w:vAlign w:val="center"/>
                </w:tcPr>
                <w:p w14:paraId="679724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双层水浴杀菌釜</w:t>
                  </w:r>
                </w:p>
              </w:tc>
              <w:tc>
                <w:tcPr>
                  <w:tcW w:w="2835" w:type="dxa"/>
                  <w:shd w:val="clear" w:color="auto" w:fill="auto"/>
                  <w:vAlign w:val="center"/>
                </w:tcPr>
                <w:p w14:paraId="54B8B3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w:t>
                  </w:r>
                </w:p>
              </w:tc>
              <w:tc>
                <w:tcPr>
                  <w:tcW w:w="1456" w:type="dxa"/>
                  <w:shd w:val="clear" w:color="auto" w:fill="auto"/>
                  <w:vAlign w:val="center"/>
                </w:tcPr>
                <w:p w14:paraId="61D03F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cs="Times New Roman"/>
                      <w:vertAlign w:val="baseline"/>
                      <w:lang w:val="en-US" w:eastAsia="zh-CN"/>
                    </w:rPr>
                    <w:t>2</w:t>
                  </w:r>
                </w:p>
              </w:tc>
            </w:tr>
            <w:tr w14:paraId="5D823A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9AF3312">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3000" w:type="dxa"/>
                  <w:shd w:val="clear" w:color="auto" w:fill="auto"/>
                  <w:vAlign w:val="center"/>
                </w:tcPr>
                <w:p w14:paraId="7AAA4C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全喷式智能杀菌釜</w:t>
                  </w:r>
                </w:p>
              </w:tc>
              <w:tc>
                <w:tcPr>
                  <w:tcW w:w="2835" w:type="dxa"/>
                  <w:shd w:val="clear" w:color="auto" w:fill="auto"/>
                  <w:vAlign w:val="center"/>
                </w:tcPr>
                <w:p w14:paraId="015DBC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DN1200*4800</w:t>
                  </w:r>
                </w:p>
              </w:tc>
              <w:tc>
                <w:tcPr>
                  <w:tcW w:w="1456" w:type="dxa"/>
                  <w:shd w:val="clear" w:color="auto" w:fill="auto"/>
                  <w:vAlign w:val="center"/>
                </w:tcPr>
                <w:p w14:paraId="3957FA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w:t>
                  </w:r>
                </w:p>
              </w:tc>
            </w:tr>
            <w:tr w14:paraId="3E3491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1702876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3000" w:type="dxa"/>
                  <w:shd w:val="clear" w:color="auto" w:fill="auto"/>
                  <w:vAlign w:val="center"/>
                </w:tcPr>
                <w:p w14:paraId="3ED8B8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成品输送线</w:t>
                  </w:r>
                </w:p>
              </w:tc>
              <w:tc>
                <w:tcPr>
                  <w:tcW w:w="2835" w:type="dxa"/>
                  <w:shd w:val="clear" w:color="auto" w:fill="auto"/>
                  <w:vAlign w:val="center"/>
                </w:tcPr>
                <w:p w14:paraId="16C6EE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354717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30</w:t>
                  </w:r>
                </w:p>
              </w:tc>
            </w:tr>
            <w:tr w14:paraId="33921E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68BE2B56">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3000" w:type="dxa"/>
                  <w:shd w:val="clear" w:color="auto" w:fill="auto"/>
                  <w:vAlign w:val="center"/>
                </w:tcPr>
                <w:p w14:paraId="4D4041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片冰机</w:t>
                  </w:r>
                </w:p>
              </w:tc>
              <w:tc>
                <w:tcPr>
                  <w:tcW w:w="2835" w:type="dxa"/>
                  <w:shd w:val="clear" w:color="auto" w:fill="auto"/>
                  <w:vAlign w:val="center"/>
                </w:tcPr>
                <w:p w14:paraId="1AEAFC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ICE-5T-0228</w:t>
                  </w:r>
                </w:p>
              </w:tc>
              <w:tc>
                <w:tcPr>
                  <w:tcW w:w="1456" w:type="dxa"/>
                  <w:shd w:val="clear" w:color="auto" w:fill="auto"/>
                  <w:vAlign w:val="center"/>
                </w:tcPr>
                <w:p w14:paraId="0AAF89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6</w:t>
                  </w:r>
                </w:p>
              </w:tc>
            </w:tr>
            <w:tr w14:paraId="7635EB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C86F0FC">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3000" w:type="dxa"/>
                  <w:shd w:val="clear" w:color="auto" w:fill="auto"/>
                  <w:vAlign w:val="center"/>
                </w:tcPr>
                <w:p w14:paraId="428F14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冷水机</w:t>
                  </w:r>
                </w:p>
              </w:tc>
              <w:tc>
                <w:tcPr>
                  <w:tcW w:w="2835" w:type="dxa"/>
                  <w:shd w:val="clear" w:color="auto" w:fill="auto"/>
                  <w:vAlign w:val="center"/>
                </w:tcPr>
                <w:p w14:paraId="72CEBF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w:t>
                  </w:r>
                </w:p>
              </w:tc>
              <w:tc>
                <w:tcPr>
                  <w:tcW w:w="1456" w:type="dxa"/>
                  <w:shd w:val="clear" w:color="auto" w:fill="auto"/>
                  <w:vAlign w:val="center"/>
                </w:tcPr>
                <w:p w14:paraId="57E10F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4</w:t>
                  </w:r>
                </w:p>
              </w:tc>
            </w:tr>
            <w:tr w14:paraId="11CC6C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D0AAB2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3000" w:type="dxa"/>
                  <w:shd w:val="clear" w:color="auto" w:fill="auto"/>
                  <w:vAlign w:val="center"/>
                </w:tcPr>
                <w:p w14:paraId="68226D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制冷设备</w:t>
                  </w:r>
                </w:p>
              </w:tc>
              <w:tc>
                <w:tcPr>
                  <w:tcW w:w="2835" w:type="dxa"/>
                  <w:shd w:val="clear" w:color="auto" w:fill="auto"/>
                  <w:vAlign w:val="center"/>
                </w:tcPr>
                <w:p w14:paraId="2555A7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HX-8P</w:t>
                  </w:r>
                </w:p>
              </w:tc>
              <w:tc>
                <w:tcPr>
                  <w:tcW w:w="1456" w:type="dxa"/>
                  <w:shd w:val="clear" w:color="auto" w:fill="auto"/>
                  <w:vAlign w:val="center"/>
                </w:tcPr>
                <w:p w14:paraId="721FA9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39F6A5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04BD1285">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3000" w:type="dxa"/>
                  <w:shd w:val="clear" w:color="auto" w:fill="auto"/>
                  <w:vAlign w:val="center"/>
                </w:tcPr>
                <w:p w14:paraId="609881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真空包装机</w:t>
                  </w:r>
                </w:p>
              </w:tc>
              <w:tc>
                <w:tcPr>
                  <w:tcW w:w="2835" w:type="dxa"/>
                  <w:shd w:val="clear" w:color="auto" w:fill="auto"/>
                  <w:vAlign w:val="center"/>
                </w:tcPr>
                <w:p w14:paraId="1F3E00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YD10-12-1318</w:t>
                  </w:r>
                </w:p>
              </w:tc>
              <w:tc>
                <w:tcPr>
                  <w:tcW w:w="1456" w:type="dxa"/>
                  <w:shd w:val="clear" w:color="auto" w:fill="auto"/>
                  <w:vAlign w:val="center"/>
                </w:tcPr>
                <w:p w14:paraId="39AFDC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w:t>
                  </w:r>
                </w:p>
              </w:tc>
            </w:tr>
            <w:tr w14:paraId="327279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015371D2">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3000" w:type="dxa"/>
                  <w:shd w:val="clear" w:color="auto" w:fill="auto"/>
                  <w:vAlign w:val="center"/>
                </w:tcPr>
                <w:p w14:paraId="76D9B6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电子秤</w:t>
                  </w:r>
                </w:p>
              </w:tc>
              <w:tc>
                <w:tcPr>
                  <w:tcW w:w="2835" w:type="dxa"/>
                  <w:shd w:val="clear" w:color="auto" w:fill="auto"/>
                  <w:vAlign w:val="center"/>
                </w:tcPr>
                <w:p w14:paraId="023B40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（14头2.5L）</w:t>
                  </w:r>
                </w:p>
              </w:tc>
              <w:tc>
                <w:tcPr>
                  <w:tcW w:w="1456" w:type="dxa"/>
                  <w:shd w:val="clear" w:color="auto" w:fill="auto"/>
                  <w:vAlign w:val="center"/>
                </w:tcPr>
                <w:p w14:paraId="3F15E8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5</w:t>
                  </w:r>
                </w:p>
              </w:tc>
            </w:tr>
            <w:tr w14:paraId="26149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6" w:type="dxa"/>
                  <w:shd w:val="clear" w:color="auto" w:fill="auto"/>
                  <w:vAlign w:val="center"/>
                </w:tcPr>
                <w:p w14:paraId="3FEA2289">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3000" w:type="dxa"/>
                  <w:shd w:val="clear" w:color="auto" w:fill="auto"/>
                  <w:vAlign w:val="center"/>
                </w:tcPr>
                <w:p w14:paraId="20E2FB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电子秤</w:t>
                  </w:r>
                </w:p>
              </w:tc>
              <w:tc>
                <w:tcPr>
                  <w:tcW w:w="2835" w:type="dxa"/>
                  <w:shd w:val="clear" w:color="auto" w:fill="auto"/>
                  <w:vAlign w:val="center"/>
                </w:tcPr>
                <w:p w14:paraId="1BD0E4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14头1.6L</w:t>
                  </w:r>
                </w:p>
              </w:tc>
              <w:tc>
                <w:tcPr>
                  <w:tcW w:w="1456" w:type="dxa"/>
                  <w:shd w:val="clear" w:color="auto" w:fill="auto"/>
                  <w:vAlign w:val="center"/>
                </w:tcPr>
                <w:p w14:paraId="4D5EE3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w:t>
                  </w:r>
                </w:p>
              </w:tc>
            </w:tr>
            <w:tr w14:paraId="0C1AEB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77C5E9F9">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3000" w:type="dxa"/>
                  <w:shd w:val="clear" w:color="auto" w:fill="auto"/>
                  <w:vAlign w:val="center"/>
                </w:tcPr>
                <w:p w14:paraId="1C1715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空气消毒机</w:t>
                  </w:r>
                </w:p>
              </w:tc>
              <w:tc>
                <w:tcPr>
                  <w:tcW w:w="2835" w:type="dxa"/>
                  <w:shd w:val="clear" w:color="auto" w:fill="auto"/>
                  <w:vAlign w:val="center"/>
                </w:tcPr>
                <w:p w14:paraId="76EAA1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AUT-200</w:t>
                  </w:r>
                </w:p>
              </w:tc>
              <w:tc>
                <w:tcPr>
                  <w:tcW w:w="1456" w:type="dxa"/>
                  <w:shd w:val="clear" w:color="auto" w:fill="auto"/>
                  <w:vAlign w:val="center"/>
                </w:tcPr>
                <w:p w14:paraId="6B23A8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12</w:t>
                  </w:r>
                </w:p>
              </w:tc>
            </w:tr>
            <w:tr w14:paraId="421ED6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74A9F4F9">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3000" w:type="dxa"/>
                  <w:shd w:val="clear" w:color="auto" w:fill="auto"/>
                  <w:vAlign w:val="center"/>
                </w:tcPr>
                <w:p w14:paraId="77B4F2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空气消毒机</w:t>
                  </w:r>
                </w:p>
              </w:tc>
              <w:tc>
                <w:tcPr>
                  <w:tcW w:w="2835" w:type="dxa"/>
                  <w:shd w:val="clear" w:color="auto" w:fill="auto"/>
                  <w:vAlign w:val="center"/>
                </w:tcPr>
                <w:p w14:paraId="7B73BF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AUT-300</w:t>
                  </w:r>
                </w:p>
              </w:tc>
              <w:tc>
                <w:tcPr>
                  <w:tcW w:w="1456" w:type="dxa"/>
                  <w:shd w:val="clear" w:color="auto" w:fill="auto"/>
                  <w:vAlign w:val="center"/>
                </w:tcPr>
                <w:p w14:paraId="0FB0D9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11</w:t>
                  </w:r>
                </w:p>
              </w:tc>
            </w:tr>
            <w:tr w14:paraId="2C3685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707C3A24">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3000" w:type="dxa"/>
                  <w:shd w:val="clear" w:color="auto" w:fill="auto"/>
                  <w:vAlign w:val="center"/>
                </w:tcPr>
                <w:p w14:paraId="28E222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烘靴机</w:t>
                  </w:r>
                </w:p>
              </w:tc>
              <w:tc>
                <w:tcPr>
                  <w:tcW w:w="2835" w:type="dxa"/>
                  <w:shd w:val="clear" w:color="auto" w:fill="auto"/>
                  <w:vAlign w:val="center"/>
                </w:tcPr>
                <w:p w14:paraId="0413A7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PBD-10E</w:t>
                  </w:r>
                </w:p>
              </w:tc>
              <w:tc>
                <w:tcPr>
                  <w:tcW w:w="1456" w:type="dxa"/>
                  <w:shd w:val="clear" w:color="auto" w:fill="auto"/>
                  <w:vAlign w:val="center"/>
                </w:tcPr>
                <w:p w14:paraId="6474DC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8</w:t>
                  </w:r>
                </w:p>
              </w:tc>
            </w:tr>
            <w:tr w14:paraId="3D2961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092B1462">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3000" w:type="dxa"/>
                  <w:shd w:val="clear" w:color="auto" w:fill="auto"/>
                  <w:vAlign w:val="center"/>
                </w:tcPr>
                <w:p w14:paraId="2A14DC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烘靴机</w:t>
                  </w:r>
                </w:p>
              </w:tc>
              <w:tc>
                <w:tcPr>
                  <w:tcW w:w="2835" w:type="dxa"/>
                  <w:shd w:val="clear" w:color="auto" w:fill="auto"/>
                  <w:vAlign w:val="center"/>
                </w:tcPr>
                <w:p w14:paraId="142CE2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PBD-20</w:t>
                  </w:r>
                  <w:r>
                    <w:rPr>
                      <w:rFonts w:hint="eastAsia" w:cs="Times New Roman"/>
                      <w:vertAlign w:val="baseline"/>
                      <w:lang w:val="en-US" w:eastAsia="zh-CN"/>
                    </w:rPr>
                    <w:t>E</w:t>
                  </w:r>
                </w:p>
              </w:tc>
              <w:tc>
                <w:tcPr>
                  <w:tcW w:w="1456" w:type="dxa"/>
                  <w:shd w:val="clear" w:color="auto" w:fill="auto"/>
                  <w:vAlign w:val="center"/>
                </w:tcPr>
                <w:p w14:paraId="3416C5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4</w:t>
                  </w:r>
                </w:p>
              </w:tc>
            </w:tr>
            <w:tr w14:paraId="5866F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0663ECB">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3000" w:type="dxa"/>
                  <w:shd w:val="clear" w:color="auto" w:fill="auto"/>
                  <w:vAlign w:val="center"/>
                </w:tcPr>
                <w:p w14:paraId="15B205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沁园净水机</w:t>
                  </w:r>
                </w:p>
              </w:tc>
              <w:tc>
                <w:tcPr>
                  <w:tcW w:w="2835" w:type="dxa"/>
                  <w:shd w:val="clear" w:color="auto" w:fill="auto"/>
                  <w:vAlign w:val="center"/>
                </w:tcPr>
                <w:p w14:paraId="695914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201A</w:t>
                  </w:r>
                </w:p>
              </w:tc>
              <w:tc>
                <w:tcPr>
                  <w:tcW w:w="1456" w:type="dxa"/>
                  <w:shd w:val="clear" w:color="auto" w:fill="auto"/>
                  <w:vAlign w:val="center"/>
                </w:tcPr>
                <w:p w14:paraId="2D25D2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11</w:t>
                  </w:r>
                </w:p>
              </w:tc>
            </w:tr>
            <w:tr w14:paraId="4B8CD5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396637D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3000" w:type="dxa"/>
                  <w:shd w:val="clear" w:color="auto" w:fill="auto"/>
                  <w:vAlign w:val="center"/>
                </w:tcPr>
                <w:p w14:paraId="550481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5吨全自动软水设备</w:t>
                  </w:r>
                </w:p>
              </w:tc>
              <w:tc>
                <w:tcPr>
                  <w:tcW w:w="2835" w:type="dxa"/>
                  <w:shd w:val="clear" w:color="auto" w:fill="auto"/>
                  <w:vAlign w:val="center"/>
                </w:tcPr>
                <w:p w14:paraId="4B4F3A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FMP292</w:t>
                  </w:r>
                </w:p>
              </w:tc>
              <w:tc>
                <w:tcPr>
                  <w:tcW w:w="1456" w:type="dxa"/>
                  <w:shd w:val="clear" w:color="auto" w:fill="auto"/>
                  <w:vAlign w:val="center"/>
                </w:tcPr>
                <w:p w14:paraId="3C3075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2</w:t>
                  </w:r>
                </w:p>
              </w:tc>
            </w:tr>
            <w:tr w14:paraId="7867A4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1133D44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3000" w:type="dxa"/>
                  <w:shd w:val="clear" w:color="auto" w:fill="auto"/>
                  <w:vAlign w:val="center"/>
                </w:tcPr>
                <w:p w14:paraId="2D17C0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5吨纯水机</w:t>
                  </w:r>
                </w:p>
              </w:tc>
              <w:tc>
                <w:tcPr>
                  <w:tcW w:w="2835" w:type="dxa"/>
                  <w:shd w:val="clear" w:color="auto" w:fill="auto"/>
                  <w:vAlign w:val="center"/>
                </w:tcPr>
                <w:p w14:paraId="620A31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400-20</w:t>
                  </w:r>
                </w:p>
              </w:tc>
              <w:tc>
                <w:tcPr>
                  <w:tcW w:w="1456" w:type="dxa"/>
                  <w:shd w:val="clear" w:color="auto" w:fill="auto"/>
                  <w:vAlign w:val="center"/>
                </w:tcPr>
                <w:p w14:paraId="2682EB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24F98B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06" w:type="dxa"/>
                  <w:shd w:val="clear" w:color="auto" w:fill="auto"/>
                  <w:vAlign w:val="center"/>
                </w:tcPr>
                <w:p w14:paraId="468E9AF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3000" w:type="dxa"/>
                  <w:shd w:val="clear" w:color="auto" w:fill="auto"/>
                  <w:vAlign w:val="center"/>
                </w:tcPr>
                <w:p w14:paraId="28C502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5吨纯水机</w:t>
                  </w:r>
                </w:p>
              </w:tc>
              <w:tc>
                <w:tcPr>
                  <w:tcW w:w="2835" w:type="dxa"/>
                  <w:shd w:val="clear" w:color="auto" w:fill="auto"/>
                  <w:vAlign w:val="center"/>
                </w:tcPr>
                <w:p w14:paraId="2ACE4F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300-20</w:t>
                  </w:r>
                </w:p>
              </w:tc>
              <w:tc>
                <w:tcPr>
                  <w:tcW w:w="1456" w:type="dxa"/>
                  <w:shd w:val="clear" w:color="auto" w:fill="auto"/>
                  <w:vAlign w:val="center"/>
                </w:tcPr>
                <w:p w14:paraId="108CCF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w:t>
                  </w:r>
                </w:p>
              </w:tc>
            </w:tr>
            <w:tr w14:paraId="58D7CF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4DC22A55">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38</w:t>
                  </w:r>
                </w:p>
              </w:tc>
              <w:tc>
                <w:tcPr>
                  <w:tcW w:w="3000" w:type="dxa"/>
                  <w:shd w:val="clear" w:color="auto" w:fill="auto"/>
                  <w:vAlign w:val="center"/>
                </w:tcPr>
                <w:p w14:paraId="7B585D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静电油烟净化装置</w:t>
                  </w:r>
                </w:p>
              </w:tc>
              <w:tc>
                <w:tcPr>
                  <w:tcW w:w="2835" w:type="dxa"/>
                  <w:shd w:val="clear" w:color="auto" w:fill="auto"/>
                  <w:vAlign w:val="center"/>
                </w:tcPr>
                <w:p w14:paraId="2623FF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1D4E1F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8</w:t>
                  </w:r>
                </w:p>
              </w:tc>
            </w:tr>
            <w:tr w14:paraId="6C9CCC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06" w:type="dxa"/>
                  <w:shd w:val="clear" w:color="auto" w:fill="auto"/>
                  <w:vAlign w:val="center"/>
                </w:tcPr>
                <w:p w14:paraId="72DDA507">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39</w:t>
                  </w:r>
                </w:p>
              </w:tc>
              <w:tc>
                <w:tcPr>
                  <w:tcW w:w="3000" w:type="dxa"/>
                  <w:shd w:val="clear" w:color="auto" w:fill="auto"/>
                  <w:vAlign w:val="center"/>
                </w:tcPr>
                <w:p w14:paraId="6A5FFC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6t/h</w:t>
                  </w:r>
                  <w:r>
                    <w:rPr>
                      <w:rFonts w:hint="eastAsia" w:cs="Times New Roman"/>
                      <w:vertAlign w:val="baseline"/>
                      <w:lang w:val="en-US" w:eastAsia="zh-CN"/>
                    </w:rPr>
                    <w:t>燃气锅炉</w:t>
                  </w:r>
                </w:p>
              </w:tc>
              <w:tc>
                <w:tcPr>
                  <w:tcW w:w="2835" w:type="dxa"/>
                  <w:shd w:val="clear" w:color="auto" w:fill="auto"/>
                  <w:vAlign w:val="center"/>
                </w:tcPr>
                <w:p w14:paraId="59B567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w:t>
                  </w:r>
                </w:p>
              </w:tc>
              <w:tc>
                <w:tcPr>
                  <w:tcW w:w="1456" w:type="dxa"/>
                  <w:shd w:val="clear" w:color="auto" w:fill="auto"/>
                  <w:vAlign w:val="center"/>
                </w:tcPr>
                <w:p w14:paraId="5A1D1B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w:t>
                  </w:r>
                </w:p>
              </w:tc>
            </w:tr>
            <w:tr w14:paraId="5D9293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 w:type="dxa"/>
                  <w:shd w:val="clear" w:color="auto" w:fill="auto"/>
                  <w:vAlign w:val="center"/>
                </w:tcPr>
                <w:p w14:paraId="761B0DD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40</w:t>
                  </w:r>
                </w:p>
              </w:tc>
              <w:tc>
                <w:tcPr>
                  <w:tcW w:w="3000" w:type="dxa"/>
                  <w:shd w:val="clear" w:color="auto" w:fill="auto"/>
                  <w:vAlign w:val="center"/>
                </w:tcPr>
                <w:p w14:paraId="309FAC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4t/h</w:t>
                  </w:r>
                  <w:r>
                    <w:rPr>
                      <w:rFonts w:hint="eastAsia" w:cs="Times New Roman"/>
                      <w:vertAlign w:val="baseline"/>
                      <w:lang w:val="en-US" w:eastAsia="zh-CN"/>
                    </w:rPr>
                    <w:t>燃气锅炉</w:t>
                  </w:r>
                </w:p>
              </w:tc>
              <w:tc>
                <w:tcPr>
                  <w:tcW w:w="2835" w:type="dxa"/>
                  <w:shd w:val="clear" w:color="auto" w:fill="auto"/>
                  <w:vAlign w:val="center"/>
                </w:tcPr>
                <w:p w14:paraId="27AB75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WNS4-1</w:t>
                  </w:r>
                </w:p>
              </w:tc>
              <w:tc>
                <w:tcPr>
                  <w:tcW w:w="1456" w:type="dxa"/>
                  <w:shd w:val="clear" w:color="auto" w:fill="auto"/>
                  <w:vAlign w:val="center"/>
                </w:tcPr>
                <w:p w14:paraId="00658C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1</w:t>
                  </w:r>
                </w:p>
              </w:tc>
            </w:tr>
          </w:tbl>
          <w:p w14:paraId="26A81E01">
            <w:pPr>
              <w:pStyle w:val="124"/>
              <w:bidi w:val="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（六）</w:t>
            </w:r>
            <w:r>
              <w:rPr>
                <w:rFonts w:hint="default" w:ascii="Times New Roman" w:hAnsi="Times New Roman" w:eastAsia="宋体" w:cs="Times New Roman"/>
                <w:b/>
                <w:bCs/>
                <w:color w:val="auto"/>
                <w:lang w:val="en-US" w:eastAsia="zh-CN"/>
              </w:rPr>
              <w:t>劳动定员及工作制度</w:t>
            </w:r>
          </w:p>
          <w:p w14:paraId="0CE71B30">
            <w:pPr>
              <w:pStyle w:val="124"/>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（1）劳动定员</w:t>
            </w:r>
          </w:p>
          <w:p w14:paraId="155F73CA">
            <w:pPr>
              <w:pStyle w:val="124"/>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项目员工350人，在厂区内住宿230人，就餐有本项目中央厨房提供。</w:t>
            </w:r>
          </w:p>
          <w:p w14:paraId="3DAA731A">
            <w:pPr>
              <w:pStyle w:val="124"/>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（2）工作制度</w:t>
            </w:r>
          </w:p>
          <w:p w14:paraId="46D1B786">
            <w:pPr>
              <w:pStyle w:val="124"/>
              <w:bidi w:val="0"/>
              <w:rPr>
                <w:rFonts w:hint="eastAsia" w:cs="Times New Roman"/>
                <w:color w:val="auto"/>
                <w:lang w:val="en-US" w:eastAsia="zh-CN"/>
              </w:rPr>
            </w:pPr>
            <w:r>
              <w:rPr>
                <w:rFonts w:hint="eastAsia" w:ascii="Times New Roman" w:hAnsi="Times New Roman" w:eastAsia="宋体" w:cs="Times New Roman"/>
                <w:color w:val="auto"/>
                <w:lang w:val="en-US" w:eastAsia="zh-CN"/>
              </w:rPr>
              <w:t>年工作3</w:t>
            </w:r>
            <w:r>
              <w:rPr>
                <w:rFonts w:hint="eastAsia" w:cs="Times New Roman"/>
                <w:color w:val="auto"/>
                <w:lang w:val="en-US" w:eastAsia="zh-CN"/>
              </w:rPr>
              <w:t>00</w:t>
            </w:r>
            <w:r>
              <w:rPr>
                <w:rFonts w:hint="eastAsia" w:ascii="Times New Roman" w:hAnsi="Times New Roman" w:eastAsia="宋体" w:cs="Times New Roman"/>
                <w:color w:val="auto"/>
                <w:lang w:val="en-US" w:eastAsia="zh-CN"/>
              </w:rPr>
              <w:t>天，每天</w:t>
            </w:r>
            <w:r>
              <w:rPr>
                <w:rFonts w:hint="eastAsia" w:cs="Times New Roman"/>
                <w:color w:val="auto"/>
                <w:lang w:val="en-US" w:eastAsia="zh-CN"/>
              </w:rPr>
              <w:t>1</w:t>
            </w:r>
            <w:r>
              <w:rPr>
                <w:rFonts w:hint="eastAsia" w:ascii="Times New Roman" w:hAnsi="Times New Roman" w:eastAsia="宋体" w:cs="Times New Roman"/>
                <w:color w:val="auto"/>
                <w:lang w:val="en-US" w:eastAsia="zh-CN"/>
              </w:rPr>
              <w:t>班，每班8小时</w:t>
            </w:r>
            <w:r>
              <w:rPr>
                <w:rFonts w:hint="eastAsia" w:cs="Times New Roman"/>
                <w:color w:val="auto"/>
                <w:lang w:val="en-US" w:eastAsia="zh-CN"/>
              </w:rPr>
              <w:t>。</w:t>
            </w:r>
          </w:p>
          <w:p w14:paraId="3BE14C97">
            <w:pPr>
              <w:pStyle w:val="124"/>
              <w:bidi w:val="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（七）公用工程</w:t>
            </w:r>
          </w:p>
          <w:p w14:paraId="38574AE0">
            <w:pPr>
              <w:pStyle w:val="124"/>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1、供水</w:t>
            </w:r>
          </w:p>
          <w:p w14:paraId="79EA4EF5">
            <w:pPr>
              <w:pStyle w:val="124"/>
              <w:bidi w:val="0"/>
              <w:rPr>
                <w:rFonts w:hint="eastAsia" w:ascii="Times New Roman" w:hAnsi="Times New Roman" w:eastAsia="宋体" w:cs="Times New Roman"/>
                <w:color w:val="auto"/>
                <w:lang w:val="en-US" w:eastAsia="zh-CN"/>
              </w:rPr>
            </w:pPr>
            <w:r>
              <w:rPr>
                <w:rFonts w:hint="eastAsia"/>
                <w:color w:val="auto"/>
                <w:lang w:val="en-US" w:eastAsia="zh-CN"/>
              </w:rPr>
              <w:t>项目用水来自</w:t>
            </w:r>
            <w:r>
              <w:rPr>
                <w:rFonts w:hint="eastAsia" w:eastAsia="宋体"/>
                <w:color w:val="auto"/>
                <w:lang w:val="en-US" w:eastAsia="zh-CN"/>
              </w:rPr>
              <w:t>当地市政供水管网</w:t>
            </w:r>
            <w:r>
              <w:rPr>
                <w:rFonts w:hint="eastAsia"/>
                <w:color w:val="auto"/>
                <w:lang w:val="en-US" w:eastAsia="zh-CN"/>
              </w:rPr>
              <w:t>供应，年用水量为24.38万m</w:t>
            </w:r>
            <w:r>
              <w:rPr>
                <w:rFonts w:hint="eastAsia"/>
                <w:color w:val="auto"/>
                <w:vertAlign w:val="superscript"/>
                <w:lang w:val="en-US" w:eastAsia="zh-CN"/>
              </w:rPr>
              <w:t>3</w:t>
            </w:r>
            <w:r>
              <w:rPr>
                <w:rFonts w:hint="eastAsia"/>
                <w:color w:val="auto"/>
                <w:lang w:val="en-US" w:eastAsia="zh-CN"/>
              </w:rPr>
              <w:t>/a。</w:t>
            </w:r>
          </w:p>
          <w:p w14:paraId="0F462E43">
            <w:pPr>
              <w:pStyle w:val="124"/>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2、排水</w:t>
            </w:r>
          </w:p>
          <w:p w14:paraId="4B7364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本项目厂区排水系统雨污分流，共设雨水、污水排水管网。</w:t>
            </w: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cs="Times New Roman"/>
                <w:color w:val="000000"/>
                <w:kern w:val="0"/>
                <w:sz w:val="24"/>
                <w:szCs w:val="24"/>
                <w:lang w:val="en-US" w:eastAsia="zh-CN" w:bidi="ar"/>
              </w:rPr>
              <w:t>和纯水制备浓水</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纯水制备浓水可</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生活污水经化粪池处理后和生产废水一起</w:t>
            </w:r>
            <w:r>
              <w:rPr>
                <w:rFonts w:hint="default" w:ascii="Times New Roman" w:hAnsi="Times New Roman" w:eastAsia="宋体" w:cs="Times New Roman"/>
                <w:color w:val="000000"/>
                <w:kern w:val="0"/>
                <w:sz w:val="24"/>
                <w:szCs w:val="24"/>
                <w:lang w:val="en-US" w:eastAsia="zh-CN" w:bidi="ar"/>
              </w:rPr>
              <w:t>进入自建污水处理站处理达标后通过污水管网进入宁都县第二污水处理厂处理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000000"/>
                <w:kern w:val="0"/>
                <w:sz w:val="24"/>
                <w:szCs w:val="24"/>
                <w:lang w:val="en-US" w:eastAsia="zh-CN" w:bidi="ar"/>
              </w:rPr>
              <w:t>，最终排入梅江。</w:t>
            </w:r>
          </w:p>
          <w:p w14:paraId="387052C1">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3、供电</w:t>
            </w:r>
          </w:p>
          <w:p w14:paraId="7A24F296">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val="0"/>
                <w:color w:val="auto"/>
                <w:lang w:val="en-US" w:eastAsia="zh-CN"/>
              </w:rPr>
            </w:pPr>
            <w:r>
              <w:rPr>
                <w:rFonts w:hint="eastAsia"/>
                <w:b w:val="0"/>
                <w:bCs w:val="0"/>
                <w:color w:val="auto"/>
                <w:lang w:val="en-US" w:eastAsia="zh-CN"/>
              </w:rPr>
              <w:t>项目用电量约694万度/年，由当地供电部门供给。</w:t>
            </w:r>
          </w:p>
          <w:p w14:paraId="2BB8A5D7">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val="0"/>
                <w:color w:val="auto"/>
                <w:lang w:val="en-US" w:eastAsia="zh-CN"/>
              </w:rPr>
            </w:pPr>
            <w:r>
              <w:rPr>
                <w:rFonts w:hint="eastAsia"/>
                <w:b w:val="0"/>
                <w:bCs w:val="0"/>
                <w:color w:val="auto"/>
                <w:lang w:val="en-US" w:eastAsia="zh-CN"/>
              </w:rPr>
              <w:t>4、供热</w:t>
            </w:r>
          </w:p>
          <w:p w14:paraId="6001DDEA">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val="0"/>
                <w:color w:val="auto"/>
                <w:lang w:val="en-US" w:eastAsia="zh-CN"/>
              </w:rPr>
            </w:pPr>
            <w:r>
              <w:rPr>
                <w:rFonts w:hint="default" w:ascii="Times New Roman" w:hAnsi="Times New Roman" w:eastAsia="宋体" w:cs="Times New Roman"/>
                <w:color w:val="000000"/>
                <w:kern w:val="0"/>
                <w:sz w:val="24"/>
                <w:szCs w:val="24"/>
                <w:lang w:val="en-US" w:eastAsia="zh-CN" w:bidi="ar"/>
              </w:rPr>
              <w:t>本项目的热源</w:t>
            </w:r>
            <w:r>
              <w:rPr>
                <w:rFonts w:hint="eastAsia" w:ascii="Times New Roman" w:hAnsi="Times New Roman" w:eastAsia="宋体" w:cs="Times New Roman"/>
                <w:color w:val="000000"/>
                <w:kern w:val="0"/>
                <w:sz w:val="24"/>
                <w:szCs w:val="24"/>
                <w:lang w:val="en-US" w:eastAsia="zh-CN" w:bidi="ar"/>
              </w:rPr>
              <w:t>主要为2台0.5t/h</w:t>
            </w:r>
            <w:r>
              <w:rPr>
                <w:rFonts w:hint="eastAsia" w:cs="Times New Roman"/>
                <w:color w:val="000000"/>
                <w:kern w:val="0"/>
                <w:sz w:val="24"/>
                <w:szCs w:val="24"/>
                <w:lang w:val="en-US" w:eastAsia="zh-CN" w:bidi="ar"/>
              </w:rPr>
              <w:t>燃气锅炉</w:t>
            </w:r>
            <w:r>
              <w:rPr>
                <w:rFonts w:hint="eastAsia" w:ascii="Times New Roman" w:hAnsi="Times New Roman" w:eastAsia="宋体" w:cs="Times New Roman"/>
                <w:color w:val="000000"/>
                <w:kern w:val="0"/>
                <w:sz w:val="24"/>
                <w:szCs w:val="24"/>
                <w:lang w:val="en-US" w:eastAsia="zh-CN" w:bidi="ar"/>
              </w:rPr>
              <w:t>，1台</w:t>
            </w:r>
            <w:r>
              <w:rPr>
                <w:rFonts w:hint="eastAsia"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t/h的</w:t>
            </w:r>
            <w:r>
              <w:rPr>
                <w:rFonts w:hint="eastAsia" w:cs="Times New Roman"/>
                <w:color w:val="000000"/>
                <w:kern w:val="0"/>
                <w:sz w:val="24"/>
                <w:szCs w:val="24"/>
                <w:lang w:val="en-US" w:eastAsia="zh-CN" w:bidi="ar"/>
              </w:rPr>
              <w:t>燃气锅炉</w:t>
            </w:r>
            <w:r>
              <w:rPr>
                <w:rFonts w:hint="eastAsia" w:ascii="Times New Roman" w:hAnsi="Times New Roman" w:eastAsia="宋体" w:cs="Times New Roman"/>
                <w:color w:val="000000"/>
                <w:kern w:val="0"/>
                <w:sz w:val="24"/>
                <w:szCs w:val="24"/>
                <w:lang w:val="en-US" w:eastAsia="zh-CN" w:bidi="ar"/>
              </w:rPr>
              <w:t>和1台</w:t>
            </w:r>
            <w:r>
              <w:rPr>
                <w:rFonts w:hint="eastAsia"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t/h</w:t>
            </w:r>
            <w:r>
              <w:rPr>
                <w:rFonts w:hint="eastAsia" w:cs="Times New Roman"/>
                <w:color w:val="000000"/>
                <w:kern w:val="0"/>
                <w:sz w:val="24"/>
                <w:szCs w:val="24"/>
                <w:lang w:val="en-US" w:eastAsia="zh-CN" w:bidi="ar"/>
              </w:rPr>
              <w:t>燃气锅炉</w:t>
            </w:r>
            <w:r>
              <w:rPr>
                <w:rFonts w:hint="default" w:ascii="Times New Roman" w:hAnsi="Times New Roman" w:eastAsia="宋体" w:cs="Times New Roman"/>
                <w:color w:val="000000"/>
                <w:kern w:val="0"/>
                <w:sz w:val="24"/>
                <w:szCs w:val="24"/>
                <w:lang w:val="en-US" w:eastAsia="zh-CN" w:bidi="ar"/>
              </w:rPr>
              <w:t>，其中，</w:t>
            </w:r>
            <w:r>
              <w:rPr>
                <w:rFonts w:hint="eastAsia" w:ascii="Times New Roman" w:hAnsi="Times New Roman" w:eastAsia="宋体" w:cs="Times New Roman"/>
                <w:color w:val="000000"/>
                <w:kern w:val="0"/>
                <w:sz w:val="24"/>
                <w:szCs w:val="24"/>
                <w:lang w:val="en-US" w:eastAsia="zh-CN" w:bidi="ar"/>
              </w:rPr>
              <w:t>2台0.5t/h</w:t>
            </w:r>
            <w:r>
              <w:rPr>
                <w:rFonts w:hint="eastAsia" w:cs="Times New Roman"/>
                <w:color w:val="000000"/>
                <w:kern w:val="0"/>
                <w:sz w:val="24"/>
                <w:szCs w:val="24"/>
                <w:lang w:val="en-US" w:eastAsia="zh-CN" w:bidi="ar"/>
              </w:rPr>
              <w:t>燃气锅炉位于中央厨房东侧，</w:t>
            </w:r>
            <w:r>
              <w:rPr>
                <w:rFonts w:hint="eastAsia" w:ascii="Times New Roman" w:hAnsi="Times New Roman" w:eastAsia="宋体" w:cs="Times New Roman"/>
                <w:color w:val="000000"/>
                <w:kern w:val="0"/>
                <w:sz w:val="24"/>
                <w:szCs w:val="24"/>
                <w:lang w:val="en-US" w:eastAsia="zh-CN" w:bidi="ar"/>
              </w:rPr>
              <w:t>主要</w:t>
            </w:r>
            <w:r>
              <w:rPr>
                <w:rFonts w:hint="eastAsia" w:cs="Times New Roman"/>
                <w:color w:val="000000"/>
                <w:kern w:val="0"/>
                <w:sz w:val="24"/>
                <w:szCs w:val="24"/>
                <w:lang w:val="en-US" w:eastAsia="zh-CN" w:bidi="ar"/>
              </w:rPr>
              <w:t>为</w:t>
            </w:r>
            <w:r>
              <w:rPr>
                <w:rFonts w:hint="eastAsia" w:ascii="Times New Roman" w:hAnsi="Times New Roman" w:eastAsia="宋体" w:cs="Times New Roman"/>
                <w:color w:val="000000"/>
                <w:kern w:val="0"/>
                <w:sz w:val="24"/>
                <w:szCs w:val="24"/>
                <w:lang w:val="en-US" w:eastAsia="zh-CN" w:bidi="ar"/>
              </w:rPr>
              <w:t>中央厨房提供蒸汽烧水煮米饭，</w:t>
            </w:r>
            <w:r>
              <w:rPr>
                <w:rFonts w:hint="default" w:ascii="Times New Roman" w:hAnsi="Times New Roman" w:eastAsia="宋体" w:cs="Times New Roman"/>
                <w:color w:val="000000"/>
                <w:kern w:val="0"/>
                <w:sz w:val="24"/>
                <w:szCs w:val="24"/>
                <w:lang w:val="en-US" w:eastAsia="zh-CN" w:bidi="ar"/>
              </w:rPr>
              <w:t>年工作时间 2400h</w:t>
            </w:r>
            <w:r>
              <w:rPr>
                <w:rFonts w:hint="eastAsia" w:ascii="Times New Roman" w:hAnsi="Times New Roman" w:eastAsia="宋体" w:cs="Times New Roman"/>
                <w:color w:val="000000"/>
                <w:kern w:val="0"/>
                <w:sz w:val="24"/>
                <w:szCs w:val="24"/>
                <w:lang w:val="en-US" w:eastAsia="zh-CN" w:bidi="ar"/>
              </w:rPr>
              <w:t>；1台4t/h</w:t>
            </w:r>
            <w:r>
              <w:rPr>
                <w:rFonts w:hint="eastAsia" w:cs="Times New Roman"/>
                <w:color w:val="000000"/>
                <w:kern w:val="0"/>
                <w:sz w:val="24"/>
                <w:szCs w:val="24"/>
                <w:lang w:val="en-US" w:eastAsia="zh-CN" w:bidi="ar"/>
              </w:rPr>
              <w:t>燃气锅炉位于1号预制菜车间北侧，</w:t>
            </w:r>
            <w:r>
              <w:rPr>
                <w:rFonts w:hint="eastAsia" w:ascii="Times New Roman" w:hAnsi="Times New Roman" w:eastAsia="宋体" w:cs="Times New Roman"/>
                <w:color w:val="000000"/>
                <w:kern w:val="0"/>
                <w:sz w:val="24"/>
                <w:szCs w:val="24"/>
                <w:lang w:val="en-US" w:eastAsia="zh-CN" w:bidi="ar"/>
              </w:rPr>
              <w:t>主要于3号预制菜车间提供蒸汽烧水煮汤，也提供蒸汽给杀菌锅起到杀菌作用，</w:t>
            </w:r>
            <w:r>
              <w:rPr>
                <w:rFonts w:hint="default" w:ascii="Times New Roman" w:hAnsi="Times New Roman" w:eastAsia="宋体" w:cs="Times New Roman"/>
                <w:color w:val="000000"/>
                <w:kern w:val="0"/>
                <w:sz w:val="24"/>
                <w:szCs w:val="24"/>
                <w:lang w:val="en-US" w:eastAsia="zh-CN" w:bidi="ar"/>
              </w:rPr>
              <w:t>年工作时间 2400h</w:t>
            </w:r>
            <w:r>
              <w:rPr>
                <w:rFonts w:hint="eastAsia"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1台6t/h的</w:t>
            </w:r>
            <w:r>
              <w:rPr>
                <w:rFonts w:hint="eastAsia" w:cs="Times New Roman"/>
                <w:color w:val="000000"/>
                <w:kern w:val="0"/>
                <w:sz w:val="24"/>
                <w:szCs w:val="24"/>
                <w:lang w:val="en-US" w:eastAsia="zh-CN" w:bidi="ar"/>
              </w:rPr>
              <w:t>燃气锅炉位于1号预制菜车间北侧，</w:t>
            </w:r>
            <w:r>
              <w:rPr>
                <w:rFonts w:hint="eastAsia" w:ascii="Times New Roman" w:hAnsi="Times New Roman" w:eastAsia="宋体" w:cs="Times New Roman"/>
                <w:color w:val="000000"/>
                <w:kern w:val="0"/>
                <w:sz w:val="24"/>
                <w:szCs w:val="24"/>
                <w:lang w:val="en-US" w:eastAsia="zh-CN" w:bidi="ar"/>
              </w:rPr>
              <w:t>主要</w:t>
            </w:r>
            <w:r>
              <w:rPr>
                <w:rFonts w:hint="eastAsia" w:cs="Times New Roman"/>
                <w:color w:val="000000"/>
                <w:kern w:val="0"/>
                <w:sz w:val="24"/>
                <w:szCs w:val="24"/>
                <w:lang w:val="en-US" w:eastAsia="zh-CN" w:bidi="ar"/>
              </w:rPr>
              <w:t>为</w:t>
            </w:r>
            <w:r>
              <w:rPr>
                <w:rFonts w:hint="eastAsia" w:ascii="Times New Roman" w:hAnsi="Times New Roman" w:eastAsia="宋体" w:cs="Times New Roman"/>
                <w:color w:val="000000"/>
                <w:kern w:val="0"/>
                <w:sz w:val="24"/>
                <w:szCs w:val="24"/>
                <w:lang w:val="en-US" w:eastAsia="zh-CN" w:bidi="ar"/>
              </w:rPr>
              <w:t>1号预制菜车间提供蒸汽烧水煮肉类如肉丸，也提供蒸汽给杀菌锅起到杀菌作用，</w:t>
            </w:r>
            <w:r>
              <w:rPr>
                <w:rFonts w:hint="default" w:ascii="Times New Roman" w:hAnsi="Times New Roman" w:eastAsia="宋体" w:cs="Times New Roman"/>
                <w:color w:val="000000"/>
                <w:kern w:val="0"/>
                <w:sz w:val="24"/>
                <w:szCs w:val="24"/>
                <w:lang w:val="en-US" w:eastAsia="zh-CN" w:bidi="ar"/>
              </w:rPr>
              <w:t>年工作时间 2400h</w:t>
            </w:r>
            <w:r>
              <w:rPr>
                <w:rFonts w:hint="eastAsia" w:ascii="Times New Roman" w:hAnsi="Times New Roman" w:eastAsia="宋体" w:cs="Times New Roman"/>
                <w:color w:val="000000"/>
                <w:kern w:val="0"/>
                <w:sz w:val="24"/>
                <w:szCs w:val="24"/>
                <w:lang w:val="en-US" w:eastAsia="zh-CN" w:bidi="ar"/>
              </w:rPr>
              <w:t>。</w:t>
            </w:r>
          </w:p>
          <w:p w14:paraId="05620588">
            <w:pPr>
              <w:pStyle w:val="124"/>
              <w:bidi w:val="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（八）项目总</w:t>
            </w:r>
            <w:r>
              <w:rPr>
                <w:rFonts w:hint="default" w:ascii="Times New Roman" w:hAnsi="Times New Roman" w:eastAsia="宋体" w:cs="Times New Roman"/>
                <w:b/>
                <w:bCs/>
                <w:color w:val="auto"/>
                <w:lang w:val="en-US" w:eastAsia="zh-CN"/>
              </w:rPr>
              <w:t>平面布置</w:t>
            </w:r>
          </w:p>
          <w:p w14:paraId="0E47C0EF">
            <w:pPr>
              <w:pStyle w:val="124"/>
              <w:bidi w:val="0"/>
              <w:rPr>
                <w:rFonts w:hint="default"/>
                <w:color w:val="auto"/>
                <w:lang w:val="en-US" w:eastAsia="zh-CN"/>
              </w:rPr>
            </w:pPr>
            <w:r>
              <w:rPr>
                <w:rFonts w:hint="eastAsia"/>
                <w:color w:val="auto"/>
                <w:lang w:val="en-US" w:eastAsia="zh-CN"/>
              </w:rPr>
              <w:t>本项目建设内容主要是</w:t>
            </w:r>
            <w:r>
              <w:rPr>
                <w:rFonts w:hint="eastAsia" w:cs="Times New Roman"/>
                <w:b w:val="0"/>
                <w:bCs/>
                <w:color w:val="000000"/>
                <w:sz w:val="24"/>
                <w:szCs w:val="24"/>
                <w:lang w:val="en-US" w:eastAsia="zh-CN"/>
              </w:rPr>
              <w:t>中央厨房、肉类车间、果蔬车间、预制菜车间、办公楼</w:t>
            </w:r>
            <w:r>
              <w:rPr>
                <w:rFonts w:hint="eastAsia"/>
                <w:color w:val="auto"/>
                <w:lang w:val="en-US" w:eastAsia="zh-CN"/>
              </w:rPr>
              <w:t>等，生产车间内根据生产工艺、生产特性的要求合理规分，整个厂区功能明确。</w:t>
            </w:r>
            <w:r>
              <w:rPr>
                <w:rFonts w:hint="default"/>
                <w:color w:val="auto"/>
                <w:lang w:val="en-US" w:eastAsia="zh-CN"/>
              </w:rPr>
              <w:t>根据本次评价分析，本项目运行期间噪声、废气</w:t>
            </w:r>
            <w:r>
              <w:rPr>
                <w:rFonts w:hint="eastAsia"/>
                <w:color w:val="auto"/>
                <w:lang w:val="en-US" w:eastAsia="zh-CN"/>
              </w:rPr>
              <w:t>、废水</w:t>
            </w:r>
            <w:r>
              <w:rPr>
                <w:rFonts w:hint="default"/>
                <w:color w:val="auto"/>
                <w:lang w:val="en-US" w:eastAsia="zh-CN"/>
              </w:rPr>
              <w:t>均能实现厂界达标排放，项目运行期对周边环境影响较小。从环保角度看，</w:t>
            </w:r>
            <w:r>
              <w:rPr>
                <w:rFonts w:hint="eastAsia"/>
                <w:color w:val="auto"/>
                <w:lang w:val="en-US" w:eastAsia="zh-CN"/>
              </w:rPr>
              <w:t>厂区平面布置分区明确，项目生产车间布置合理</w:t>
            </w:r>
            <w:r>
              <w:rPr>
                <w:rFonts w:hint="default"/>
                <w:color w:val="auto"/>
                <w:lang w:val="en-US" w:eastAsia="zh-CN"/>
              </w:rPr>
              <w:t>，</w:t>
            </w:r>
            <w:r>
              <w:rPr>
                <w:rFonts w:hint="eastAsia"/>
                <w:color w:val="auto"/>
                <w:lang w:val="en-US" w:eastAsia="zh-CN"/>
              </w:rPr>
              <w:t>具体的</w:t>
            </w:r>
            <w:r>
              <w:rPr>
                <w:rFonts w:hint="default"/>
                <w:color w:val="auto"/>
                <w:lang w:val="en-US" w:eastAsia="zh-CN"/>
              </w:rPr>
              <w:t>厂区平面布置</w:t>
            </w:r>
            <w:r>
              <w:rPr>
                <w:rFonts w:hint="eastAsia"/>
                <w:color w:val="auto"/>
                <w:lang w:val="en-US" w:eastAsia="zh-CN"/>
              </w:rPr>
              <w:t>情况</w:t>
            </w:r>
            <w:r>
              <w:rPr>
                <w:rFonts w:hint="default"/>
                <w:color w:val="auto"/>
                <w:lang w:val="en-US" w:eastAsia="zh-CN"/>
              </w:rPr>
              <w:t>见</w:t>
            </w:r>
            <w:r>
              <w:rPr>
                <w:rFonts w:hint="eastAsia"/>
                <w:color w:val="auto"/>
                <w:lang w:val="en-US" w:eastAsia="zh-CN"/>
              </w:rPr>
              <w:t>附图2</w:t>
            </w:r>
            <w:r>
              <w:rPr>
                <w:rFonts w:hint="default"/>
                <w:color w:val="auto"/>
                <w:lang w:val="en-US" w:eastAsia="zh-CN"/>
              </w:rPr>
              <w:t>。</w:t>
            </w:r>
          </w:p>
          <w:p w14:paraId="05D2FE3F">
            <w:pPr>
              <w:pStyle w:val="124"/>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（九）蒸汽平衡</w:t>
            </w:r>
          </w:p>
          <w:p w14:paraId="6CCDE27C">
            <w:pPr>
              <w:pStyle w:val="4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本项目</w:t>
            </w:r>
            <w:r>
              <w:rPr>
                <w:rFonts w:hint="eastAsia" w:cs="Times New Roman"/>
                <w:b w:val="0"/>
                <w:bCs w:val="0"/>
                <w:color w:val="auto"/>
                <w:lang w:val="en-US" w:eastAsia="zh-CN"/>
              </w:rPr>
              <w:t>蒸汽</w:t>
            </w:r>
            <w:r>
              <w:rPr>
                <w:rFonts w:hint="eastAsia" w:ascii="Times New Roman" w:hAnsi="Times New Roman" w:cs="Times New Roman"/>
                <w:b w:val="0"/>
                <w:bCs w:val="0"/>
                <w:color w:val="auto"/>
                <w:sz w:val="24"/>
                <w:szCs w:val="24"/>
                <w:lang w:val="en-US" w:eastAsia="zh-CN"/>
              </w:rPr>
              <w:t>平衡分析如下表。</w:t>
            </w:r>
          </w:p>
          <w:p w14:paraId="10483086">
            <w:pPr>
              <w:pStyle w:val="4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object>
                <v:shape id="_x0000_i1025" o:spt="75" type="#_x0000_t75" style="height:180pt;width:285.75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14:paraId="76B45D24">
            <w:pPr>
              <w:pStyle w:val="4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color w:val="auto"/>
                <w:kern w:val="2"/>
                <w:sz w:val="21"/>
                <w:szCs w:val="24"/>
                <w:lang w:val="en-US" w:eastAsia="zh-CN" w:bidi="ar-SA"/>
              </w:rPr>
              <w:t>图2-</w:t>
            </w:r>
            <w:r>
              <w:rPr>
                <w:rFonts w:hint="eastAsia" w:ascii="Times New Roman" w:hAnsi="Times New Roman"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t xml:space="preserve">  </w:t>
            </w:r>
            <w:r>
              <w:rPr>
                <w:rFonts w:hint="default" w:ascii="Times New Roman" w:hAnsi="Times New Roman" w:eastAsia="宋体" w:cs="Times New Roman"/>
                <w:b/>
                <w:color w:val="auto"/>
                <w:kern w:val="2"/>
                <w:sz w:val="21"/>
                <w:szCs w:val="24"/>
                <w:lang w:val="en-US" w:eastAsia="zh-CN" w:bidi="ar-SA"/>
              </w:rPr>
              <w:t>本项目</w:t>
            </w:r>
            <w:r>
              <w:rPr>
                <w:rFonts w:hint="eastAsia" w:ascii="Times New Roman" w:hAnsi="Times New Roman" w:eastAsia="宋体" w:cs="Times New Roman"/>
                <w:b/>
                <w:color w:val="auto"/>
                <w:kern w:val="2"/>
                <w:sz w:val="21"/>
                <w:szCs w:val="24"/>
                <w:lang w:val="en-US" w:eastAsia="zh-CN" w:bidi="ar-SA"/>
              </w:rPr>
              <w:t>蒸汽</w:t>
            </w:r>
            <w:r>
              <w:rPr>
                <w:rFonts w:hint="default" w:ascii="Times New Roman" w:hAnsi="Times New Roman" w:eastAsia="宋体" w:cs="Times New Roman"/>
                <w:b/>
                <w:color w:val="auto"/>
                <w:kern w:val="2"/>
                <w:sz w:val="21"/>
                <w:szCs w:val="24"/>
                <w:lang w:val="en-US" w:eastAsia="zh-CN" w:bidi="ar-SA"/>
              </w:rPr>
              <w:t>平衡图</w:t>
            </w:r>
            <w:r>
              <w:rPr>
                <w:rFonts w:hint="eastAsia" w:ascii="Times New Roman" w:hAnsi="Times New Roman" w:eastAsia="宋体" w:cs="Times New Roman"/>
                <w:b/>
                <w:color w:val="auto"/>
                <w:kern w:val="2"/>
                <w:sz w:val="21"/>
                <w:szCs w:val="24"/>
                <w:lang w:val="en-US" w:eastAsia="zh-CN" w:bidi="ar-SA"/>
              </w:rPr>
              <w:t xml:space="preserve">  单位：t/h</w:t>
            </w:r>
          </w:p>
          <w:p w14:paraId="10135B3F">
            <w:pPr>
              <w:pStyle w:val="124"/>
              <w:bidi w:val="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w:t>
            </w:r>
            <w:r>
              <w:rPr>
                <w:rFonts w:hint="eastAsia" w:cs="Times New Roman"/>
                <w:b/>
                <w:bCs/>
                <w:color w:val="auto"/>
                <w:lang w:val="en-US" w:eastAsia="zh-CN"/>
              </w:rPr>
              <w:t>十</w:t>
            </w:r>
            <w:r>
              <w:rPr>
                <w:rFonts w:hint="eastAsia" w:ascii="Times New Roman" w:hAnsi="Times New Roman" w:eastAsia="宋体" w:cs="Times New Roman"/>
                <w:b/>
                <w:bCs/>
                <w:color w:val="auto"/>
                <w:lang w:val="en-US" w:eastAsia="zh-CN"/>
              </w:rPr>
              <w:t>）</w:t>
            </w:r>
            <w:r>
              <w:rPr>
                <w:rFonts w:hint="default" w:ascii="Times New Roman" w:hAnsi="Times New Roman" w:eastAsia="宋体" w:cs="Times New Roman"/>
                <w:b/>
                <w:bCs/>
                <w:color w:val="auto"/>
                <w:lang w:val="en-US" w:eastAsia="zh-CN"/>
              </w:rPr>
              <w:t>水平衡</w:t>
            </w:r>
          </w:p>
          <w:p w14:paraId="1548F40F">
            <w:pPr>
              <w:pStyle w:val="124"/>
              <w:bidi w:val="0"/>
              <w:rPr>
                <w:rFonts w:hint="eastAsia"/>
                <w:b/>
                <w:bCs/>
                <w:color w:val="auto"/>
                <w:lang w:val="en-US" w:eastAsia="zh-CN"/>
              </w:rPr>
            </w:pPr>
            <w:r>
              <w:rPr>
                <w:rFonts w:hint="eastAsia"/>
                <w:b/>
                <w:bCs/>
                <w:color w:val="auto"/>
                <w:lang w:val="en-US" w:eastAsia="zh-CN"/>
              </w:rPr>
              <w:t>1、生活用水</w:t>
            </w:r>
          </w:p>
          <w:p w14:paraId="497A9038">
            <w:pPr>
              <w:pStyle w:val="124"/>
              <w:bidi w:val="0"/>
              <w:rPr>
                <w:rFonts w:hint="default"/>
                <w:color w:val="auto"/>
                <w:lang w:eastAsia="zh-CN"/>
              </w:rPr>
            </w:pPr>
            <w:r>
              <w:rPr>
                <w:rFonts w:hint="eastAsia"/>
                <w:color w:val="auto"/>
                <w:lang w:val="en-US" w:eastAsia="zh-CN"/>
              </w:rPr>
              <w:t>本项目劳动定员350人，在厂区内住宿230人，不住宿120人</w:t>
            </w:r>
            <w:r>
              <w:rPr>
                <w:rFonts w:hint="default"/>
                <w:color w:val="auto"/>
                <w:lang w:eastAsia="zh-CN"/>
              </w:rPr>
              <w:t>。</w:t>
            </w:r>
            <w:r>
              <w:rPr>
                <w:rFonts w:hint="eastAsia"/>
                <w:color w:val="auto"/>
                <w:lang w:val="en-US" w:eastAsia="zh-CN"/>
              </w:rPr>
              <w:t>住宿人员</w:t>
            </w:r>
            <w:r>
              <w:rPr>
                <w:rFonts w:hint="default"/>
                <w:color w:val="auto"/>
                <w:lang w:val="en-US" w:eastAsia="zh-CN"/>
              </w:rPr>
              <w:t>生活用水量以</w:t>
            </w:r>
            <w:r>
              <w:rPr>
                <w:rFonts w:hint="eastAsia"/>
                <w:color w:val="auto"/>
                <w:lang w:val="en-US" w:eastAsia="zh-CN"/>
              </w:rPr>
              <w:t>1</w:t>
            </w:r>
            <w:r>
              <w:rPr>
                <w:rFonts w:hint="eastAsia"/>
                <w:color w:val="auto"/>
                <w:kern w:val="0"/>
                <w:sz w:val="24"/>
                <w:szCs w:val="24"/>
                <w:highlight w:val="none"/>
                <w:lang w:val="en-US" w:eastAsia="zh-CN"/>
              </w:rPr>
              <w:t>50</w:t>
            </w:r>
            <w:r>
              <w:rPr>
                <w:color w:val="auto"/>
                <w:kern w:val="0"/>
                <w:sz w:val="24"/>
                <w:szCs w:val="24"/>
                <w:highlight w:val="none"/>
              </w:rPr>
              <w:t>L/人·d</w:t>
            </w:r>
            <w:r>
              <w:rPr>
                <w:rFonts w:hint="default"/>
                <w:color w:val="auto"/>
                <w:lang w:eastAsia="zh-CN"/>
              </w:rPr>
              <w:t>计</w:t>
            </w:r>
            <w:r>
              <w:rPr>
                <w:rFonts w:hint="eastAsia"/>
                <w:color w:val="auto"/>
                <w:lang w:eastAsia="zh-CN"/>
              </w:rPr>
              <w:t>，</w:t>
            </w:r>
            <w:r>
              <w:rPr>
                <w:rFonts w:hint="default"/>
                <w:color w:val="auto"/>
                <w:lang w:val="en-US" w:eastAsia="zh-CN"/>
              </w:rPr>
              <w:t>不住宿人员生活用水量以</w:t>
            </w:r>
            <w:r>
              <w:rPr>
                <w:rFonts w:hint="eastAsia"/>
                <w:color w:val="auto"/>
                <w:kern w:val="0"/>
                <w:sz w:val="24"/>
                <w:szCs w:val="24"/>
                <w:highlight w:val="none"/>
                <w:lang w:val="en-US" w:eastAsia="zh-CN"/>
              </w:rPr>
              <w:t>50</w:t>
            </w:r>
            <w:r>
              <w:rPr>
                <w:color w:val="auto"/>
                <w:kern w:val="0"/>
                <w:sz w:val="24"/>
                <w:szCs w:val="24"/>
                <w:highlight w:val="none"/>
              </w:rPr>
              <w:t>L/人·d</w:t>
            </w:r>
            <w:r>
              <w:rPr>
                <w:rFonts w:hint="default"/>
                <w:color w:val="auto"/>
                <w:lang w:eastAsia="zh-CN"/>
              </w:rPr>
              <w:t>计，年工作时间为</w:t>
            </w:r>
            <w:r>
              <w:rPr>
                <w:rFonts w:hint="eastAsia"/>
                <w:color w:val="auto"/>
                <w:lang w:val="en-US" w:eastAsia="zh-CN"/>
              </w:rPr>
              <w:t>300</w:t>
            </w:r>
            <w:r>
              <w:rPr>
                <w:rFonts w:hint="default"/>
                <w:color w:val="auto"/>
                <w:lang w:val="en-US" w:eastAsia="zh-CN"/>
              </w:rPr>
              <w:t>天，</w:t>
            </w:r>
            <w:r>
              <w:rPr>
                <w:rFonts w:hint="default"/>
                <w:color w:val="auto"/>
                <w:lang w:eastAsia="zh-CN"/>
              </w:rPr>
              <w:t>则全厂生活用水量为</w:t>
            </w:r>
            <w:r>
              <w:rPr>
                <w:rFonts w:hint="eastAsia"/>
                <w:color w:val="auto"/>
                <w:lang w:val="en-US" w:eastAsia="zh-CN"/>
              </w:rPr>
              <w:t>40.5</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d</w:t>
            </w:r>
            <w:r>
              <w:rPr>
                <w:rFonts w:hint="default"/>
                <w:color w:val="auto"/>
                <w:lang w:eastAsia="zh-CN"/>
              </w:rPr>
              <w:t>（</w:t>
            </w:r>
            <w:r>
              <w:rPr>
                <w:rFonts w:hint="eastAsia"/>
                <w:color w:val="auto"/>
                <w:lang w:val="en-US" w:eastAsia="zh-CN"/>
              </w:rPr>
              <w:t>12150</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a</w:t>
            </w:r>
            <w:r>
              <w:rPr>
                <w:rFonts w:hint="default"/>
                <w:color w:val="auto"/>
                <w:lang w:eastAsia="zh-CN"/>
              </w:rPr>
              <w:t>），</w:t>
            </w:r>
            <w:r>
              <w:rPr>
                <w:rFonts w:hint="eastAsia"/>
                <w:color w:val="auto"/>
                <w:lang w:val="en-US" w:eastAsia="zh-CN"/>
              </w:rPr>
              <w:t>产污</w:t>
            </w:r>
            <w:r>
              <w:rPr>
                <w:rFonts w:hint="default"/>
                <w:color w:val="auto"/>
                <w:lang w:eastAsia="zh-CN"/>
              </w:rPr>
              <w:t>系数取0.8，</w:t>
            </w:r>
            <w:r>
              <w:rPr>
                <w:rFonts w:hint="eastAsia"/>
                <w:color w:val="auto"/>
                <w:lang w:val="en-US" w:eastAsia="zh-CN"/>
              </w:rPr>
              <w:t>生活污水产生</w:t>
            </w:r>
            <w:r>
              <w:rPr>
                <w:rFonts w:hint="default"/>
                <w:color w:val="auto"/>
                <w:lang w:eastAsia="zh-CN"/>
              </w:rPr>
              <w:t>量为</w:t>
            </w:r>
            <w:r>
              <w:rPr>
                <w:rFonts w:hint="eastAsia"/>
                <w:color w:val="auto"/>
                <w:lang w:val="en-US" w:eastAsia="zh-CN"/>
              </w:rPr>
              <w:t>32.4</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d</w:t>
            </w:r>
            <w:r>
              <w:rPr>
                <w:rFonts w:hint="default"/>
                <w:color w:val="auto"/>
                <w:lang w:eastAsia="zh-CN"/>
              </w:rPr>
              <w:t>（</w:t>
            </w:r>
            <w:r>
              <w:rPr>
                <w:rFonts w:hint="eastAsia"/>
                <w:color w:val="auto"/>
                <w:lang w:val="en-US" w:eastAsia="zh-CN"/>
              </w:rPr>
              <w:t>9720</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a</w:t>
            </w:r>
            <w:r>
              <w:rPr>
                <w:rFonts w:hint="default"/>
                <w:color w:val="auto"/>
                <w:lang w:eastAsia="zh-CN"/>
              </w:rPr>
              <w:t>）。</w:t>
            </w:r>
          </w:p>
          <w:p w14:paraId="6128B6C5">
            <w:pPr>
              <w:pStyle w:val="10"/>
              <w:bidi w:val="0"/>
              <w:rPr>
                <w:rFonts w:hint="default" w:cs="Times New Roman"/>
                <w:b/>
                <w:bCs/>
                <w:color w:val="auto"/>
                <w:lang w:val="en-US" w:eastAsia="zh-CN"/>
              </w:rPr>
            </w:pPr>
            <w:r>
              <w:rPr>
                <w:rFonts w:hint="eastAsia" w:cs="Times New Roman"/>
                <w:b/>
                <w:bCs/>
                <w:color w:val="auto"/>
                <w:lang w:val="en-US" w:eastAsia="zh-CN"/>
              </w:rPr>
              <w:t>2、生产用水</w:t>
            </w:r>
          </w:p>
          <w:p w14:paraId="1A8FEDB4">
            <w:pPr>
              <w:pStyle w:val="10"/>
              <w:bidi w:val="0"/>
              <w:rPr>
                <w:rFonts w:hint="default"/>
                <w:b w:val="0"/>
                <w:bCs w:val="0"/>
                <w:color w:val="auto"/>
                <w:kern w:val="24"/>
                <w:sz w:val="24"/>
                <w:szCs w:val="24"/>
                <w:lang w:val="en-US"/>
              </w:rPr>
            </w:pPr>
            <w:r>
              <w:rPr>
                <w:rFonts w:hint="eastAsia" w:cs="Times New Roman"/>
                <w:b w:val="0"/>
                <w:bCs w:val="0"/>
                <w:color w:val="auto"/>
                <w:lang w:val="en-US" w:eastAsia="zh-CN"/>
              </w:rPr>
              <w:t>（1）解冻用水</w:t>
            </w:r>
          </w:p>
          <w:p w14:paraId="568922F0">
            <w:pPr>
              <w:pStyle w:val="124"/>
              <w:bidi w:val="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 xml:space="preserve">本项目肉类解冻需要用新鲜水。根据建设单位提供资料，解冻水用量为 </w:t>
            </w:r>
            <w:r>
              <w:rPr>
                <w:rFonts w:hint="default" w:ascii="Times New Roman" w:hAnsi="Times New Roman" w:eastAsia="宋体" w:cs="Times New Roman"/>
                <w:b w:val="0"/>
                <w:bCs w:val="0"/>
                <w:color w:val="auto"/>
                <w:lang w:val="en-US" w:eastAsia="zh-CN"/>
              </w:rPr>
              <w:t>0.5m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/t</w:t>
            </w:r>
            <w:r>
              <w:rPr>
                <w:rFonts w:hint="eastAsia" w:ascii="Times New Roman" w:hAnsi="Times New Roman" w:eastAsia="宋体" w:cs="Times New Roman"/>
                <w:b w:val="0"/>
                <w:bCs w:val="0"/>
                <w:color w:val="auto"/>
                <w:lang w:val="en-US" w:eastAsia="zh-CN"/>
              </w:rPr>
              <w:t>产品计算，本项目肉类用量45000</w:t>
            </w:r>
            <w:r>
              <w:rPr>
                <w:rFonts w:hint="default" w:ascii="Times New Roman" w:hAnsi="Times New Roman" w:eastAsia="宋体" w:cs="Times New Roman"/>
                <w:b w:val="0"/>
                <w:bCs w:val="0"/>
                <w:color w:val="auto"/>
                <w:lang w:val="en-US" w:eastAsia="zh-CN"/>
              </w:rPr>
              <w:t>t/a</w:t>
            </w:r>
            <w:r>
              <w:rPr>
                <w:rFonts w:hint="eastAsia" w:ascii="Times New Roman" w:hAnsi="Times New Roman" w:eastAsia="宋体" w:cs="Times New Roman"/>
                <w:b w:val="0"/>
                <w:bCs w:val="0"/>
                <w:color w:val="auto"/>
                <w:lang w:val="en-US" w:eastAsia="zh-CN"/>
              </w:rPr>
              <w:t>，则解冻用水量约75</w:t>
            </w:r>
            <w:r>
              <w:rPr>
                <w:rFonts w:hint="default"/>
                <w:b w:val="0"/>
                <w:bCs w:val="0"/>
                <w:color w:val="auto"/>
                <w:lang w:eastAsia="zh-CN"/>
              </w:rPr>
              <w:t>m</w:t>
            </w:r>
            <w:r>
              <w:rPr>
                <w:rFonts w:hint="default"/>
                <w:b w:val="0"/>
                <w:bCs w:val="0"/>
                <w:color w:val="auto"/>
                <w:vertAlign w:val="superscript"/>
                <w:lang w:eastAsia="zh-CN"/>
              </w:rPr>
              <w:t>3</w:t>
            </w:r>
            <w:r>
              <w:rPr>
                <w:rFonts w:hint="default"/>
                <w:b w:val="0"/>
                <w:bCs w:val="0"/>
                <w:color w:val="auto"/>
                <w:lang w:eastAsia="zh-CN"/>
              </w:rPr>
              <w:t>/</w:t>
            </w:r>
            <w:r>
              <w:rPr>
                <w:rFonts w:hint="eastAsia"/>
                <w:b w:val="0"/>
                <w:bCs w:val="0"/>
                <w:color w:val="auto"/>
                <w:lang w:val="en-US" w:eastAsia="zh-CN"/>
              </w:rPr>
              <w:t>d</w:t>
            </w:r>
            <w:r>
              <w:rPr>
                <w:rFonts w:hint="eastAsia" w:ascii="Times New Roman" w:hAnsi="Times New Roman" w:eastAsia="宋体" w:cs="Times New Roman"/>
                <w:b w:val="0"/>
                <w:bCs w:val="0"/>
                <w:color w:val="auto"/>
                <w:lang w:val="en-US" w:eastAsia="zh-CN"/>
              </w:rPr>
              <w:t>（22500</w:t>
            </w:r>
            <w:r>
              <w:rPr>
                <w:rFonts w:hint="default" w:ascii="Times New Roman" w:hAnsi="Times New Roman" w:eastAsia="宋体" w:cs="Times New Roman"/>
                <w:b w:val="0"/>
                <w:bCs w:val="0"/>
                <w:color w:val="auto"/>
                <w:lang w:val="en-US" w:eastAsia="zh-CN"/>
              </w:rPr>
              <w:t>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/a</w:t>
            </w:r>
            <w:r>
              <w:rPr>
                <w:rFonts w:hint="eastAsia" w:ascii="Times New Roman" w:hAnsi="Times New Roman" w:eastAsia="宋体" w:cs="Times New Roman"/>
                <w:b w:val="0"/>
                <w:bCs w:val="0"/>
                <w:color w:val="auto"/>
                <w:lang w:val="en-US" w:eastAsia="zh-CN"/>
              </w:rPr>
              <w:t>），</w:t>
            </w:r>
            <w:r>
              <w:rPr>
                <w:rFonts w:hint="eastAsia"/>
                <w:b w:val="0"/>
                <w:bCs w:val="0"/>
                <w:color w:val="auto"/>
                <w:lang w:val="en-US" w:eastAsia="zh-CN"/>
              </w:rPr>
              <w:t>产污</w:t>
            </w:r>
            <w:r>
              <w:rPr>
                <w:rFonts w:hint="default"/>
                <w:b w:val="0"/>
                <w:bCs w:val="0"/>
                <w:color w:val="auto"/>
                <w:lang w:eastAsia="zh-CN"/>
              </w:rPr>
              <w:t>系数取0.</w:t>
            </w:r>
            <w:r>
              <w:rPr>
                <w:rFonts w:hint="eastAsia"/>
                <w:b w:val="0"/>
                <w:bCs w:val="0"/>
                <w:color w:val="auto"/>
                <w:lang w:val="en-US" w:eastAsia="zh-CN"/>
              </w:rPr>
              <w:t>9</w:t>
            </w:r>
            <w:r>
              <w:rPr>
                <w:rFonts w:hint="eastAsia" w:ascii="Times New Roman" w:hAnsi="Times New Roman" w:eastAsia="宋体" w:cs="Times New Roman"/>
                <w:b w:val="0"/>
                <w:bCs w:val="0"/>
                <w:color w:val="auto"/>
                <w:lang w:val="en-US" w:eastAsia="zh-CN"/>
              </w:rPr>
              <w:t>，则解冻废水产生量约67.5</w:t>
            </w:r>
            <w:r>
              <w:rPr>
                <w:rFonts w:hint="default"/>
                <w:b w:val="0"/>
                <w:bCs w:val="0"/>
                <w:color w:val="auto"/>
                <w:lang w:eastAsia="zh-CN"/>
              </w:rPr>
              <w:t>m</w:t>
            </w:r>
            <w:r>
              <w:rPr>
                <w:rFonts w:hint="default"/>
                <w:b w:val="0"/>
                <w:bCs w:val="0"/>
                <w:color w:val="auto"/>
                <w:vertAlign w:val="superscript"/>
                <w:lang w:eastAsia="zh-CN"/>
              </w:rPr>
              <w:t>3</w:t>
            </w:r>
            <w:r>
              <w:rPr>
                <w:rFonts w:hint="default"/>
                <w:b w:val="0"/>
                <w:bCs w:val="0"/>
                <w:color w:val="auto"/>
                <w:lang w:eastAsia="zh-CN"/>
              </w:rPr>
              <w:t>/</w:t>
            </w:r>
            <w:r>
              <w:rPr>
                <w:rFonts w:hint="eastAsia"/>
                <w:b w:val="0"/>
                <w:bCs w:val="0"/>
                <w:color w:val="auto"/>
                <w:lang w:val="en-US" w:eastAsia="zh-CN"/>
              </w:rPr>
              <w:t>d</w:t>
            </w:r>
            <w:r>
              <w:rPr>
                <w:rFonts w:hint="eastAsia" w:ascii="Times New Roman" w:hAnsi="Times New Roman" w:eastAsia="宋体" w:cs="Times New Roman"/>
                <w:b w:val="0"/>
                <w:bCs w:val="0"/>
                <w:color w:val="auto"/>
                <w:lang w:val="en-US" w:eastAsia="zh-CN"/>
              </w:rPr>
              <w:t>（20250</w:t>
            </w:r>
            <w:r>
              <w:rPr>
                <w:rFonts w:hint="default" w:ascii="Times New Roman" w:hAnsi="Times New Roman" w:eastAsia="宋体" w:cs="Times New Roman"/>
                <w:b w:val="0"/>
                <w:bCs w:val="0"/>
                <w:color w:val="auto"/>
                <w:lang w:val="en-US" w:eastAsia="zh-CN"/>
              </w:rPr>
              <w:t>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/a</w:t>
            </w:r>
            <w:r>
              <w:rPr>
                <w:rFonts w:hint="eastAsia" w:ascii="Times New Roman" w:hAnsi="Times New Roman" w:eastAsia="宋体" w:cs="Times New Roman"/>
                <w:b w:val="0"/>
                <w:bCs w:val="0"/>
                <w:color w:val="auto"/>
                <w:lang w:val="en-US" w:eastAsia="zh-CN"/>
              </w:rPr>
              <w:t>）。</w:t>
            </w:r>
          </w:p>
          <w:p w14:paraId="0DB7E6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val="0"/>
                <w:sz w:val="24"/>
                <w:szCs w:val="24"/>
              </w:rPr>
            </w:pPr>
            <w:r>
              <w:rPr>
                <w:rFonts w:hint="eastAsia" w:cs="Times New Roman"/>
                <w:b w:val="0"/>
                <w:bCs w:val="0"/>
                <w:color w:val="auto"/>
                <w:sz w:val="24"/>
                <w:szCs w:val="24"/>
                <w:lang w:val="en-US" w:eastAsia="zh-CN"/>
              </w:rPr>
              <w:t>（2）</w:t>
            </w:r>
            <w:r>
              <w:rPr>
                <w:rFonts w:hint="eastAsia" w:ascii="宋体" w:hAnsi="宋体" w:eastAsia="宋体" w:cs="宋体"/>
                <w:b w:val="0"/>
                <w:bCs w:val="0"/>
                <w:color w:val="000000"/>
                <w:kern w:val="0"/>
                <w:sz w:val="24"/>
                <w:szCs w:val="24"/>
                <w:lang w:val="en-US" w:eastAsia="zh-CN" w:bidi="ar"/>
              </w:rPr>
              <w:t xml:space="preserve">原料清洗用水 </w:t>
            </w:r>
          </w:p>
          <w:p w14:paraId="6AAEF9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sz w:val="24"/>
                <w:szCs w:val="24"/>
                <w:highlight w:val="none"/>
                <w:lang w:val="en-US" w:eastAsia="zh-CN"/>
              </w:rPr>
            </w:pPr>
            <w:r>
              <w:rPr>
                <w:rFonts w:hint="eastAsia" w:ascii="宋体" w:hAnsi="宋体" w:eastAsia="宋体" w:cs="宋体"/>
                <w:b w:val="0"/>
                <w:bCs w:val="0"/>
                <w:color w:val="000000"/>
                <w:kern w:val="0"/>
                <w:sz w:val="24"/>
                <w:szCs w:val="24"/>
                <w:lang w:val="en-US" w:eastAsia="zh-CN" w:bidi="ar"/>
              </w:rPr>
              <w:t>本项目需要</w:t>
            </w:r>
            <w:r>
              <w:rPr>
                <w:rFonts w:hint="eastAsia" w:ascii="宋体" w:hAnsi="宋体" w:cs="宋体"/>
                <w:b w:val="0"/>
                <w:bCs w:val="0"/>
                <w:color w:val="000000"/>
                <w:kern w:val="0"/>
                <w:sz w:val="24"/>
                <w:szCs w:val="24"/>
                <w:lang w:val="en-US" w:eastAsia="zh-CN" w:bidi="ar"/>
              </w:rPr>
              <w:t>用纯水</w:t>
            </w:r>
            <w:r>
              <w:rPr>
                <w:rFonts w:hint="eastAsia" w:ascii="宋体" w:hAnsi="宋体" w:eastAsia="宋体" w:cs="宋体"/>
                <w:b w:val="0"/>
                <w:bCs w:val="0"/>
                <w:color w:val="000000"/>
                <w:kern w:val="0"/>
                <w:sz w:val="24"/>
                <w:szCs w:val="24"/>
                <w:lang w:val="en-US" w:eastAsia="zh-CN" w:bidi="ar"/>
              </w:rPr>
              <w:t>对采购回来的蔬菜</w:t>
            </w:r>
            <w:r>
              <w:rPr>
                <w:rFonts w:hint="eastAsia" w:ascii="宋体" w:hAnsi="宋体" w:cs="宋体"/>
                <w:b w:val="0"/>
                <w:bCs w:val="0"/>
                <w:color w:val="000000"/>
                <w:kern w:val="0"/>
                <w:sz w:val="24"/>
                <w:szCs w:val="24"/>
                <w:lang w:val="en-US" w:eastAsia="zh-CN" w:bidi="ar"/>
              </w:rPr>
              <w:t>、肉类和</w:t>
            </w:r>
            <w:r>
              <w:rPr>
                <w:rFonts w:hint="eastAsia" w:ascii="宋体" w:hAnsi="宋体" w:eastAsia="宋体" w:cs="宋体"/>
                <w:b w:val="0"/>
                <w:bCs w:val="0"/>
                <w:color w:val="000000"/>
                <w:kern w:val="0"/>
                <w:sz w:val="24"/>
                <w:szCs w:val="24"/>
                <w:lang w:val="en-US" w:eastAsia="zh-CN" w:bidi="ar"/>
              </w:rPr>
              <w:t>大米等食材在加工前进行清洗。根据建设单位提供资料，原料清洗用水量以果蔬</w:t>
            </w:r>
            <w:r>
              <w:rPr>
                <w:rFonts w:hint="default" w:ascii="Times New Roman" w:hAnsi="Times New Roman" w:eastAsia="宋体" w:cs="Times New Roman"/>
                <w:b w:val="0"/>
                <w:bCs w:val="0"/>
                <w:color w:val="000000"/>
                <w:kern w:val="0"/>
                <w:sz w:val="24"/>
                <w:szCs w:val="24"/>
                <w:lang w:val="en-US" w:eastAsia="zh-CN" w:bidi="ar"/>
              </w:rPr>
              <w:t>1m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/t</w:t>
            </w:r>
            <w:r>
              <w:rPr>
                <w:rFonts w:hint="eastAsia" w:ascii="宋体" w:hAnsi="宋体" w:eastAsia="宋体" w:cs="宋体"/>
                <w:b w:val="0"/>
                <w:bCs w:val="0"/>
                <w:color w:val="000000"/>
                <w:kern w:val="0"/>
                <w:sz w:val="24"/>
                <w:szCs w:val="24"/>
                <w:lang w:val="en-US" w:eastAsia="zh-CN" w:bidi="ar"/>
              </w:rPr>
              <w:t>，肉类</w:t>
            </w:r>
            <w:r>
              <w:rPr>
                <w:rFonts w:hint="default" w:ascii="Times New Roman" w:hAnsi="Times New Roman" w:eastAsia="宋体" w:cs="Times New Roman"/>
                <w:b w:val="0"/>
                <w:bCs w:val="0"/>
                <w:color w:val="000000"/>
                <w:kern w:val="0"/>
                <w:sz w:val="24"/>
                <w:szCs w:val="24"/>
                <w:lang w:val="en-US" w:eastAsia="zh-CN" w:bidi="ar"/>
              </w:rPr>
              <w:t>1m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/t</w:t>
            </w:r>
            <w:r>
              <w:rPr>
                <w:rFonts w:hint="eastAsia" w:ascii="宋体" w:hAnsi="宋体" w:eastAsia="宋体" w:cs="宋体"/>
                <w:b w:val="0"/>
                <w:bCs w:val="0"/>
                <w:color w:val="000000"/>
                <w:kern w:val="0"/>
                <w:sz w:val="24"/>
                <w:szCs w:val="24"/>
                <w:lang w:val="en-US" w:eastAsia="zh-CN" w:bidi="ar"/>
              </w:rPr>
              <w:t>，大米</w:t>
            </w:r>
            <w:r>
              <w:rPr>
                <w:rFonts w:hint="default" w:ascii="Times New Roman" w:hAnsi="Times New Roman" w:eastAsia="宋体" w:cs="Times New Roman"/>
                <w:b w:val="0"/>
                <w:bCs w:val="0"/>
                <w:color w:val="000000"/>
                <w:kern w:val="0"/>
                <w:sz w:val="24"/>
                <w:szCs w:val="24"/>
                <w:lang w:val="en-US" w:eastAsia="zh-CN" w:bidi="ar"/>
              </w:rPr>
              <w:t>1.5m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 xml:space="preserve"> /t</w:t>
            </w:r>
            <w:r>
              <w:rPr>
                <w:rFonts w:hint="eastAsia" w:ascii="宋体" w:hAnsi="宋体" w:eastAsia="宋体" w:cs="宋体"/>
                <w:b w:val="0"/>
                <w:bCs w:val="0"/>
                <w:color w:val="000000"/>
                <w:kern w:val="0"/>
                <w:sz w:val="24"/>
                <w:szCs w:val="24"/>
                <w:lang w:val="en-US" w:eastAsia="zh-CN" w:bidi="ar"/>
              </w:rPr>
              <w:t>计算，本项目果蔬用量</w:t>
            </w:r>
            <w:r>
              <w:rPr>
                <w:rFonts w:hint="eastAsia" w:ascii="Times New Roman" w:hAnsi="Times New Roman" w:eastAsia="宋体" w:cs="Times New Roman"/>
                <w:b w:val="0"/>
                <w:bCs w:val="0"/>
                <w:color w:val="000000"/>
                <w:kern w:val="0"/>
                <w:sz w:val="24"/>
                <w:szCs w:val="24"/>
                <w:lang w:val="en-US" w:eastAsia="zh-CN" w:bidi="ar"/>
              </w:rPr>
              <w:t>40</w:t>
            </w:r>
            <w:r>
              <w:rPr>
                <w:rFonts w:hint="default" w:ascii="Times New Roman" w:hAnsi="Times New Roman" w:eastAsia="宋体" w:cs="Times New Roman"/>
                <w:b w:val="0"/>
                <w:bCs w:val="0"/>
                <w:color w:val="000000"/>
                <w:kern w:val="0"/>
                <w:sz w:val="24"/>
                <w:szCs w:val="24"/>
                <w:lang w:val="en-US" w:eastAsia="zh-CN" w:bidi="ar"/>
              </w:rPr>
              <w:t>000t/a</w:t>
            </w:r>
            <w:r>
              <w:rPr>
                <w:rFonts w:hint="eastAsia" w:ascii="宋体" w:hAnsi="宋体" w:eastAsia="宋体" w:cs="宋体"/>
                <w:b w:val="0"/>
                <w:bCs w:val="0"/>
                <w:color w:val="000000"/>
                <w:kern w:val="0"/>
                <w:sz w:val="24"/>
                <w:szCs w:val="24"/>
                <w:lang w:val="en-US" w:eastAsia="zh-CN" w:bidi="ar"/>
              </w:rPr>
              <w:t>，</w:t>
            </w:r>
            <w:r>
              <w:rPr>
                <w:rFonts w:hint="eastAsia" w:ascii="宋体" w:hAnsi="宋体" w:cs="宋体"/>
                <w:b w:val="0"/>
                <w:bCs w:val="0"/>
                <w:color w:val="000000"/>
                <w:kern w:val="0"/>
                <w:sz w:val="24"/>
                <w:szCs w:val="24"/>
                <w:lang w:val="en-US" w:eastAsia="zh-CN" w:bidi="ar"/>
              </w:rPr>
              <w:t>肉类用量</w:t>
            </w:r>
            <w:r>
              <w:rPr>
                <w:rFonts w:hint="eastAsia" w:ascii="Times New Roman" w:hAnsi="Times New Roman" w:eastAsia="宋体" w:cs="Times New Roman"/>
                <w:b w:val="0"/>
                <w:bCs w:val="0"/>
                <w:color w:val="000000"/>
                <w:kern w:val="0"/>
                <w:sz w:val="24"/>
                <w:szCs w:val="24"/>
                <w:lang w:val="en-US" w:eastAsia="zh-CN" w:bidi="ar"/>
              </w:rPr>
              <w:t>45</w:t>
            </w:r>
            <w:r>
              <w:rPr>
                <w:rFonts w:hint="default" w:ascii="Times New Roman" w:hAnsi="Times New Roman" w:eastAsia="宋体" w:cs="Times New Roman"/>
                <w:b w:val="0"/>
                <w:bCs w:val="0"/>
                <w:color w:val="000000"/>
                <w:kern w:val="0"/>
                <w:sz w:val="24"/>
                <w:szCs w:val="24"/>
                <w:lang w:val="en-US" w:eastAsia="zh-CN" w:bidi="ar"/>
              </w:rPr>
              <w:t>000t/a</w:t>
            </w:r>
            <w:r>
              <w:rPr>
                <w:rFonts w:hint="eastAsia" w:ascii="宋体" w:hAnsi="宋体" w:eastAsia="宋体" w:cs="宋体"/>
                <w:b w:val="0"/>
                <w:bCs w:val="0"/>
                <w:color w:val="000000"/>
                <w:kern w:val="0"/>
                <w:sz w:val="24"/>
                <w:szCs w:val="24"/>
                <w:lang w:val="en-US" w:eastAsia="zh-CN" w:bidi="ar"/>
              </w:rPr>
              <w:t>，大米用量</w:t>
            </w:r>
            <w:r>
              <w:rPr>
                <w:rFonts w:hint="eastAsia" w:ascii="Times New Roman" w:hAnsi="Times New Roman" w:eastAsia="宋体" w:cs="Times New Roman"/>
                <w:b w:val="0"/>
                <w:bCs w:val="0"/>
                <w:color w:val="000000"/>
                <w:kern w:val="0"/>
                <w:sz w:val="24"/>
                <w:szCs w:val="24"/>
                <w:lang w:val="en-US" w:eastAsia="zh-CN" w:bidi="ar"/>
              </w:rPr>
              <w:t>5000</w:t>
            </w:r>
            <w:r>
              <w:rPr>
                <w:rFonts w:hint="default" w:ascii="Times New Roman" w:hAnsi="Times New Roman" w:eastAsia="宋体" w:cs="Times New Roman"/>
                <w:b w:val="0"/>
                <w:bCs w:val="0"/>
                <w:color w:val="000000"/>
                <w:kern w:val="0"/>
                <w:sz w:val="24"/>
                <w:szCs w:val="24"/>
                <w:lang w:val="en-US" w:eastAsia="zh-CN" w:bidi="ar"/>
              </w:rPr>
              <w:t>t/a</w:t>
            </w:r>
            <w:r>
              <w:rPr>
                <w:rFonts w:hint="eastAsia" w:ascii="宋体" w:hAnsi="宋体" w:eastAsia="宋体" w:cs="宋体"/>
                <w:b w:val="0"/>
                <w:bCs w:val="0"/>
                <w:color w:val="000000"/>
                <w:kern w:val="0"/>
                <w:sz w:val="24"/>
                <w:szCs w:val="24"/>
                <w:lang w:val="en-US" w:eastAsia="zh-CN" w:bidi="ar"/>
              </w:rPr>
              <w:t>，则原料清洗用水量约</w:t>
            </w:r>
            <w:r>
              <w:rPr>
                <w:rFonts w:hint="eastAsia" w:cs="Times New Roman"/>
                <w:b w:val="0"/>
                <w:bCs w:val="0"/>
                <w:color w:val="auto"/>
                <w:sz w:val="24"/>
                <w:szCs w:val="24"/>
                <w:lang w:val="en-US" w:eastAsia="zh-CN"/>
              </w:rPr>
              <w:t>308.33</w:t>
            </w:r>
            <w:r>
              <w:rPr>
                <w:rFonts w:hint="default"/>
                <w:b w:val="0"/>
                <w:bCs w:val="0"/>
                <w:color w:val="auto"/>
                <w:sz w:val="24"/>
                <w:szCs w:val="24"/>
                <w:lang w:eastAsia="zh-CN"/>
              </w:rPr>
              <w:t>m</w:t>
            </w:r>
            <w:r>
              <w:rPr>
                <w:rFonts w:hint="default"/>
                <w:b w:val="0"/>
                <w:bCs w:val="0"/>
                <w:color w:val="auto"/>
                <w:sz w:val="24"/>
                <w:szCs w:val="24"/>
                <w:vertAlign w:val="superscript"/>
                <w:lang w:eastAsia="zh-CN"/>
              </w:rPr>
              <w:t>3</w:t>
            </w:r>
            <w:r>
              <w:rPr>
                <w:rFonts w:hint="default"/>
                <w:b w:val="0"/>
                <w:bCs w:val="0"/>
                <w:color w:val="auto"/>
                <w:sz w:val="24"/>
                <w:szCs w:val="24"/>
                <w:lang w:eastAsia="zh-CN"/>
              </w:rPr>
              <w:t>/</w:t>
            </w:r>
            <w:r>
              <w:rPr>
                <w:rFonts w:hint="eastAsia"/>
                <w:b w:val="0"/>
                <w:bCs w:val="0"/>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92500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r>
              <w:rPr>
                <w:rFonts w:hint="eastAsia" w:ascii="宋体" w:hAnsi="宋体" w:eastAsia="宋体" w:cs="宋体"/>
                <w:b w:val="0"/>
                <w:bCs w:val="0"/>
                <w:color w:val="000000"/>
                <w:kern w:val="0"/>
                <w:sz w:val="24"/>
                <w:szCs w:val="24"/>
                <w:lang w:val="en-US" w:eastAsia="zh-CN" w:bidi="ar"/>
              </w:rPr>
              <w:t>，</w:t>
            </w:r>
            <w:r>
              <w:rPr>
                <w:rFonts w:hint="eastAsia"/>
                <w:b w:val="0"/>
                <w:bCs w:val="0"/>
                <w:color w:val="auto"/>
                <w:sz w:val="24"/>
                <w:szCs w:val="24"/>
                <w:lang w:val="en-US" w:eastAsia="zh-CN"/>
              </w:rPr>
              <w:t>产污</w:t>
            </w:r>
            <w:r>
              <w:rPr>
                <w:rFonts w:hint="default"/>
                <w:b w:val="0"/>
                <w:bCs w:val="0"/>
                <w:color w:val="auto"/>
                <w:sz w:val="24"/>
                <w:szCs w:val="24"/>
                <w:lang w:eastAsia="zh-CN"/>
              </w:rPr>
              <w:t>系数取0.</w:t>
            </w:r>
            <w:r>
              <w:rPr>
                <w:rFonts w:hint="eastAsia"/>
                <w:b w:val="0"/>
                <w:bCs w:val="0"/>
                <w:color w:val="auto"/>
                <w:sz w:val="24"/>
                <w:szCs w:val="24"/>
                <w:lang w:val="en-US" w:eastAsia="zh-CN"/>
              </w:rPr>
              <w:t>8</w:t>
            </w:r>
            <w:r>
              <w:rPr>
                <w:rFonts w:hint="eastAsia" w:ascii="Times New Roman" w:hAnsi="Times New Roman" w:eastAsia="宋体" w:cs="Times New Roman"/>
                <w:b w:val="0"/>
                <w:bCs w:val="0"/>
                <w:color w:val="auto"/>
                <w:sz w:val="24"/>
                <w:szCs w:val="24"/>
                <w:lang w:val="en-US" w:eastAsia="zh-CN"/>
              </w:rPr>
              <w:t>，</w:t>
            </w:r>
            <w:r>
              <w:rPr>
                <w:rFonts w:hint="eastAsia" w:ascii="宋体" w:hAnsi="宋体" w:eastAsia="宋体" w:cs="宋体"/>
                <w:b w:val="0"/>
                <w:bCs w:val="0"/>
                <w:color w:val="000000"/>
                <w:kern w:val="0"/>
                <w:sz w:val="24"/>
                <w:szCs w:val="24"/>
                <w:lang w:val="en-US" w:eastAsia="zh-CN" w:bidi="ar"/>
              </w:rPr>
              <w:t>则原料清洗废水量约</w:t>
            </w:r>
            <w:r>
              <w:rPr>
                <w:rFonts w:hint="eastAsia" w:cs="Times New Roman"/>
                <w:b w:val="0"/>
                <w:bCs w:val="0"/>
                <w:color w:val="auto"/>
                <w:sz w:val="24"/>
                <w:szCs w:val="24"/>
                <w:lang w:val="en-US" w:eastAsia="zh-CN"/>
              </w:rPr>
              <w:t>246.67</w:t>
            </w:r>
            <w:r>
              <w:rPr>
                <w:rFonts w:hint="default"/>
                <w:b w:val="0"/>
                <w:bCs w:val="0"/>
                <w:color w:val="auto"/>
                <w:sz w:val="24"/>
                <w:szCs w:val="24"/>
                <w:lang w:eastAsia="zh-CN"/>
              </w:rPr>
              <w:t>m</w:t>
            </w:r>
            <w:r>
              <w:rPr>
                <w:rFonts w:hint="default"/>
                <w:b w:val="0"/>
                <w:bCs w:val="0"/>
                <w:color w:val="auto"/>
                <w:sz w:val="24"/>
                <w:szCs w:val="24"/>
                <w:vertAlign w:val="superscript"/>
                <w:lang w:eastAsia="zh-CN"/>
              </w:rPr>
              <w:t>3</w:t>
            </w:r>
            <w:r>
              <w:rPr>
                <w:rFonts w:hint="default"/>
                <w:b w:val="0"/>
                <w:bCs w:val="0"/>
                <w:color w:val="auto"/>
                <w:sz w:val="24"/>
                <w:szCs w:val="24"/>
                <w:lang w:eastAsia="zh-CN"/>
              </w:rPr>
              <w:t>/</w:t>
            </w:r>
            <w:r>
              <w:rPr>
                <w:rFonts w:hint="eastAsia"/>
                <w:b w:val="0"/>
                <w:bCs w:val="0"/>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74000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r>
              <w:rPr>
                <w:rFonts w:hint="eastAsia" w:ascii="宋体" w:hAnsi="宋体" w:eastAsia="宋体" w:cs="宋体"/>
                <w:b w:val="0"/>
                <w:bCs w:val="0"/>
                <w:color w:val="000000"/>
                <w:kern w:val="0"/>
                <w:sz w:val="24"/>
                <w:szCs w:val="24"/>
                <w:lang w:val="en-US" w:eastAsia="zh-CN" w:bidi="ar"/>
              </w:rPr>
              <w:t>。</w:t>
            </w:r>
          </w:p>
          <w:p w14:paraId="131CBC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 xml:space="preserve">（3）食品制作用水 </w:t>
            </w:r>
          </w:p>
          <w:p w14:paraId="48B59D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b/>
                <w:bCs/>
                <w:color w:val="auto"/>
                <w:sz w:val="24"/>
                <w:highlight w:val="none"/>
                <w:lang w:val="en-US" w:eastAsia="zh-CN"/>
              </w:rPr>
            </w:pPr>
            <w:r>
              <w:rPr>
                <w:rFonts w:hint="eastAsia" w:ascii="Times New Roman" w:hAnsi="Times New Roman" w:eastAsia="宋体" w:cs="Times New Roman"/>
                <w:b w:val="0"/>
                <w:bCs w:val="0"/>
                <w:color w:val="auto"/>
                <w:sz w:val="24"/>
                <w:szCs w:val="24"/>
                <w:lang w:val="en-US" w:eastAsia="zh-CN"/>
              </w:rPr>
              <w:t>本项目食品制作用水主要包括米饭蒸煮以及果蔬肉类烹饪过程中</w:t>
            </w:r>
            <w:r>
              <w:rPr>
                <w:rFonts w:hint="eastAsia" w:cs="Times New Roman"/>
                <w:b w:val="0"/>
                <w:bCs w:val="0"/>
                <w:color w:val="auto"/>
                <w:sz w:val="24"/>
                <w:szCs w:val="24"/>
                <w:lang w:val="en-US" w:eastAsia="zh-CN"/>
              </w:rPr>
              <w:t>用的纯</w:t>
            </w:r>
            <w:r>
              <w:rPr>
                <w:rFonts w:hint="eastAsia" w:ascii="Times New Roman" w:hAnsi="Times New Roman" w:eastAsia="宋体" w:cs="Times New Roman"/>
                <w:b w:val="0"/>
                <w:bCs w:val="0"/>
                <w:color w:val="auto"/>
                <w:sz w:val="24"/>
                <w:szCs w:val="24"/>
                <w:lang w:val="en-US" w:eastAsia="zh-CN"/>
              </w:rPr>
              <w:t>水。根据建设单位提供资料，米饭的米：水比例约为</w:t>
            </w:r>
            <w:r>
              <w:rPr>
                <w:rFonts w:hint="default" w:ascii="Times New Roman" w:hAnsi="Times New Roman" w:eastAsia="宋体" w:cs="Times New Roman"/>
                <w:b w:val="0"/>
                <w:bCs w:val="0"/>
                <w:color w:val="auto"/>
                <w:sz w:val="24"/>
                <w:szCs w:val="24"/>
                <w:lang w:val="en-US" w:eastAsia="zh-CN"/>
              </w:rPr>
              <w:t>1:1.3</w:t>
            </w:r>
            <w:r>
              <w:rPr>
                <w:rFonts w:hint="eastAsia" w:ascii="Times New Roman" w:hAnsi="Times New Roman" w:eastAsia="宋体" w:cs="Times New Roman"/>
                <w:b w:val="0"/>
                <w:bCs w:val="0"/>
                <w:color w:val="auto"/>
                <w:sz w:val="24"/>
                <w:szCs w:val="24"/>
                <w:lang w:val="en-US" w:eastAsia="zh-CN"/>
              </w:rPr>
              <w:t>，果蔬肉类烹饪过程中用水量按照</w:t>
            </w:r>
            <w:r>
              <w:rPr>
                <w:rFonts w:hint="default" w:ascii="Times New Roman" w:hAnsi="Times New Roman" w:eastAsia="宋体" w:cs="Times New Roman"/>
                <w:b w:val="0"/>
                <w:bCs w:val="0"/>
                <w:color w:val="auto"/>
                <w:sz w:val="24"/>
                <w:szCs w:val="24"/>
                <w:lang w:val="en-US" w:eastAsia="zh-CN"/>
              </w:rPr>
              <w:t>1.2m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/t</w:t>
            </w:r>
            <w:r>
              <w:rPr>
                <w:rFonts w:hint="eastAsia" w:ascii="Times New Roman" w:hAnsi="Times New Roman" w:eastAsia="宋体" w:cs="Times New Roman"/>
                <w:b w:val="0"/>
                <w:bCs w:val="0"/>
                <w:color w:val="auto"/>
                <w:sz w:val="24"/>
                <w:szCs w:val="24"/>
                <w:lang w:val="en-US" w:eastAsia="zh-CN"/>
              </w:rPr>
              <w:t>（其中焯水用量</w:t>
            </w:r>
            <w:r>
              <w:rPr>
                <w:rFonts w:hint="default" w:ascii="Times New Roman" w:hAnsi="Times New Roman" w:eastAsia="宋体" w:cs="Times New Roman"/>
                <w:b w:val="0"/>
                <w:bCs w:val="0"/>
                <w:color w:val="auto"/>
                <w:sz w:val="24"/>
                <w:szCs w:val="24"/>
                <w:lang w:val="en-US" w:eastAsia="zh-CN"/>
              </w:rPr>
              <w:t>0.2m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/t</w:t>
            </w:r>
            <w:r>
              <w:rPr>
                <w:rFonts w:hint="eastAsia" w:ascii="Times New Roman" w:hAnsi="Times New Roman" w:eastAsia="宋体" w:cs="Times New Roman"/>
                <w:b w:val="0"/>
                <w:bCs w:val="0"/>
                <w:color w:val="auto"/>
                <w:sz w:val="24"/>
                <w:szCs w:val="24"/>
                <w:lang w:val="en-US" w:eastAsia="zh-CN"/>
              </w:rPr>
              <w:t>）计算，本项目大米用量5</w:t>
            </w:r>
            <w:r>
              <w:rPr>
                <w:rFonts w:hint="default" w:ascii="Times New Roman" w:hAnsi="Times New Roman" w:eastAsia="宋体" w:cs="Times New Roman"/>
                <w:b w:val="0"/>
                <w:bCs w:val="0"/>
                <w:color w:val="auto"/>
                <w:sz w:val="24"/>
                <w:szCs w:val="24"/>
                <w:lang w:val="en-US" w:eastAsia="zh-CN"/>
              </w:rPr>
              <w:t>000t/a</w:t>
            </w:r>
            <w:r>
              <w:rPr>
                <w:rFonts w:hint="eastAsia" w:ascii="Times New Roman" w:hAnsi="Times New Roman" w:eastAsia="宋体" w:cs="Times New Roman"/>
                <w:b w:val="0"/>
                <w:bCs w:val="0"/>
                <w:color w:val="auto"/>
                <w:sz w:val="24"/>
                <w:szCs w:val="24"/>
                <w:lang w:val="en-US" w:eastAsia="zh-CN"/>
              </w:rPr>
              <w:t>，需要烹饪的果蔬肉类用量5</w:t>
            </w:r>
            <w:r>
              <w:rPr>
                <w:rFonts w:hint="eastAsia" w:cs="Times New Roman"/>
                <w:b w:val="0"/>
                <w:bCs w:val="0"/>
                <w:color w:val="auto"/>
                <w:sz w:val="24"/>
                <w:szCs w:val="24"/>
                <w:lang w:val="en-US" w:eastAsia="zh-CN"/>
              </w:rPr>
              <w:t>4800</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，则本项目食品制作用水量约</w:t>
            </w:r>
            <w:r>
              <w:rPr>
                <w:rFonts w:hint="eastAsia"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40.87</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w:t>
            </w:r>
            <w:r>
              <w:rPr>
                <w:rFonts w:hint="eastAsia"/>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（7</w:t>
            </w:r>
            <w:r>
              <w:rPr>
                <w:rFonts w:hint="eastAsia" w:cs="Times New Roman"/>
                <w:b w:val="0"/>
                <w:bCs w:val="0"/>
                <w:color w:val="auto"/>
                <w:sz w:val="24"/>
                <w:szCs w:val="24"/>
                <w:lang w:val="en-US" w:eastAsia="zh-CN"/>
              </w:rPr>
              <w:t>2260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），其中米饭蒸煮过程约</w:t>
            </w:r>
            <w:r>
              <w:rPr>
                <w:rFonts w:hint="default" w:ascii="Times New Roman" w:hAnsi="Times New Roman" w:eastAsia="宋体" w:cs="Times New Roman"/>
                <w:b w:val="0"/>
                <w:bCs w:val="0"/>
                <w:color w:val="auto"/>
                <w:sz w:val="24"/>
                <w:szCs w:val="24"/>
                <w:lang w:val="en-US" w:eastAsia="zh-CN"/>
              </w:rPr>
              <w:t>80%</w:t>
            </w:r>
            <w:r>
              <w:rPr>
                <w:rFonts w:hint="eastAsia" w:ascii="Times New Roman" w:hAnsi="Times New Roman" w:eastAsia="宋体" w:cs="Times New Roman"/>
                <w:b w:val="0"/>
                <w:bCs w:val="0"/>
                <w:color w:val="auto"/>
                <w:sz w:val="24"/>
                <w:szCs w:val="24"/>
                <w:lang w:val="en-US" w:eastAsia="zh-CN"/>
              </w:rPr>
              <w:t>蒸发损耗，损耗量约17.33</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w:t>
            </w:r>
            <w:r>
              <w:rPr>
                <w:rFonts w:hint="eastAsia"/>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（5200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），其余均进入产品；果蔬肉类烹饪过程焯水废水产生量按用水量的</w:t>
            </w:r>
            <w:r>
              <w:rPr>
                <w:rFonts w:hint="default" w:ascii="Times New Roman" w:hAnsi="Times New Roman" w:eastAsia="宋体" w:cs="Times New Roman"/>
                <w:b w:val="0"/>
                <w:bCs w:val="0"/>
                <w:color w:val="auto"/>
                <w:sz w:val="24"/>
                <w:szCs w:val="24"/>
                <w:lang w:val="en-US" w:eastAsia="zh-CN"/>
              </w:rPr>
              <w:t>0.5</w:t>
            </w:r>
            <w:r>
              <w:rPr>
                <w:rFonts w:hint="eastAsia" w:ascii="Times New Roman" w:hAnsi="Times New Roman" w:eastAsia="宋体" w:cs="Times New Roman"/>
                <w:b w:val="0"/>
                <w:bCs w:val="0"/>
                <w:color w:val="auto"/>
                <w:sz w:val="24"/>
                <w:szCs w:val="24"/>
                <w:lang w:val="en-US" w:eastAsia="zh-CN"/>
              </w:rPr>
              <w:t>计，则焯水废水量约</w:t>
            </w:r>
            <w:r>
              <w:rPr>
                <w:rFonts w:hint="eastAsia" w:cs="Times New Roman"/>
                <w:color w:val="auto"/>
                <w:sz w:val="24"/>
                <w:szCs w:val="24"/>
                <w:lang w:val="en-US" w:eastAsia="zh-CN"/>
              </w:rPr>
              <w:t>18.27</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w:t>
            </w:r>
            <w:r>
              <w:rPr>
                <w:rFonts w:hint="eastAsia"/>
                <w:color w:val="auto"/>
                <w:sz w:val="24"/>
                <w:szCs w:val="24"/>
                <w:lang w:val="en-US" w:eastAsia="zh-CN"/>
              </w:rPr>
              <w:t>d</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5</w:t>
            </w:r>
            <w:r>
              <w:rPr>
                <w:rFonts w:hint="eastAsia" w:cs="Times New Roman"/>
                <w:b w:val="0"/>
                <w:bCs w:val="0"/>
                <w:color w:val="auto"/>
                <w:sz w:val="24"/>
                <w:szCs w:val="24"/>
                <w:lang w:val="en-US" w:eastAsia="zh-CN"/>
              </w:rPr>
              <w:t>480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，其余烹饪用水</w:t>
            </w:r>
            <w:r>
              <w:rPr>
                <w:rFonts w:hint="default" w:ascii="Times New Roman" w:hAnsi="Times New Roman" w:eastAsia="宋体" w:cs="Times New Roman"/>
                <w:b w:val="0"/>
                <w:bCs w:val="0"/>
                <w:color w:val="auto"/>
                <w:sz w:val="24"/>
                <w:szCs w:val="24"/>
                <w:lang w:val="en-US" w:eastAsia="zh-CN"/>
              </w:rPr>
              <w:t>80%</w:t>
            </w:r>
            <w:r>
              <w:rPr>
                <w:rFonts w:hint="eastAsia" w:ascii="Times New Roman" w:hAnsi="Times New Roman" w:eastAsia="宋体" w:cs="Times New Roman"/>
                <w:b w:val="0"/>
                <w:bCs w:val="0"/>
                <w:color w:val="auto"/>
                <w:sz w:val="24"/>
                <w:szCs w:val="24"/>
                <w:lang w:val="en-US" w:eastAsia="zh-CN"/>
              </w:rPr>
              <w:t>蒸发损耗，损耗量约</w:t>
            </w:r>
            <w:r>
              <w:rPr>
                <w:rFonts w:hint="eastAsia" w:cs="Times New Roman"/>
                <w:color w:val="auto"/>
                <w:sz w:val="24"/>
                <w:szCs w:val="24"/>
                <w:lang w:val="en-US" w:eastAsia="zh-CN"/>
              </w:rPr>
              <w:t>146.13</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w:t>
            </w:r>
            <w:r>
              <w:rPr>
                <w:rFonts w:hint="eastAsia"/>
                <w:color w:val="auto"/>
                <w:sz w:val="24"/>
                <w:szCs w:val="24"/>
                <w:lang w:val="en-US" w:eastAsia="zh-CN"/>
              </w:rPr>
              <w:t>d</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4</w:t>
            </w:r>
            <w:r>
              <w:rPr>
                <w:rFonts w:hint="eastAsia" w:cs="Times New Roman"/>
                <w:b w:val="0"/>
                <w:bCs w:val="0"/>
                <w:color w:val="auto"/>
                <w:sz w:val="24"/>
                <w:szCs w:val="24"/>
                <w:lang w:val="en-US" w:eastAsia="zh-CN"/>
              </w:rPr>
              <w:t>3840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，其余均进入产品。</w:t>
            </w:r>
          </w:p>
          <w:p w14:paraId="3D0FA5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 xml:space="preserve">（4）设备清洗用水 </w:t>
            </w:r>
          </w:p>
          <w:p w14:paraId="316DB4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bCs/>
                <w:color w:val="auto"/>
                <w:sz w:val="24"/>
                <w:lang w:val="en-US" w:eastAsia="zh-CN"/>
              </w:rPr>
            </w:pPr>
            <w:r>
              <w:rPr>
                <w:rFonts w:hint="eastAsia" w:ascii="Times New Roman" w:hAnsi="Times New Roman" w:eastAsia="宋体" w:cs="Times New Roman"/>
                <w:b w:val="0"/>
                <w:bCs w:val="0"/>
                <w:color w:val="auto"/>
                <w:sz w:val="24"/>
                <w:szCs w:val="24"/>
                <w:lang w:val="en-US" w:eastAsia="zh-CN"/>
              </w:rPr>
              <w:t>本项目生产设备</w:t>
            </w:r>
            <w:r>
              <w:rPr>
                <w:rFonts w:hint="eastAsia" w:cs="Times New Roman"/>
                <w:b w:val="0"/>
                <w:bCs w:val="0"/>
                <w:color w:val="auto"/>
                <w:sz w:val="24"/>
                <w:szCs w:val="24"/>
                <w:lang w:val="en-US" w:eastAsia="zh-CN"/>
              </w:rPr>
              <w:t>如炒锅、切菜机、切肉机、刀具、餐具等</w:t>
            </w:r>
            <w:r>
              <w:rPr>
                <w:rFonts w:hint="eastAsia" w:ascii="Times New Roman" w:hAnsi="Times New Roman" w:eastAsia="宋体" w:cs="Times New Roman"/>
                <w:b w:val="0"/>
                <w:bCs w:val="0"/>
                <w:color w:val="auto"/>
                <w:sz w:val="24"/>
                <w:szCs w:val="24"/>
                <w:lang w:val="en-US" w:eastAsia="zh-CN"/>
              </w:rPr>
              <w:t>需要清洗，根据建设单位提供资料，设备清洗用水量约</w:t>
            </w:r>
            <w:r>
              <w:rPr>
                <w:rFonts w:hint="default" w:ascii="Times New Roman" w:hAnsi="Times New Roman" w:eastAsia="宋体" w:cs="Times New Roman"/>
                <w:b w:val="0"/>
                <w:bCs w:val="0"/>
                <w:color w:val="auto"/>
                <w:sz w:val="24"/>
                <w:szCs w:val="24"/>
                <w:lang w:val="en-US" w:eastAsia="zh-CN"/>
              </w:rPr>
              <w:t>40m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12000m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），废水产生量按用水量的</w:t>
            </w:r>
            <w:r>
              <w:rPr>
                <w:rFonts w:hint="default" w:ascii="Times New Roman" w:hAnsi="Times New Roman" w:eastAsia="宋体" w:cs="Times New Roman"/>
                <w:b w:val="0"/>
                <w:bCs w:val="0"/>
                <w:color w:val="auto"/>
                <w:sz w:val="24"/>
                <w:szCs w:val="24"/>
                <w:lang w:val="en-US" w:eastAsia="zh-CN"/>
              </w:rPr>
              <w:t>0.8</w:t>
            </w:r>
            <w:r>
              <w:rPr>
                <w:rFonts w:hint="eastAsia" w:ascii="Times New Roman" w:hAnsi="Times New Roman" w:eastAsia="宋体" w:cs="Times New Roman"/>
                <w:b w:val="0"/>
                <w:bCs w:val="0"/>
                <w:color w:val="auto"/>
                <w:sz w:val="24"/>
                <w:szCs w:val="24"/>
                <w:lang w:val="en-US" w:eastAsia="zh-CN"/>
              </w:rPr>
              <w:t>计，则设备清洗废水量约32</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（96</w:t>
            </w:r>
            <w:r>
              <w:rPr>
                <w:rFonts w:hint="default" w:ascii="Times New Roman" w:hAnsi="Times New Roman" w:eastAsia="宋体" w:cs="Times New Roman"/>
                <w:b w:val="0"/>
                <w:bCs w:val="0"/>
                <w:color w:val="auto"/>
                <w:sz w:val="24"/>
                <w:szCs w:val="24"/>
                <w:lang w:val="en-US" w:eastAsia="zh-CN"/>
              </w:rPr>
              <w:t>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p>
          <w:p w14:paraId="5CCD7F62">
            <w:pPr>
              <w:pStyle w:val="10"/>
              <w:bidi w:val="0"/>
              <w:rPr>
                <w:rFonts w:hint="eastAsia"/>
                <w:b w:val="0"/>
                <w:bCs w:val="0"/>
                <w:color w:val="auto"/>
                <w:sz w:val="24"/>
                <w:highlight w:val="none"/>
                <w:lang w:val="en-US" w:eastAsia="zh-CN"/>
              </w:rPr>
            </w:pPr>
            <w:r>
              <w:rPr>
                <w:rFonts w:hint="eastAsia"/>
                <w:b w:val="0"/>
                <w:bCs w:val="0"/>
                <w:color w:val="auto"/>
                <w:sz w:val="24"/>
                <w:szCs w:val="24"/>
                <w:highlight w:val="none"/>
                <w:lang w:val="en-US" w:eastAsia="zh-CN"/>
              </w:rPr>
              <w:t>（5）地</w:t>
            </w:r>
            <w:r>
              <w:rPr>
                <w:rFonts w:hint="eastAsia"/>
                <w:b w:val="0"/>
                <w:bCs w:val="0"/>
                <w:color w:val="auto"/>
                <w:sz w:val="24"/>
                <w:highlight w:val="none"/>
                <w:lang w:val="en-US" w:eastAsia="zh-CN"/>
              </w:rPr>
              <w:t>面清洗用水</w:t>
            </w:r>
          </w:p>
          <w:p w14:paraId="0A10F3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sz w:val="24"/>
                <w:lang w:val="en-US" w:eastAsia="zh-CN"/>
              </w:rPr>
            </w:pPr>
            <w:r>
              <w:rPr>
                <w:rFonts w:hint="eastAsia"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lang w:val="en-US" w:eastAsia="zh-CN"/>
              </w:rPr>
              <w:t>项目</w:t>
            </w:r>
            <w:r>
              <w:rPr>
                <w:rFonts w:hint="eastAsia" w:cs="Times New Roman"/>
                <w:b w:val="0"/>
                <w:bCs w:val="0"/>
                <w:color w:val="auto"/>
                <w:sz w:val="24"/>
                <w:szCs w:val="24"/>
                <w:highlight w:val="none"/>
                <w:lang w:val="en-US" w:eastAsia="zh-CN"/>
              </w:rPr>
              <w:t>生产车间需要每日清洗，需要清洗的</w:t>
            </w:r>
            <w:r>
              <w:rPr>
                <w:rFonts w:hint="default" w:ascii="Times New Roman" w:hAnsi="Times New Roman" w:eastAsia="宋体" w:cs="Times New Roman"/>
                <w:b w:val="0"/>
                <w:bCs w:val="0"/>
                <w:color w:val="auto"/>
                <w:sz w:val="24"/>
                <w:szCs w:val="24"/>
                <w:highlight w:val="none"/>
                <w:lang w:val="en-US" w:eastAsia="zh-CN"/>
              </w:rPr>
              <w:t>面积约</w:t>
            </w:r>
            <w:r>
              <w:rPr>
                <w:rFonts w:hint="eastAsia" w:cs="Times New Roman"/>
                <w:b w:val="0"/>
                <w:bCs w:val="0"/>
                <w:color w:val="auto"/>
                <w:sz w:val="24"/>
                <w:szCs w:val="24"/>
                <w:highlight w:val="none"/>
                <w:lang w:val="en-US" w:eastAsia="zh-CN"/>
              </w:rPr>
              <w:t>为41725</w:t>
            </w:r>
            <w:r>
              <w:rPr>
                <w:rFonts w:hint="default"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。设计采取拖洗的方式，地面清洗水用量按照每次</w:t>
            </w:r>
            <w:r>
              <w:rPr>
                <w:rFonts w:hint="eastAsia" w:cs="Times New Roman"/>
                <w:b w:val="0"/>
                <w:bCs w:val="0"/>
                <w:color w:val="auto"/>
                <w:sz w:val="24"/>
                <w:szCs w:val="24"/>
                <w:highlight w:val="none"/>
                <w:lang w:val="en-US" w:eastAsia="zh-CN"/>
              </w:rPr>
              <w:t>1.5</w:t>
            </w:r>
            <w:r>
              <w:rPr>
                <w:rFonts w:hint="default" w:ascii="Times New Roman" w:hAnsi="Times New Roman" w:eastAsia="宋体" w:cs="Times New Roman"/>
                <w:b w:val="0"/>
                <w:bCs w:val="0"/>
                <w:color w:val="auto"/>
                <w:sz w:val="24"/>
                <w:szCs w:val="24"/>
                <w:highlight w:val="none"/>
                <w:lang w:val="en-US" w:eastAsia="zh-CN"/>
              </w:rPr>
              <w:t>L/m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计算，</w:t>
            </w:r>
            <w:r>
              <w:rPr>
                <w:rFonts w:hint="eastAsia" w:cs="Times New Roman"/>
                <w:b w:val="0"/>
                <w:bCs w:val="0"/>
                <w:color w:val="auto"/>
                <w:sz w:val="24"/>
                <w:szCs w:val="24"/>
                <w:highlight w:val="none"/>
                <w:lang w:val="en-US" w:eastAsia="zh-CN"/>
              </w:rPr>
              <w:t>则</w:t>
            </w:r>
            <w:r>
              <w:rPr>
                <w:rFonts w:hint="eastAsia" w:ascii="Times New Roman" w:hAnsi="Times New Roman" w:cs="Times New Roman"/>
                <w:b w:val="0"/>
                <w:bCs w:val="0"/>
                <w:color w:val="auto"/>
                <w:sz w:val="24"/>
                <w:szCs w:val="24"/>
                <w:highlight w:val="none"/>
                <w:lang w:val="en-US" w:eastAsia="zh-CN"/>
              </w:rPr>
              <w:t>地面清洗</w:t>
            </w:r>
            <w:r>
              <w:rPr>
                <w:rFonts w:hint="default" w:ascii="Times New Roman" w:hAnsi="Times New Roman" w:eastAsia="宋体" w:cs="Times New Roman"/>
                <w:b w:val="0"/>
                <w:bCs w:val="0"/>
                <w:color w:val="auto"/>
                <w:sz w:val="24"/>
                <w:szCs w:val="24"/>
                <w:highlight w:val="none"/>
                <w:lang w:val="en-US" w:eastAsia="zh-CN"/>
              </w:rPr>
              <w:t>用水量</w:t>
            </w:r>
            <w:r>
              <w:rPr>
                <w:rFonts w:hint="default" w:ascii="Times New Roman" w:hAnsi="Times New Roman" w:cs="Times New Roman"/>
                <w:b w:val="0"/>
                <w:bCs w:val="0"/>
                <w:color w:val="auto"/>
                <w:sz w:val="24"/>
                <w:szCs w:val="24"/>
                <w:highlight w:val="none"/>
              </w:rPr>
              <w:t>为</w:t>
            </w:r>
            <w:r>
              <w:rPr>
                <w:rFonts w:hint="eastAsia" w:cs="Times New Roman"/>
                <w:b w:val="0"/>
                <w:bCs w:val="0"/>
                <w:color w:val="auto"/>
                <w:sz w:val="24"/>
                <w:szCs w:val="24"/>
                <w:highlight w:val="none"/>
                <w:lang w:val="en-US" w:eastAsia="zh-CN"/>
              </w:rPr>
              <w:t>62.59</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default" w:ascii="Times New Roman" w:hAnsi="Times New Roman"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8776.25</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/a）</w:t>
            </w:r>
            <w:r>
              <w:rPr>
                <w:rFonts w:hint="default"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产</w:t>
            </w:r>
            <w:r>
              <w:rPr>
                <w:rFonts w:hint="eastAsia" w:ascii="Times New Roman" w:hAnsi="Times New Roman" w:cs="Times New Roman"/>
                <w:color w:val="auto"/>
                <w:sz w:val="24"/>
                <w:szCs w:val="24"/>
                <w:highlight w:val="none"/>
                <w:lang w:val="en-US" w:eastAsia="zh-CN"/>
              </w:rPr>
              <w:t>污</w:t>
            </w:r>
            <w:r>
              <w:rPr>
                <w:rFonts w:hint="default" w:ascii="Times New Roman" w:hAnsi="Times New Roman" w:eastAsia="宋体" w:cs="Times New Roman"/>
                <w:color w:val="auto"/>
                <w:sz w:val="24"/>
                <w:szCs w:val="24"/>
                <w:highlight w:val="none"/>
              </w:rPr>
              <w:t>系数</w:t>
            </w:r>
            <w:r>
              <w:rPr>
                <w:rFonts w:hint="eastAsia" w:ascii="Times New Roman" w:hAnsi="Times New Roman" w:cs="Times New Roman"/>
                <w:b w:val="0"/>
                <w:bCs w:val="0"/>
                <w:color w:val="auto"/>
                <w:sz w:val="24"/>
                <w:szCs w:val="24"/>
                <w:highlight w:val="none"/>
                <w:lang w:val="en-US" w:eastAsia="zh-CN"/>
              </w:rPr>
              <w:t>取0.</w:t>
            </w:r>
            <w:r>
              <w:rPr>
                <w:rFonts w:hint="eastAsia"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地面清洗废水量</w:t>
            </w:r>
            <w:r>
              <w:rPr>
                <w:rFonts w:hint="default" w:ascii="Times New Roman" w:hAnsi="Times New Roman" w:cs="Times New Roman"/>
                <w:b w:val="0"/>
                <w:bCs w:val="0"/>
                <w:color w:val="auto"/>
                <w:sz w:val="24"/>
                <w:szCs w:val="24"/>
                <w:highlight w:val="none"/>
              </w:rPr>
              <w:t>为</w:t>
            </w:r>
            <w:r>
              <w:rPr>
                <w:rFonts w:hint="eastAsia" w:cs="Times New Roman"/>
                <w:b w:val="0"/>
                <w:bCs w:val="0"/>
                <w:color w:val="auto"/>
                <w:sz w:val="24"/>
                <w:szCs w:val="24"/>
                <w:highlight w:val="none"/>
                <w:lang w:val="en-US" w:eastAsia="zh-CN"/>
              </w:rPr>
              <w:t>50.07</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eastAsia" w:cs="Times New Roman"/>
                <w:b w:val="0"/>
                <w:bCs w:val="0"/>
                <w:color w:val="auto"/>
                <w:sz w:val="24"/>
                <w:szCs w:val="24"/>
                <w:highlight w:val="none"/>
                <w:lang w:val="en-US" w:eastAsia="zh-CN"/>
              </w:rPr>
              <w:t>15021</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/a）</w:t>
            </w:r>
            <w:r>
              <w:rPr>
                <w:rFonts w:hint="default" w:ascii="Times New Roman" w:hAnsi="Times New Roman" w:eastAsia="宋体" w:cs="Times New Roman"/>
                <w:b w:val="0"/>
                <w:bCs w:val="0"/>
                <w:color w:val="auto"/>
                <w:sz w:val="24"/>
                <w:szCs w:val="24"/>
                <w:highlight w:val="none"/>
                <w:lang w:val="en-US" w:eastAsia="zh-CN"/>
              </w:rPr>
              <w:t>。</w:t>
            </w:r>
          </w:p>
          <w:p w14:paraId="47D86B6A">
            <w:pPr>
              <w:pStyle w:val="10"/>
              <w:bidi w:val="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（6）</w:t>
            </w:r>
            <w:r>
              <w:rPr>
                <w:rFonts w:hint="eastAsia" w:cs="Times New Roman"/>
                <w:b w:val="0"/>
                <w:bCs w:val="0"/>
                <w:color w:val="auto"/>
                <w:sz w:val="24"/>
                <w:szCs w:val="24"/>
                <w:highlight w:val="none"/>
                <w:lang w:val="en-US" w:eastAsia="zh-CN"/>
              </w:rPr>
              <w:t>锅炉用水</w:t>
            </w:r>
            <w:r>
              <w:rPr>
                <w:rFonts w:hint="eastAsia" w:ascii="Times New Roman" w:hAnsi="Times New Roman" w:eastAsia="宋体" w:cs="Times New Roman"/>
                <w:b w:val="0"/>
                <w:bCs w:val="0"/>
                <w:color w:val="auto"/>
                <w:sz w:val="24"/>
                <w:szCs w:val="24"/>
                <w:highlight w:val="none"/>
                <w:lang w:val="en-US" w:eastAsia="zh-CN"/>
              </w:rPr>
              <w:t xml:space="preserve"> </w:t>
            </w:r>
          </w:p>
          <w:p w14:paraId="11AF9A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①</w:t>
            </w:r>
            <w:r>
              <w:rPr>
                <w:rFonts w:hint="eastAsia" w:ascii="Times New Roman" w:hAnsi="Times New Roman" w:cs="Times New Roman"/>
                <w:color w:val="auto"/>
                <w:sz w:val="24"/>
                <w:szCs w:val="24"/>
                <w:highlight w:val="none"/>
                <w:lang w:val="en-US" w:eastAsia="zh-CN"/>
              </w:rPr>
              <w:t>耗</w:t>
            </w:r>
            <w:r>
              <w:rPr>
                <w:rFonts w:hint="default" w:ascii="Times New Roman" w:hAnsi="Times New Roman" w:eastAsia="宋体" w:cs="Times New Roman"/>
                <w:color w:val="000000"/>
                <w:kern w:val="0"/>
                <w:sz w:val="24"/>
                <w:szCs w:val="24"/>
                <w:lang w:val="en-US" w:eastAsia="zh-CN" w:bidi="ar"/>
              </w:rPr>
              <w:t xml:space="preserve">水量 </w:t>
            </w:r>
          </w:p>
          <w:p w14:paraId="56C231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本项目本项目的热源主要为2台0.5t/h</w:t>
            </w:r>
            <w:r>
              <w:rPr>
                <w:rFonts w:hint="default" w:ascii="Times New Roman" w:hAnsi="Times New Roman" w:cs="Times New Roman"/>
                <w:color w:val="000000"/>
                <w:kern w:val="0"/>
                <w:sz w:val="24"/>
                <w:szCs w:val="24"/>
                <w:lang w:val="en-US" w:eastAsia="zh-CN" w:bidi="ar"/>
              </w:rPr>
              <w:t>燃气锅炉</w:t>
            </w:r>
            <w:r>
              <w:rPr>
                <w:rFonts w:hint="default" w:ascii="Times New Roman" w:hAnsi="Times New Roman" w:eastAsia="宋体" w:cs="Times New Roman"/>
                <w:color w:val="000000"/>
                <w:kern w:val="0"/>
                <w:sz w:val="24"/>
                <w:szCs w:val="24"/>
                <w:lang w:val="en-US" w:eastAsia="zh-CN" w:bidi="ar"/>
              </w:rPr>
              <w:t>，1台6t/h的</w:t>
            </w:r>
            <w:r>
              <w:rPr>
                <w:rFonts w:hint="default" w:ascii="Times New Roman" w:hAnsi="Times New Roman" w:cs="Times New Roman"/>
                <w:color w:val="000000"/>
                <w:kern w:val="0"/>
                <w:sz w:val="24"/>
                <w:szCs w:val="24"/>
                <w:lang w:val="en-US" w:eastAsia="zh-CN" w:bidi="ar"/>
              </w:rPr>
              <w:t>燃气锅炉</w:t>
            </w:r>
            <w:r>
              <w:rPr>
                <w:rFonts w:hint="default" w:ascii="Times New Roman" w:hAnsi="Times New Roman" w:eastAsia="宋体" w:cs="Times New Roman"/>
                <w:color w:val="000000"/>
                <w:kern w:val="0"/>
                <w:sz w:val="24"/>
                <w:szCs w:val="24"/>
                <w:lang w:val="en-US" w:eastAsia="zh-CN" w:bidi="ar"/>
              </w:rPr>
              <w:t>和1台4t/h</w:t>
            </w:r>
            <w:r>
              <w:rPr>
                <w:rFonts w:hint="default" w:ascii="Times New Roman" w:hAnsi="Times New Roman" w:cs="Times New Roman"/>
                <w:color w:val="000000"/>
                <w:kern w:val="0"/>
                <w:sz w:val="24"/>
                <w:szCs w:val="24"/>
                <w:lang w:val="en-US" w:eastAsia="zh-CN" w:bidi="ar"/>
              </w:rPr>
              <w:t>燃气锅炉</w:t>
            </w:r>
            <w:r>
              <w:rPr>
                <w:rFonts w:hint="default" w:ascii="Times New Roman" w:hAnsi="Times New Roman" w:eastAsia="宋体" w:cs="Times New Roman"/>
                <w:color w:val="000000"/>
                <w:kern w:val="0"/>
                <w:sz w:val="24"/>
                <w:szCs w:val="24"/>
                <w:lang w:val="en-US" w:eastAsia="zh-CN" w:bidi="ar"/>
              </w:rPr>
              <w:t xml:space="preserve">项目锅炉使用天然气为燃料，锅炉烟气无需进行喷淋脱硫，故项目无喷淋水产生。项目管道水汽损失按 3%计，项目锅炉利用后冷凝水回收率 60~70%（本项目取 65%），锅炉耗水量计算如下： </w:t>
            </w:r>
          </w:p>
          <w:p w14:paraId="76007F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eastAsia" w:ascii="Times New Roman" w:hAnsi="Times New Roman" w:cs="Times New Roman"/>
                <w:color w:val="auto"/>
                <w:sz w:val="24"/>
                <w:szCs w:val="24"/>
                <w:highlight w:val="none"/>
                <w:lang w:val="en-US" w:eastAsia="zh-CN"/>
              </w:rPr>
              <w:t>耗</w:t>
            </w:r>
            <w:r>
              <w:rPr>
                <w:rFonts w:hint="default" w:ascii="Times New Roman" w:hAnsi="Times New Roman" w:eastAsia="宋体" w:cs="Times New Roman"/>
                <w:color w:val="000000"/>
                <w:kern w:val="0"/>
                <w:sz w:val="24"/>
                <w:szCs w:val="24"/>
                <w:lang w:val="en-US" w:eastAsia="zh-CN" w:bidi="ar"/>
              </w:rPr>
              <w:t xml:space="preserve">水量=锅炉蒸发量+汽水损失量-冷凝水回收量（公式 1） </w:t>
            </w:r>
          </w:p>
          <w:p w14:paraId="2D8E61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汽水损失量=锅炉排污损失+管道汽水损失（公式 2） </w:t>
            </w:r>
          </w:p>
          <w:p w14:paraId="3FBFA7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项目所用燃气锅炉耗水量=（0.5×2+6+4）×8+9.11+（0.5×2+6+4）×8×3%-（0.5×2+6+4）×8×65%=42.55t/d（12765t/a）</w:t>
            </w:r>
          </w:p>
          <w:p w14:paraId="23B1B2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②</w:t>
            </w:r>
            <w:r>
              <w:rPr>
                <w:rFonts w:hint="default" w:ascii="Times New Roman" w:hAnsi="Times New Roman" w:eastAsia="宋体" w:cs="Times New Roman"/>
                <w:color w:val="000000"/>
                <w:kern w:val="0"/>
                <w:sz w:val="24"/>
                <w:szCs w:val="24"/>
                <w:lang w:val="en-US" w:eastAsia="zh-CN" w:bidi="ar"/>
              </w:rPr>
              <w:t xml:space="preserve">排水量 </w:t>
            </w:r>
          </w:p>
          <w:p w14:paraId="15ED0D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锅炉内外污水具体包括锅炉外污水及锅炉内污水。锅炉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 </w:t>
            </w:r>
          </w:p>
          <w:p w14:paraId="4051E7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同时锅炉运行过程中同样会产生锅炉排污水，是指通过向锅炉内投入一定数量的软水剂，使锅炉给水中的结垢物质转变成泥垢，然后通过锅炉排污将沉渣排出锅炉，从而达到减缓或防止水垢结生的目的。</w:t>
            </w:r>
          </w:p>
          <w:p w14:paraId="0FB65D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000000"/>
                <w:kern w:val="0"/>
                <w:sz w:val="24"/>
                <w:szCs w:val="24"/>
                <w:lang w:val="en-US" w:eastAsia="zh-CN" w:bidi="ar"/>
              </w:rPr>
              <w:t>根据《排放源统计调查产排污核算方法和系数手册》（公告 2021 年第 24号）中“4430 工业锅炉（热力生产和供应行业）产污系数表-工业废水量和化学需氧量”，燃气锅炉工业废水量（锅炉排污水+软化处理废水）产污系数为 13.56吨/万立方米-原料，COD</w:t>
            </w:r>
            <w:r>
              <w:rPr>
                <w:rFonts w:hint="default" w:ascii="Times New Roman" w:hAnsi="Times New Roman" w:eastAsia="宋体" w:cs="Times New Roman"/>
                <w:color w:val="000000"/>
                <w:kern w:val="0"/>
                <w:sz w:val="24"/>
                <w:szCs w:val="24"/>
                <w:vertAlign w:val="subscript"/>
                <w:lang w:val="en-US" w:eastAsia="zh-CN" w:bidi="ar"/>
              </w:rPr>
              <w:t>Cr</w:t>
            </w:r>
            <w:r>
              <w:rPr>
                <w:rFonts w:hint="default" w:ascii="Times New Roman" w:hAnsi="Times New Roman" w:eastAsia="宋体" w:cs="Times New Roman"/>
                <w:color w:val="000000"/>
                <w:kern w:val="0"/>
                <w:sz w:val="24"/>
                <w:szCs w:val="24"/>
                <w:lang w:val="en-US" w:eastAsia="zh-CN" w:bidi="ar"/>
              </w:rPr>
              <w:t>产污系数为1080克/万立方米-原料，项目</w:t>
            </w:r>
            <w:r>
              <w:rPr>
                <w:rFonts w:hint="default" w:ascii="Times New Roman" w:hAnsi="Times New Roman" w:cs="Times New Roman"/>
                <w:b w:val="0"/>
                <w:bCs w:val="0"/>
                <w:color w:val="auto"/>
                <w:sz w:val="24"/>
                <w:szCs w:val="24"/>
                <w:highlight w:val="none"/>
                <w:lang w:val="en-US" w:eastAsia="zh-CN"/>
              </w:rPr>
              <w:t>燃气锅炉</w:t>
            </w:r>
            <w:r>
              <w:rPr>
                <w:rFonts w:hint="default" w:ascii="Times New Roman" w:hAnsi="Times New Roman" w:eastAsia="宋体" w:cs="Times New Roman"/>
                <w:b w:val="0"/>
                <w:bCs w:val="0"/>
                <w:color w:val="auto"/>
                <w:sz w:val="24"/>
                <w:szCs w:val="24"/>
                <w:highlight w:val="none"/>
                <w:lang w:val="en-US" w:eastAsia="zh-CN"/>
              </w:rPr>
              <w:t>天然气用量</w:t>
            </w:r>
            <w:r>
              <w:rPr>
                <w:rFonts w:hint="default" w:ascii="Times New Roman" w:hAnsi="Times New Roman" w:cs="Times New Roman"/>
                <w:b w:val="0"/>
                <w:bCs w:val="0"/>
                <w:color w:val="auto"/>
                <w:sz w:val="24"/>
                <w:szCs w:val="24"/>
                <w:highlight w:val="none"/>
                <w:lang w:val="en-US" w:eastAsia="zh-CN"/>
              </w:rPr>
              <w:t>201.6</w:t>
            </w:r>
            <w:r>
              <w:rPr>
                <w:rFonts w:hint="default" w:ascii="Times New Roman" w:hAnsi="Times New Roman" w:eastAsia="宋体" w:cs="Times New Roman"/>
                <w:b w:val="0"/>
                <w:bCs w:val="0"/>
                <w:color w:val="auto"/>
                <w:sz w:val="24"/>
                <w:szCs w:val="24"/>
                <w:highlight w:val="none"/>
                <w:lang w:val="en-US" w:eastAsia="zh-CN"/>
              </w:rPr>
              <w:t>万m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color w:val="000000"/>
                <w:kern w:val="0"/>
                <w:sz w:val="24"/>
                <w:szCs w:val="24"/>
                <w:lang w:val="en-US" w:eastAsia="zh-CN" w:bidi="ar"/>
              </w:rPr>
              <w:t>，则</w:t>
            </w:r>
            <w:r>
              <w:rPr>
                <w:rFonts w:hint="eastAsia" w:cs="Times New Roman"/>
                <w:color w:val="000000"/>
                <w:kern w:val="0"/>
                <w:sz w:val="24"/>
                <w:szCs w:val="24"/>
                <w:lang w:val="en-US" w:eastAsia="zh-CN" w:bidi="ar"/>
              </w:rPr>
              <w:t>锅炉废水（</w:t>
            </w:r>
            <w:r>
              <w:rPr>
                <w:rFonts w:hint="default" w:ascii="Times New Roman" w:hAnsi="Times New Roman" w:eastAsia="宋体" w:cs="Times New Roman"/>
                <w:color w:val="000000"/>
                <w:kern w:val="0"/>
                <w:sz w:val="24"/>
                <w:szCs w:val="24"/>
                <w:lang w:val="en-US" w:eastAsia="zh-CN" w:bidi="ar"/>
              </w:rPr>
              <w:t>锅炉排产水+软化处理废水</w:t>
            </w:r>
            <w:r>
              <w:rPr>
                <w:rFonts w:hint="eastAsia" w:cs="Times New Roman"/>
                <w:color w:val="000000"/>
                <w:kern w:val="0"/>
                <w:sz w:val="24"/>
                <w:szCs w:val="24"/>
                <w:lang w:val="en-US" w:eastAsia="zh-CN" w:bidi="ar"/>
              </w:rPr>
              <w:t>）排放</w:t>
            </w:r>
            <w:r>
              <w:rPr>
                <w:rFonts w:hint="default" w:ascii="Times New Roman" w:hAnsi="Times New Roman" w:eastAsia="宋体" w:cs="Times New Roman"/>
                <w:color w:val="000000"/>
                <w:kern w:val="0"/>
                <w:sz w:val="24"/>
                <w:szCs w:val="24"/>
                <w:lang w:val="en-US" w:eastAsia="zh-CN" w:bidi="ar"/>
              </w:rPr>
              <w:t xml:space="preserve">量为 </w:t>
            </w:r>
            <w:r>
              <w:rPr>
                <w:rFonts w:hint="default" w:ascii="Times New Roman" w:hAnsi="Times New Roman" w:cs="Times New Roman"/>
                <w:b w:val="0"/>
                <w:bCs w:val="0"/>
                <w:color w:val="auto"/>
                <w:sz w:val="24"/>
                <w:szCs w:val="24"/>
                <w:highlight w:val="none"/>
                <w:lang w:val="en-US" w:eastAsia="zh-CN"/>
              </w:rPr>
              <w:t>9.11</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2733.70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其中</w:t>
            </w:r>
            <w:r>
              <w:rPr>
                <w:rFonts w:hint="default" w:ascii="Times New Roman" w:hAnsi="Times New Roman" w:eastAsia="宋体" w:cs="Times New Roman"/>
                <w:color w:val="000000"/>
                <w:kern w:val="0"/>
                <w:sz w:val="24"/>
                <w:szCs w:val="24"/>
                <w:lang w:val="en-US" w:eastAsia="zh-CN" w:bidi="ar"/>
              </w:rPr>
              <w:t>COD</w:t>
            </w:r>
            <w:r>
              <w:rPr>
                <w:rFonts w:hint="default" w:ascii="Times New Roman" w:hAnsi="Times New Roman" w:eastAsia="宋体" w:cs="Times New Roman"/>
                <w:color w:val="000000"/>
                <w:kern w:val="0"/>
                <w:sz w:val="24"/>
                <w:szCs w:val="24"/>
                <w:vertAlign w:val="subscript"/>
                <w:lang w:val="en-US" w:eastAsia="zh-CN" w:bidi="ar"/>
              </w:rPr>
              <w:t>Cr</w:t>
            </w:r>
            <w:r>
              <w:rPr>
                <w:rFonts w:hint="eastAsia" w:ascii="Times New Roman" w:hAnsi="Times New Roman" w:eastAsia="宋体" w:cs="Times New Roman"/>
                <w:color w:val="000000"/>
                <w:kern w:val="0"/>
                <w:sz w:val="24"/>
                <w:szCs w:val="24"/>
                <w:vertAlign w:val="baseline"/>
                <w:lang w:val="en-US" w:eastAsia="zh-CN" w:bidi="ar"/>
              </w:rPr>
              <w:t>产生量为0.2177t/a</w:t>
            </w:r>
            <w:r>
              <w:rPr>
                <w:rFonts w:hint="default" w:ascii="Times New Roman" w:hAnsi="Times New Roman" w:cs="Times New Roman"/>
                <w:b w:val="0"/>
                <w:bCs w:val="0"/>
                <w:color w:val="auto"/>
                <w:sz w:val="24"/>
                <w:szCs w:val="24"/>
                <w:highlight w:val="none"/>
                <w:lang w:eastAsia="zh-CN"/>
              </w:rPr>
              <w:t>。</w:t>
            </w:r>
          </w:p>
          <w:p w14:paraId="101C6389">
            <w:pPr>
              <w:spacing w:line="360" w:lineRule="auto"/>
              <w:ind w:firstLine="480" w:firstLineChars="200"/>
              <w:jc w:val="left"/>
              <w:rPr>
                <w:rFonts w:hint="default"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（7）冷库除霜水</w:t>
            </w:r>
          </w:p>
          <w:p w14:paraId="5F069F7C">
            <w:pPr>
              <w:spacing w:line="360" w:lineRule="auto"/>
              <w:ind w:firstLine="480" w:firstLineChars="200"/>
              <w:jc w:val="left"/>
              <w:rPr>
                <w:rFonts w:hint="default"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lang w:val="en-US" w:eastAsia="zh-CN"/>
              </w:rPr>
              <w:t>项目果蔬车间，肉类车间，预制菜车间均设有冷库，用于储存原料，根据业主提供资料，冷库每年大约需要除霜4次，每次产生的冷库除霜废水约为10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，则</w:t>
            </w:r>
            <w:r>
              <w:rPr>
                <w:rFonts w:hint="eastAsia" w:cs="Times New Roman"/>
                <w:b w:val="0"/>
                <w:bCs w:val="0"/>
                <w:color w:val="auto"/>
                <w:sz w:val="24"/>
                <w:szCs w:val="24"/>
                <w:highlight w:val="none"/>
                <w:lang w:val="en-US" w:eastAsia="zh-CN"/>
              </w:rPr>
              <w:t>冷库除霜废水</w:t>
            </w:r>
            <w:r>
              <w:rPr>
                <w:rFonts w:hint="eastAsia" w:ascii="Times New Roman" w:hAnsi="Times New Roman" w:cs="Times New Roman"/>
                <w:b w:val="0"/>
                <w:bCs w:val="0"/>
                <w:color w:val="auto"/>
                <w:sz w:val="24"/>
                <w:szCs w:val="24"/>
                <w:highlight w:val="none"/>
                <w:lang w:val="en-US" w:eastAsia="zh-CN"/>
              </w:rPr>
              <w:t>量为0.133</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default"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40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cs="Times New Roman"/>
                <w:b w:val="0"/>
                <w:bCs w:val="0"/>
                <w:color w:val="auto"/>
                <w:sz w:val="24"/>
                <w:szCs w:val="24"/>
                <w:highlight w:val="none"/>
                <w:lang w:eastAsia="zh-CN"/>
              </w:rPr>
              <w:t>）</w:t>
            </w:r>
            <w:r>
              <w:rPr>
                <w:rFonts w:hint="eastAsia" w:cs="Times New Roman"/>
                <w:b w:val="0"/>
                <w:bCs w:val="0"/>
                <w:color w:val="auto"/>
                <w:sz w:val="24"/>
                <w:szCs w:val="24"/>
                <w:highlight w:val="none"/>
                <w:lang w:eastAsia="zh-CN"/>
              </w:rPr>
              <w:t>。</w:t>
            </w:r>
          </w:p>
          <w:p w14:paraId="2E97DBCC">
            <w:pPr>
              <w:spacing w:line="360" w:lineRule="auto"/>
              <w:ind w:firstLine="482" w:firstLineChars="200"/>
              <w:jc w:val="left"/>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3、纯水制备用水</w:t>
            </w:r>
          </w:p>
          <w:p w14:paraId="277F2E07">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color w:val="auto"/>
                <w:sz w:val="24"/>
                <w:szCs w:val="24"/>
                <w:highlight w:val="none"/>
                <w:lang w:val="en-US" w:eastAsia="zh-CN"/>
              </w:rPr>
              <w:t>本项目纯水机制备的纯水</w:t>
            </w:r>
            <w:r>
              <w:rPr>
                <w:rFonts w:ascii="宋体" w:hAnsi="宋体" w:cs="宋体"/>
                <w:color w:val="auto"/>
                <w:sz w:val="24"/>
                <w:szCs w:val="24"/>
                <w:highlight w:val="none"/>
              </w:rPr>
              <w:t>主要</w:t>
            </w:r>
            <w:r>
              <w:rPr>
                <w:rFonts w:hint="eastAsia" w:ascii="宋体" w:hAnsi="宋体" w:cs="宋体"/>
                <w:color w:val="auto"/>
                <w:sz w:val="24"/>
                <w:szCs w:val="24"/>
                <w:highlight w:val="none"/>
                <w:lang w:val="en-US" w:eastAsia="zh-CN"/>
              </w:rPr>
              <w:t>为原料清洗用水和食品制作用水</w:t>
            </w:r>
            <w:r>
              <w:rPr>
                <w:rFonts w:hint="default" w:ascii="Times New Roman" w:hAnsi="Times New Roman" w:eastAsia="宋体" w:cs="Times New Roman"/>
                <w:color w:val="auto"/>
                <w:sz w:val="24"/>
                <w:highlight w:val="none"/>
              </w:rPr>
              <w:t>，纯水由自备的纯水机以自来水原水制得。纯水机采用二级反渗透处理系统，即利用压力表差为动力的膜分离过滤技术，过滤掉原水中无机盐、其他矿物质等杂质</w:t>
            </w:r>
            <w:r>
              <w:rPr>
                <w:rFonts w:hint="default" w:ascii="Times New Roman" w:hAnsi="Times New Roman" w:eastAsia="宋体" w:cs="Times New Roman"/>
                <w:color w:val="auto"/>
                <w:sz w:val="24"/>
                <w:highlight w:val="none"/>
                <w:lang w:eastAsia="zh-CN"/>
              </w:rPr>
              <w:t>。</w:t>
            </w:r>
          </w:p>
          <w:p w14:paraId="1FE73803">
            <w:pPr>
              <w:pStyle w:val="132"/>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textAlignment w:val="auto"/>
              <w:rPr>
                <w:rFonts w:hint="eastAsia" w:cs="Times New Roman"/>
                <w:b w:val="0"/>
                <w:bCs w:val="0"/>
                <w:color w:val="auto"/>
                <w:sz w:val="21"/>
                <w:szCs w:val="21"/>
                <w:highlight w:val="none"/>
                <w:lang w:val="en-US" w:eastAsia="zh-CN"/>
              </w:rPr>
            </w:pPr>
            <w:r>
              <w:rPr>
                <w:rFonts w:hint="default" w:ascii="Times New Roman" w:hAnsi="Times New Roman" w:eastAsia="宋体" w:cs="Times New Roman"/>
                <w:color w:val="auto"/>
                <w:sz w:val="24"/>
                <w:szCs w:val="24"/>
                <w:highlight w:val="none"/>
              </w:rPr>
              <w:t>本项目纯水制备</w:t>
            </w:r>
            <w:r>
              <w:rPr>
                <w:rFonts w:hint="default" w:ascii="Times New Roman" w:hAnsi="Times New Roman" w:eastAsia="宋体" w:cs="Times New Roman"/>
                <w:color w:val="auto"/>
                <w:sz w:val="24"/>
                <w:szCs w:val="24"/>
                <w:highlight w:val="none"/>
                <w:lang w:val="en-US" w:eastAsia="zh-CN"/>
              </w:rPr>
              <w:t>浓水</w:t>
            </w:r>
            <w:r>
              <w:rPr>
                <w:rFonts w:hint="default" w:ascii="Times New Roman" w:hAnsi="Times New Roman" w:eastAsia="宋体" w:cs="Times New Roman"/>
                <w:color w:val="auto"/>
                <w:sz w:val="24"/>
                <w:szCs w:val="24"/>
                <w:highlight w:val="none"/>
              </w:rPr>
              <w:t>的产生量约占原水的30%</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综上所述，</w:t>
            </w:r>
            <w:r>
              <w:rPr>
                <w:rFonts w:hint="default" w:ascii="Times New Roman" w:hAnsi="Times New Roman" w:eastAsia="宋体" w:cs="Times New Roman"/>
                <w:color w:val="auto"/>
                <w:sz w:val="24"/>
                <w:szCs w:val="24"/>
                <w:highlight w:val="none"/>
              </w:rPr>
              <w:t>项目总需纯水量约为</w:t>
            </w:r>
            <w:r>
              <w:rPr>
                <w:rFonts w:hint="eastAsia" w:ascii="Times New Roman" w:hAnsi="Times New Roman" w:cs="Times New Roman"/>
                <w:color w:val="auto"/>
                <w:sz w:val="24"/>
                <w:szCs w:val="24"/>
                <w:highlight w:val="none"/>
                <w:lang w:val="en-US" w:eastAsia="zh-CN"/>
              </w:rPr>
              <w:t>164760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549.2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lang w:val="zh-CN" w:eastAsia="zh-CN"/>
              </w:rPr>
              <w:t>制备纯水所需自来水量为</w:t>
            </w:r>
            <w:r>
              <w:rPr>
                <w:rFonts w:hint="default" w:ascii="Times New Roman" w:hAnsi="Times New Roman" w:cs="Times New Roman"/>
                <w:color w:val="auto"/>
                <w:sz w:val="24"/>
                <w:szCs w:val="24"/>
                <w:lang w:val="en-US" w:eastAsia="zh-CN"/>
              </w:rPr>
              <w:t>235371.43</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val="zh-CN" w:eastAsia="zh-CN"/>
              </w:rPr>
              <w:t>（</w:t>
            </w:r>
            <w:r>
              <w:rPr>
                <w:rFonts w:hint="default" w:ascii="Times New Roman" w:hAnsi="Times New Roman" w:cs="Times New Roman"/>
                <w:color w:val="auto"/>
                <w:sz w:val="24"/>
                <w:szCs w:val="24"/>
                <w:lang w:val="en-US" w:eastAsia="zh-CN"/>
              </w:rPr>
              <w:t>784.57</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highlight w:val="none"/>
              </w:rPr>
              <w:t>纯水制备</w:t>
            </w:r>
            <w:r>
              <w:rPr>
                <w:rFonts w:hint="default" w:ascii="Times New Roman" w:hAnsi="Times New Roman" w:eastAsia="宋体" w:cs="Times New Roman"/>
                <w:color w:val="auto"/>
                <w:sz w:val="24"/>
                <w:szCs w:val="24"/>
                <w:highlight w:val="none"/>
                <w:lang w:val="en-US" w:eastAsia="zh-CN"/>
              </w:rPr>
              <w:t>浓水</w:t>
            </w:r>
            <w:r>
              <w:rPr>
                <w:rFonts w:hint="default" w:ascii="Times New Roman" w:hAnsi="Times New Roman" w:eastAsia="宋体" w:cs="Times New Roman"/>
                <w:color w:val="auto"/>
                <w:sz w:val="24"/>
                <w:szCs w:val="24"/>
                <w:highlight w:val="none"/>
              </w:rPr>
              <w:t>产生量为</w:t>
            </w:r>
            <w:r>
              <w:rPr>
                <w:rFonts w:hint="default" w:ascii="Times New Roman" w:hAnsi="Times New Roman" w:cs="Times New Roman"/>
                <w:color w:val="auto"/>
                <w:sz w:val="24"/>
                <w:szCs w:val="24"/>
                <w:highlight w:val="none"/>
                <w:lang w:val="en-US" w:eastAsia="zh-CN"/>
              </w:rPr>
              <w:t>70611.43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val="en-US" w:eastAsia="zh-CN"/>
              </w:rPr>
              <w:t>235.37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highlight w:val="none"/>
                <w:lang w:val="en-US" w:eastAsia="zh-Hans"/>
              </w:rPr>
              <w:t>通过反渗透制备纯水产生的浓水主要</w:t>
            </w:r>
            <w:r>
              <w:rPr>
                <w:rFonts w:hint="default" w:ascii="Times New Roman" w:hAnsi="Times New Roman" w:cs="Times New Roman"/>
                <w:color w:val="auto"/>
                <w:sz w:val="24"/>
                <w:highlight w:val="none"/>
                <w:lang w:val="en-US" w:eastAsia="zh-CN"/>
              </w:rPr>
              <w:t>污染物为</w:t>
            </w:r>
            <w:r>
              <w:rPr>
                <w:rFonts w:hint="default" w:ascii="Times New Roman" w:hAnsi="Times New Roman" w:eastAsia="宋体" w:cs="Times New Roman"/>
                <w:color w:val="auto"/>
                <w:sz w:val="24"/>
                <w:highlight w:val="none"/>
                <w:lang w:val="en-US" w:eastAsia="zh-Hans"/>
              </w:rPr>
              <w:t>盐分</w:t>
            </w:r>
            <w:r>
              <w:rPr>
                <w:rFonts w:hint="default" w:ascii="Times New Roman" w:hAnsi="Times New Roman" w:cs="Times New Roman"/>
                <w:color w:val="auto"/>
                <w:sz w:val="24"/>
                <w:highlight w:val="none"/>
                <w:lang w:val="en-US" w:eastAsia="zh-CN"/>
              </w:rPr>
              <w:t>（全盐量约为500mg/L）和硬度</w:t>
            </w:r>
            <w:r>
              <w:rPr>
                <w:rFonts w:hint="default" w:ascii="Times New Roman" w:hAnsi="Times New Roman" w:eastAsia="宋体" w:cs="Times New Roman"/>
                <w:color w:val="auto"/>
                <w:sz w:val="24"/>
                <w:highlight w:val="none"/>
                <w:lang w:eastAsia="zh-Hans"/>
              </w:rPr>
              <w:t>，</w:t>
            </w:r>
            <w:r>
              <w:rPr>
                <w:rFonts w:hint="default" w:ascii="Times New Roman" w:hAnsi="Times New Roman" w:eastAsia="宋体" w:cs="Times New Roman"/>
                <w:color w:val="auto"/>
                <w:sz w:val="24"/>
                <w:highlight w:val="none"/>
                <w:lang w:val="en-US" w:eastAsia="zh-Hans"/>
              </w:rPr>
              <w:t>其水中杂质均附着在反渗透膜上</w:t>
            </w:r>
            <w:r>
              <w:rPr>
                <w:rFonts w:hint="default" w:ascii="Times New Roman" w:hAnsi="Times New Roman" w:eastAsia="宋体" w:cs="Times New Roman"/>
                <w:color w:val="auto"/>
                <w:sz w:val="24"/>
                <w:highlight w:val="none"/>
                <w:lang w:eastAsia="zh-Hans"/>
              </w:rPr>
              <w:t>，</w:t>
            </w:r>
            <w:r>
              <w:rPr>
                <w:rFonts w:hint="default" w:ascii="Times New Roman" w:hAnsi="Times New Roman" w:eastAsia="宋体" w:cs="Times New Roman"/>
                <w:color w:val="auto"/>
                <w:sz w:val="24"/>
                <w:highlight w:val="none"/>
                <w:lang w:val="en-US" w:eastAsia="zh-Hans"/>
              </w:rPr>
              <w:t>无其他污染物产生</w:t>
            </w:r>
            <w:r>
              <w:rPr>
                <w:rFonts w:hint="default" w:ascii="Times New Roman" w:hAnsi="Times New Roman" w:eastAsia="宋体" w:cs="Times New Roman"/>
                <w:color w:val="auto"/>
                <w:sz w:val="24"/>
                <w:szCs w:val="24"/>
                <w:highlight w:val="none"/>
                <w:lang w:val="en-US" w:eastAsia="zh-CN"/>
                <w:rPrChange w:id="0" w:author="刘肇中" w:date="2024-09-23T14:53:15Z">
                  <w:rPr>
                    <w:rFonts w:hint="default" w:ascii="Times New Roman" w:hAnsi="Times New Roman" w:eastAsia="宋体" w:cs="Times New Roman"/>
                    <w:color w:val="auto"/>
                    <w:sz w:val="24"/>
                    <w:highlight w:val="none"/>
                    <w:lang w:val="en-US" w:eastAsia="zh-CN"/>
                  </w:rPr>
                </w:rPrChange>
              </w:rPr>
              <w:t>。</w:t>
            </w:r>
            <w:r>
              <w:rPr>
                <w:rFonts w:hint="default" w:ascii="Times New Roman" w:hAnsi="Times New Roman" w:cs="Times New Roman"/>
                <w:color w:val="auto"/>
                <w:sz w:val="24"/>
                <w:szCs w:val="24"/>
                <w:highlight w:val="none"/>
                <w:lang w:val="en-US" w:eastAsia="zh-CN"/>
              </w:rPr>
              <w:t>纯水制备浓水部分</w:t>
            </w:r>
            <w:r>
              <w:rPr>
                <w:rFonts w:hint="default" w:ascii="Times New Roman" w:hAnsi="Times New Roman" w:cs="Times New Roman"/>
                <w:b w:val="0"/>
                <w:bCs w:val="0"/>
                <w:color w:val="auto"/>
                <w:sz w:val="24"/>
                <w:szCs w:val="24"/>
                <w:highlight w:val="none"/>
                <w:lang w:val="en-US" w:eastAsia="zh-CN"/>
              </w:rPr>
              <w:t>18776.25</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/a（</w:t>
            </w:r>
            <w:r>
              <w:rPr>
                <w:rFonts w:hint="default" w:ascii="Times New Roman" w:hAnsi="Times New Roman" w:cs="Times New Roman"/>
                <w:b w:val="0"/>
                <w:bCs w:val="0"/>
                <w:color w:val="auto"/>
                <w:sz w:val="24"/>
                <w:szCs w:val="24"/>
                <w:highlight w:val="none"/>
                <w:lang w:val="en-US" w:eastAsia="zh-CN"/>
              </w:rPr>
              <w:t>62.59</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default" w:ascii="Times New Roman" w:hAnsi="Times New Roman" w:cs="Times New Roman"/>
                <w:color w:val="auto"/>
                <w:sz w:val="24"/>
                <w:szCs w:val="24"/>
                <w:highlight w:val="none"/>
                <w:lang w:val="en-US" w:eastAsia="zh-CN"/>
              </w:rPr>
              <w:t>回</w:t>
            </w:r>
            <w:r>
              <w:rPr>
                <w:rFonts w:hint="eastAsia" w:ascii="Times New Roman" w:hAnsi="Times New Roman" w:cs="Times New Roman"/>
                <w:color w:val="auto"/>
                <w:sz w:val="24"/>
                <w:szCs w:val="24"/>
                <w:highlight w:val="none"/>
                <w:lang w:val="en-US" w:eastAsia="zh-CN"/>
              </w:rPr>
              <w:t>用于地面清洗用水</w:t>
            </w:r>
            <w:r>
              <w:rPr>
                <w:rFonts w:hint="default" w:ascii="Times New Roman" w:hAnsi="Times New Roman" w:cs="Times New Roman"/>
                <w:color w:val="auto"/>
                <w:sz w:val="24"/>
                <w:szCs w:val="24"/>
                <w:highlight w:val="none"/>
                <w:lang w:val="en-US" w:eastAsia="zh-CN"/>
              </w:rPr>
              <w:t>，其他部分</w:t>
            </w:r>
            <w:r>
              <w:rPr>
                <w:rFonts w:hint="eastAsia" w:ascii="Times New Roman" w:hAnsi="Times New Roman" w:cs="Times New Roman"/>
                <w:color w:val="auto"/>
                <w:sz w:val="24"/>
                <w:szCs w:val="24"/>
                <w:highlight w:val="none"/>
                <w:lang w:val="en-US" w:eastAsia="zh-CN"/>
              </w:rPr>
              <w:t>51835.18</w:t>
            </w:r>
            <w:r>
              <w:rPr>
                <w:rFonts w:hint="default" w:ascii="Times New Roman" w:hAnsi="Times New Roman" w:eastAsia="宋体"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vertAlign w:val="baseline"/>
                <w:lang w:val="en-US" w:eastAsia="zh-CN"/>
              </w:rPr>
              <w:t>172.78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p>
          <w:p w14:paraId="36CBAF3C">
            <w:pPr>
              <w:spacing w:line="360" w:lineRule="auto"/>
              <w:ind w:firstLine="482" w:firstLineChars="200"/>
              <w:jc w:val="lef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绿化用水</w:t>
            </w:r>
          </w:p>
          <w:p w14:paraId="658EE0BE">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厂区绿化面积约为</w:t>
            </w:r>
            <w:r>
              <w:rPr>
                <w:rFonts w:hint="eastAsia" w:ascii="Times New Roman" w:hAnsi="Times New Roman" w:cs="Times New Roman"/>
                <w:color w:val="000000" w:themeColor="text1"/>
                <w:sz w:val="24"/>
                <w:highlight w:val="none"/>
                <w:lang w:val="en-US" w:eastAsia="zh-CN"/>
                <w14:textFill>
                  <w14:solidFill>
                    <w14:schemeClr w14:val="tx1"/>
                  </w14:solidFill>
                </w14:textFill>
              </w:rPr>
              <w:t>10000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，绿化用水量按照2L/（m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·周）计算，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年绿化次数43次，</w:t>
            </w:r>
            <w:r>
              <w:rPr>
                <w:rFonts w:hint="default" w:ascii="Times New Roman" w:hAnsi="Times New Roman" w:eastAsia="宋体" w:cs="Times New Roman"/>
                <w:color w:val="000000" w:themeColor="text1"/>
                <w:sz w:val="24"/>
                <w:szCs w:val="24"/>
                <w:highlight w:val="none"/>
                <w14:textFill>
                  <w14:solidFill>
                    <w14:schemeClr w14:val="tx1"/>
                  </w14:solidFill>
                </w14:textFill>
              </w:rPr>
              <w:t>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绿化</w:t>
            </w:r>
            <w:r>
              <w:rPr>
                <w:rFonts w:hint="default" w:ascii="Times New Roman" w:hAnsi="Times New Roman" w:eastAsia="宋体" w:cs="Times New Roman"/>
                <w:color w:val="000000" w:themeColor="text1"/>
                <w:sz w:val="24"/>
                <w:szCs w:val="24"/>
                <w:highlight w:val="none"/>
                <w14:textFill>
                  <w14:solidFill>
                    <w14:schemeClr w14:val="tx1"/>
                  </w14:solidFill>
                </w14:textFill>
              </w:rPr>
              <w:t>用水量为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2.87</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860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绿化用水全部</w:t>
            </w:r>
            <w:r>
              <w:rPr>
                <w:rFonts w:hint="eastAsia" w:cs="Times New Roman"/>
                <w:color w:val="000000" w:themeColor="text1"/>
                <w:sz w:val="24"/>
                <w:szCs w:val="24"/>
                <w:highlight w:val="none"/>
                <w:lang w:val="en-US" w:eastAsia="zh-CN"/>
                <w14:textFill>
                  <w14:solidFill>
                    <w14:schemeClr w14:val="tx1"/>
                  </w14:solidFill>
                </w14:textFill>
              </w:rPr>
              <w:t>土壤吸收或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蒸发损耗，不产生废水。</w:t>
            </w:r>
          </w:p>
          <w:p w14:paraId="6EA817D9">
            <w:pPr>
              <w:pStyle w:val="132"/>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textAlignment w:val="auto"/>
              <w:rPr>
                <w:rFonts w:hint="default" w:ascii="Times New Roman" w:hAnsi="Times New Roman" w:cs="Times New Roman"/>
                <w:color w:val="FF0000"/>
                <w:sz w:val="24"/>
                <w:szCs w:val="24"/>
                <w:highlight w:val="none"/>
                <w:lang w:val="en-US" w:eastAsia="zh-CN"/>
              </w:rPr>
            </w:pPr>
            <w:r>
              <w:rPr>
                <w:rFonts w:hint="default" w:ascii="Times New Roman" w:hAnsi="Times New Roman" w:eastAsia="宋体" w:cs="Times New Roman"/>
                <w:color w:val="auto"/>
                <w:sz w:val="24"/>
                <w:szCs w:val="24"/>
                <w:highlight w:val="none"/>
              </w:rPr>
              <w:t>排水系统：</w:t>
            </w: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cs="Times New Roman"/>
                <w:color w:val="000000"/>
                <w:kern w:val="0"/>
                <w:sz w:val="24"/>
                <w:szCs w:val="24"/>
                <w:lang w:val="en-US" w:eastAsia="zh-CN" w:bidi="ar"/>
              </w:rPr>
              <w:t>和纯水制备浓水</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纯水制备浓水可</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生活污水经化粪池处理后和生产废水一起</w:t>
            </w:r>
            <w:r>
              <w:rPr>
                <w:rFonts w:hint="default" w:ascii="Times New Roman" w:hAnsi="Times New Roman" w:eastAsia="宋体" w:cs="Times New Roman"/>
                <w:color w:val="000000"/>
                <w:kern w:val="0"/>
                <w:sz w:val="24"/>
                <w:szCs w:val="24"/>
                <w:lang w:val="en-US" w:eastAsia="zh-CN" w:bidi="ar"/>
              </w:rPr>
              <w:t>进入自建污水处理站处理达标后通过污水管网进入宁都县第二污水处理厂处理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ascii="Times New Roman" w:hAnsi="Times New Roman"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000000"/>
                <w:kern w:val="0"/>
                <w:sz w:val="24"/>
                <w:szCs w:val="24"/>
                <w:lang w:val="en-US" w:eastAsia="zh-CN" w:bidi="ar"/>
              </w:rPr>
              <w:t>，最终排入梅江。</w:t>
            </w:r>
          </w:p>
        </w:tc>
      </w:tr>
    </w:tbl>
    <w:p w14:paraId="758C65D4">
      <w:pPr>
        <w:pStyle w:val="29"/>
        <w:adjustRightInd w:val="0"/>
        <w:snapToGrid w:val="0"/>
        <w:spacing w:before="0" w:beforeAutospacing="0" w:after="0" w:afterAutospacing="0"/>
        <w:jc w:val="center"/>
        <w:rPr>
          <w:rFonts w:hint="default" w:ascii="Times New Roman" w:hAnsi="Times New Roman" w:eastAsia="宋体" w:cs="Times New Roman"/>
          <w:color w:val="auto"/>
          <w:sz w:val="24"/>
          <w:szCs w:val="24"/>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10A9130">
      <w:pPr>
        <w:pStyle w:val="129"/>
        <w:bidi w:val="0"/>
        <w:rPr>
          <w:rFonts w:hint="default"/>
          <w:color w:val="auto"/>
          <w:sz w:val="24"/>
          <w:szCs w:val="24"/>
          <w:lang w:val="en-US" w:eastAsia="zh-CN"/>
        </w:rPr>
      </w:pPr>
      <w:r>
        <w:rPr>
          <w:rFonts w:hint="default"/>
          <w:color w:val="auto"/>
        </w:rPr>
        <w:t>表</w:t>
      </w:r>
      <w:r>
        <w:rPr>
          <w:rFonts w:hint="default"/>
          <w:color w:val="auto"/>
          <w:lang w:val="en-US" w:eastAsia="zh-CN"/>
        </w:rPr>
        <w:t>2-</w:t>
      </w:r>
      <w:r>
        <w:rPr>
          <w:rFonts w:hint="eastAsia"/>
          <w:color w:val="auto"/>
          <w:lang w:val="en-US" w:eastAsia="zh-CN"/>
        </w:rPr>
        <w:t xml:space="preserve">6 </w:t>
      </w:r>
      <w:r>
        <w:rPr>
          <w:rFonts w:hint="default"/>
          <w:color w:val="auto"/>
        </w:rPr>
        <w:t xml:space="preserve"> 本项目</w:t>
      </w:r>
      <w:r>
        <w:rPr>
          <w:rFonts w:hint="default"/>
          <w:color w:val="auto"/>
          <w:lang w:val="en-US" w:eastAsia="zh-CN"/>
        </w:rPr>
        <w:t>用水平衡表</w:t>
      </w:r>
    </w:p>
    <w:tbl>
      <w:tblPr>
        <w:tblStyle w:val="33"/>
        <w:tblW w:w="46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3"/>
        <w:gridCol w:w="2248"/>
        <w:gridCol w:w="1017"/>
        <w:gridCol w:w="1000"/>
        <w:gridCol w:w="1417"/>
        <w:gridCol w:w="883"/>
        <w:gridCol w:w="867"/>
        <w:gridCol w:w="1151"/>
        <w:gridCol w:w="1027"/>
        <w:gridCol w:w="1083"/>
        <w:gridCol w:w="1566"/>
      </w:tblGrid>
      <w:tr w14:paraId="5CA1E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731" w:type="dxa"/>
            <w:gridSpan w:val="2"/>
            <w:vMerge w:val="restart"/>
            <w:tcBorders>
              <w:tl2br w:val="nil"/>
              <w:tr2bl w:val="nil"/>
            </w:tcBorders>
            <w:noWrap w:val="0"/>
            <w:vAlign w:val="center"/>
          </w:tcPr>
          <w:p w14:paraId="66535C6F">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rPr>
            </w:pPr>
            <w:r>
              <w:rPr>
                <w:rFonts w:hint="default"/>
                <w:color w:val="auto"/>
              </w:rPr>
              <w:t>项目</w:t>
            </w:r>
          </w:p>
        </w:tc>
        <w:tc>
          <w:tcPr>
            <w:tcW w:w="1017" w:type="dxa"/>
            <w:vMerge w:val="restart"/>
            <w:tcBorders>
              <w:tl2br w:val="nil"/>
              <w:tr2bl w:val="nil"/>
            </w:tcBorders>
            <w:noWrap w:val="0"/>
            <w:vAlign w:val="center"/>
          </w:tcPr>
          <w:p w14:paraId="43838A0E">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rPr>
            </w:pPr>
            <w:r>
              <w:rPr>
                <w:rFonts w:hint="default"/>
                <w:color w:val="auto"/>
              </w:rPr>
              <w:t>总用水</w:t>
            </w:r>
          </w:p>
        </w:tc>
        <w:tc>
          <w:tcPr>
            <w:tcW w:w="3300" w:type="dxa"/>
            <w:gridSpan w:val="3"/>
            <w:tcBorders>
              <w:tl2br w:val="nil"/>
              <w:tr2bl w:val="nil"/>
            </w:tcBorders>
            <w:noWrap w:val="0"/>
            <w:vAlign w:val="center"/>
          </w:tcPr>
          <w:p w14:paraId="64185390">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rPr>
            </w:pPr>
            <w:r>
              <w:rPr>
                <w:rFonts w:hint="default"/>
                <w:color w:val="auto"/>
              </w:rPr>
              <w:t>入方</w:t>
            </w:r>
            <w:r>
              <w:rPr>
                <w:rFonts w:hint="default"/>
                <w:color w:val="auto"/>
                <w:lang w:eastAsia="zh-CN"/>
              </w:rPr>
              <w:t>（</w:t>
            </w:r>
            <w:r>
              <w:rPr>
                <w:rFonts w:hint="eastAsia"/>
                <w:color w:val="auto"/>
                <w:lang w:val="en-US" w:eastAsia="zh-CN"/>
              </w:rPr>
              <w:t>t</w:t>
            </w:r>
            <w:r>
              <w:rPr>
                <w:rFonts w:hint="default"/>
                <w:color w:val="auto"/>
                <w:lang w:val="en-US" w:eastAsia="zh-CN"/>
              </w:rPr>
              <w:t>/d</w:t>
            </w:r>
            <w:r>
              <w:rPr>
                <w:rFonts w:hint="default"/>
                <w:color w:val="auto"/>
                <w:lang w:eastAsia="zh-CN"/>
              </w:rPr>
              <w:t>）</w:t>
            </w:r>
          </w:p>
        </w:tc>
        <w:tc>
          <w:tcPr>
            <w:tcW w:w="4128" w:type="dxa"/>
            <w:gridSpan w:val="4"/>
            <w:tcBorders>
              <w:tl2br w:val="nil"/>
              <w:tr2bl w:val="nil"/>
            </w:tcBorders>
            <w:noWrap w:val="0"/>
            <w:vAlign w:val="center"/>
          </w:tcPr>
          <w:p w14:paraId="30E29B04">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rPr>
            </w:pPr>
            <w:r>
              <w:rPr>
                <w:rFonts w:hint="default"/>
                <w:color w:val="auto"/>
              </w:rPr>
              <w:t>出方</w:t>
            </w:r>
            <w:r>
              <w:rPr>
                <w:rFonts w:hint="default"/>
                <w:color w:val="auto"/>
                <w:lang w:eastAsia="zh-CN"/>
              </w:rPr>
              <w:t>（</w:t>
            </w:r>
            <w:r>
              <w:rPr>
                <w:rFonts w:hint="eastAsia"/>
                <w:color w:val="auto"/>
                <w:lang w:val="en-US" w:eastAsia="zh-CN"/>
              </w:rPr>
              <w:t>t</w:t>
            </w:r>
            <w:r>
              <w:rPr>
                <w:rFonts w:hint="default"/>
                <w:color w:val="auto"/>
                <w:lang w:val="en-US" w:eastAsia="zh-CN"/>
              </w:rPr>
              <w:t>/d</w:t>
            </w:r>
            <w:r>
              <w:rPr>
                <w:rFonts w:hint="default"/>
                <w:color w:val="auto"/>
                <w:lang w:eastAsia="zh-CN"/>
              </w:rPr>
              <w:t>）</w:t>
            </w:r>
          </w:p>
        </w:tc>
        <w:tc>
          <w:tcPr>
            <w:tcW w:w="1566" w:type="dxa"/>
            <w:tcBorders>
              <w:tl2br w:val="nil"/>
              <w:tr2bl w:val="nil"/>
            </w:tcBorders>
            <w:noWrap w:val="0"/>
            <w:vAlign w:val="center"/>
          </w:tcPr>
          <w:p w14:paraId="35903453">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备注</w:t>
            </w:r>
          </w:p>
        </w:tc>
      </w:tr>
      <w:tr w14:paraId="748B1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731" w:type="dxa"/>
            <w:gridSpan w:val="2"/>
            <w:vMerge w:val="continue"/>
            <w:tcBorders>
              <w:tl2br w:val="nil"/>
              <w:tr2bl w:val="nil"/>
            </w:tcBorders>
            <w:noWrap w:val="0"/>
            <w:vAlign w:val="center"/>
          </w:tcPr>
          <w:p w14:paraId="7D13A7EC">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rPr>
            </w:pPr>
          </w:p>
        </w:tc>
        <w:tc>
          <w:tcPr>
            <w:tcW w:w="1017" w:type="dxa"/>
            <w:vMerge w:val="continue"/>
            <w:tcBorders>
              <w:tl2br w:val="nil"/>
              <w:tr2bl w:val="nil"/>
            </w:tcBorders>
            <w:noWrap w:val="0"/>
            <w:vAlign w:val="center"/>
          </w:tcPr>
          <w:p w14:paraId="539695DB">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rPr>
            </w:pPr>
          </w:p>
        </w:tc>
        <w:tc>
          <w:tcPr>
            <w:tcW w:w="1000" w:type="dxa"/>
            <w:tcBorders>
              <w:tl2br w:val="nil"/>
              <w:tr2bl w:val="nil"/>
            </w:tcBorders>
            <w:noWrap w:val="0"/>
            <w:vAlign w:val="center"/>
          </w:tcPr>
          <w:p w14:paraId="6EE627BA">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default"/>
                <w:color w:val="auto"/>
                <w:lang w:val="en-US" w:eastAsia="zh-CN"/>
              </w:rPr>
              <w:t>新鲜水</w:t>
            </w:r>
          </w:p>
        </w:tc>
        <w:tc>
          <w:tcPr>
            <w:tcW w:w="1417" w:type="dxa"/>
            <w:tcBorders>
              <w:tl2br w:val="nil"/>
              <w:tr2bl w:val="nil"/>
            </w:tcBorders>
            <w:noWrap w:val="0"/>
            <w:vAlign w:val="center"/>
          </w:tcPr>
          <w:p w14:paraId="31EF0340">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上一工序带入水</w:t>
            </w:r>
          </w:p>
        </w:tc>
        <w:tc>
          <w:tcPr>
            <w:tcW w:w="883" w:type="dxa"/>
            <w:tcBorders>
              <w:tl2br w:val="nil"/>
              <w:tr2bl w:val="nil"/>
            </w:tcBorders>
            <w:noWrap w:val="0"/>
            <w:vAlign w:val="center"/>
          </w:tcPr>
          <w:p w14:paraId="4CA2355D">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rPr>
            </w:pPr>
            <w:r>
              <w:rPr>
                <w:rFonts w:hint="default"/>
                <w:color w:val="auto"/>
              </w:rPr>
              <w:t>循环水</w:t>
            </w:r>
          </w:p>
        </w:tc>
        <w:tc>
          <w:tcPr>
            <w:tcW w:w="867" w:type="dxa"/>
            <w:tcBorders>
              <w:tl2br w:val="nil"/>
              <w:tr2bl w:val="nil"/>
            </w:tcBorders>
            <w:noWrap w:val="0"/>
            <w:vAlign w:val="center"/>
          </w:tcPr>
          <w:p w14:paraId="42B14423">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default"/>
                <w:color w:val="auto"/>
                <w:lang w:val="en-US" w:eastAsia="zh-CN"/>
              </w:rPr>
              <w:t>回用</w:t>
            </w:r>
            <w:r>
              <w:rPr>
                <w:rFonts w:hint="eastAsia"/>
                <w:color w:val="auto"/>
                <w:lang w:val="en-US" w:eastAsia="zh-CN"/>
              </w:rPr>
              <w:t>水</w:t>
            </w:r>
          </w:p>
        </w:tc>
        <w:tc>
          <w:tcPr>
            <w:tcW w:w="1151" w:type="dxa"/>
            <w:tcBorders>
              <w:tl2br w:val="nil"/>
              <w:tr2bl w:val="nil"/>
            </w:tcBorders>
            <w:noWrap w:val="0"/>
            <w:vAlign w:val="center"/>
          </w:tcPr>
          <w:p w14:paraId="11C39551">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eastAsia="zh-CN"/>
              </w:rPr>
            </w:pPr>
            <w:r>
              <w:rPr>
                <w:rFonts w:hint="eastAsia"/>
                <w:color w:val="auto"/>
                <w:lang w:val="en-US" w:eastAsia="zh-CN"/>
              </w:rPr>
              <w:t>下一工序用水</w:t>
            </w:r>
          </w:p>
        </w:tc>
        <w:tc>
          <w:tcPr>
            <w:tcW w:w="1027" w:type="dxa"/>
            <w:tcBorders>
              <w:tl2br w:val="nil"/>
              <w:tr2bl w:val="nil"/>
            </w:tcBorders>
            <w:noWrap w:val="0"/>
            <w:vAlign w:val="center"/>
          </w:tcPr>
          <w:p w14:paraId="0DA4438C">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default"/>
                <w:color w:val="auto"/>
                <w:lang w:eastAsia="zh-CN"/>
              </w:rPr>
              <w:t>损耗</w:t>
            </w:r>
          </w:p>
        </w:tc>
        <w:tc>
          <w:tcPr>
            <w:tcW w:w="1083" w:type="dxa"/>
            <w:tcBorders>
              <w:tl2br w:val="nil"/>
              <w:tr2bl w:val="nil"/>
            </w:tcBorders>
            <w:noWrap w:val="0"/>
            <w:vAlign w:val="center"/>
          </w:tcPr>
          <w:p w14:paraId="13742F1A">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rPr>
            </w:pPr>
            <w:r>
              <w:rPr>
                <w:rFonts w:hint="default"/>
                <w:color w:val="auto"/>
                <w:lang w:val="en-US" w:eastAsia="zh-CN"/>
              </w:rPr>
              <w:t>排放</w:t>
            </w:r>
          </w:p>
        </w:tc>
        <w:tc>
          <w:tcPr>
            <w:tcW w:w="1566" w:type="dxa"/>
            <w:tcBorders>
              <w:tl2br w:val="nil"/>
              <w:tr2bl w:val="nil"/>
            </w:tcBorders>
            <w:noWrap w:val="0"/>
            <w:vAlign w:val="center"/>
          </w:tcPr>
          <w:p w14:paraId="4628C301">
            <w:pPr>
              <w:pStyle w:val="12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w:t>
            </w:r>
          </w:p>
        </w:tc>
      </w:tr>
      <w:tr w14:paraId="33BA7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731" w:type="dxa"/>
            <w:gridSpan w:val="2"/>
            <w:tcBorders>
              <w:tl2br w:val="nil"/>
              <w:tr2bl w:val="nil"/>
            </w:tcBorders>
            <w:noWrap w:val="0"/>
            <w:vAlign w:val="center"/>
          </w:tcPr>
          <w:p w14:paraId="796118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rPr>
              <w:t>生活用水</w:t>
            </w:r>
          </w:p>
        </w:tc>
        <w:tc>
          <w:tcPr>
            <w:tcW w:w="1017" w:type="dxa"/>
            <w:tcBorders>
              <w:tl2br w:val="nil"/>
              <w:tr2bl w:val="nil"/>
            </w:tcBorders>
            <w:noWrap w:val="0"/>
            <w:vAlign w:val="center"/>
          </w:tcPr>
          <w:p w14:paraId="222FE48A">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sz w:val="21"/>
                <w:szCs w:val="21"/>
                <w:lang w:val="en-US" w:eastAsia="zh-CN"/>
              </w:rPr>
              <w:t>40.5</w:t>
            </w:r>
          </w:p>
        </w:tc>
        <w:tc>
          <w:tcPr>
            <w:tcW w:w="1000" w:type="dxa"/>
            <w:tcBorders>
              <w:tl2br w:val="nil"/>
              <w:tr2bl w:val="nil"/>
            </w:tcBorders>
            <w:noWrap w:val="0"/>
            <w:vAlign w:val="center"/>
          </w:tcPr>
          <w:p w14:paraId="30B29ECE">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sz w:val="21"/>
                <w:szCs w:val="21"/>
                <w:lang w:val="en-US" w:eastAsia="zh-CN"/>
              </w:rPr>
              <w:t>40.5</w:t>
            </w:r>
          </w:p>
        </w:tc>
        <w:tc>
          <w:tcPr>
            <w:tcW w:w="1417" w:type="dxa"/>
            <w:tcBorders>
              <w:tl2br w:val="nil"/>
              <w:tr2bl w:val="nil"/>
            </w:tcBorders>
            <w:noWrap w:val="0"/>
            <w:vAlign w:val="center"/>
          </w:tcPr>
          <w:p w14:paraId="7683CE7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0</w:t>
            </w:r>
          </w:p>
        </w:tc>
        <w:tc>
          <w:tcPr>
            <w:tcW w:w="883" w:type="dxa"/>
            <w:tcBorders>
              <w:tl2br w:val="nil"/>
              <w:tr2bl w:val="nil"/>
            </w:tcBorders>
            <w:noWrap w:val="0"/>
            <w:vAlign w:val="center"/>
          </w:tcPr>
          <w:p w14:paraId="0A434074">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0</w:t>
            </w:r>
          </w:p>
        </w:tc>
        <w:tc>
          <w:tcPr>
            <w:tcW w:w="867" w:type="dxa"/>
            <w:tcBorders>
              <w:tl2br w:val="nil"/>
              <w:tr2bl w:val="nil"/>
            </w:tcBorders>
            <w:noWrap w:val="0"/>
            <w:vAlign w:val="center"/>
          </w:tcPr>
          <w:p w14:paraId="39999BE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sz w:val="21"/>
                <w:szCs w:val="21"/>
                <w:lang w:val="en-US" w:eastAsia="zh-CN"/>
              </w:rPr>
              <w:t>0</w:t>
            </w:r>
          </w:p>
        </w:tc>
        <w:tc>
          <w:tcPr>
            <w:tcW w:w="1151" w:type="dxa"/>
            <w:tcBorders>
              <w:tl2br w:val="nil"/>
              <w:tr2bl w:val="nil"/>
            </w:tcBorders>
            <w:noWrap w:val="0"/>
            <w:vAlign w:val="center"/>
          </w:tcPr>
          <w:p w14:paraId="5EB3A242">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sz w:val="21"/>
                <w:szCs w:val="21"/>
                <w:lang w:val="en-US" w:eastAsia="zh-CN"/>
              </w:rPr>
              <w:t>0</w:t>
            </w:r>
          </w:p>
        </w:tc>
        <w:tc>
          <w:tcPr>
            <w:tcW w:w="1027" w:type="dxa"/>
            <w:tcBorders>
              <w:tl2br w:val="nil"/>
              <w:tr2bl w:val="nil"/>
            </w:tcBorders>
            <w:noWrap w:val="0"/>
            <w:vAlign w:val="center"/>
          </w:tcPr>
          <w:p w14:paraId="3EDA4648">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sz w:val="21"/>
                <w:szCs w:val="21"/>
                <w:lang w:val="en-US" w:eastAsia="zh-CN"/>
              </w:rPr>
              <w:t>8.1</w:t>
            </w:r>
          </w:p>
        </w:tc>
        <w:tc>
          <w:tcPr>
            <w:tcW w:w="1083" w:type="dxa"/>
            <w:tcBorders>
              <w:tl2br w:val="nil"/>
              <w:tr2bl w:val="nil"/>
            </w:tcBorders>
            <w:noWrap w:val="0"/>
            <w:vAlign w:val="center"/>
          </w:tcPr>
          <w:p w14:paraId="4E35CFA1">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auto"/>
                <w:lang w:val="en-US" w:eastAsia="zh-CN"/>
              </w:rPr>
            </w:pPr>
            <w:r>
              <w:rPr>
                <w:rFonts w:hint="eastAsia"/>
                <w:color w:val="auto"/>
                <w:lang w:val="en-US" w:eastAsia="zh-CN"/>
              </w:rPr>
              <w:t>32.4</w:t>
            </w:r>
          </w:p>
        </w:tc>
        <w:tc>
          <w:tcPr>
            <w:tcW w:w="1566" w:type="dxa"/>
            <w:tcBorders>
              <w:tl2br w:val="nil"/>
              <w:tr2bl w:val="nil"/>
            </w:tcBorders>
            <w:noWrap w:val="0"/>
            <w:vAlign w:val="center"/>
          </w:tcPr>
          <w:p w14:paraId="477254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w:t>
            </w:r>
          </w:p>
        </w:tc>
      </w:tr>
      <w:tr w14:paraId="189B1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83" w:type="dxa"/>
            <w:vMerge w:val="restart"/>
            <w:tcBorders>
              <w:tl2br w:val="nil"/>
              <w:tr2bl w:val="nil"/>
            </w:tcBorders>
            <w:noWrap w:val="0"/>
            <w:vAlign w:val="center"/>
          </w:tcPr>
          <w:p w14:paraId="043A7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color w:val="auto"/>
                <w:lang w:val="en-US" w:eastAsia="zh-CN"/>
              </w:rPr>
              <w:t>生产用水</w:t>
            </w:r>
          </w:p>
        </w:tc>
        <w:tc>
          <w:tcPr>
            <w:tcW w:w="2248" w:type="dxa"/>
            <w:tcBorders>
              <w:tl2br w:val="nil"/>
              <w:tr2bl w:val="nil"/>
            </w:tcBorders>
            <w:noWrap w:val="0"/>
            <w:vAlign w:val="center"/>
          </w:tcPr>
          <w:p w14:paraId="2A2EE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lang w:val="en-US" w:eastAsia="zh-CN"/>
              </w:rPr>
            </w:pPr>
            <w:r>
              <w:rPr>
                <w:rFonts w:hint="eastAsia" w:cs="Times New Roman"/>
                <w:color w:val="auto"/>
                <w:lang w:val="en-US" w:eastAsia="zh-CN"/>
              </w:rPr>
              <w:t>解冻用水</w:t>
            </w:r>
          </w:p>
        </w:tc>
        <w:tc>
          <w:tcPr>
            <w:tcW w:w="1017" w:type="dxa"/>
            <w:tcBorders>
              <w:tl2br w:val="nil"/>
              <w:tr2bl w:val="nil"/>
            </w:tcBorders>
            <w:noWrap w:val="0"/>
            <w:vAlign w:val="center"/>
          </w:tcPr>
          <w:p w14:paraId="1D0E0D2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75</w:t>
            </w:r>
          </w:p>
        </w:tc>
        <w:tc>
          <w:tcPr>
            <w:tcW w:w="1000" w:type="dxa"/>
            <w:tcBorders>
              <w:tl2br w:val="nil"/>
              <w:tr2bl w:val="nil"/>
            </w:tcBorders>
            <w:noWrap w:val="0"/>
            <w:vAlign w:val="center"/>
          </w:tcPr>
          <w:p w14:paraId="2EEBD814">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75</w:t>
            </w:r>
          </w:p>
        </w:tc>
        <w:tc>
          <w:tcPr>
            <w:tcW w:w="1417" w:type="dxa"/>
            <w:tcBorders>
              <w:tl2br w:val="nil"/>
              <w:tr2bl w:val="nil"/>
            </w:tcBorders>
            <w:noWrap w:val="0"/>
            <w:vAlign w:val="center"/>
          </w:tcPr>
          <w:p w14:paraId="5B52DC0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883" w:type="dxa"/>
            <w:tcBorders>
              <w:tl2br w:val="nil"/>
              <w:tr2bl w:val="nil"/>
            </w:tcBorders>
            <w:noWrap w:val="0"/>
            <w:vAlign w:val="center"/>
          </w:tcPr>
          <w:p w14:paraId="38A8B9AA">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867" w:type="dxa"/>
            <w:tcBorders>
              <w:tl2br w:val="nil"/>
              <w:tr2bl w:val="nil"/>
            </w:tcBorders>
            <w:noWrap w:val="0"/>
            <w:vAlign w:val="center"/>
          </w:tcPr>
          <w:p w14:paraId="76C5B420">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1151" w:type="dxa"/>
            <w:tcBorders>
              <w:tl2br w:val="nil"/>
              <w:tr2bl w:val="nil"/>
            </w:tcBorders>
            <w:noWrap w:val="0"/>
            <w:vAlign w:val="center"/>
          </w:tcPr>
          <w:p w14:paraId="0917867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1027" w:type="dxa"/>
            <w:tcBorders>
              <w:tl2br w:val="nil"/>
              <w:tr2bl w:val="nil"/>
            </w:tcBorders>
            <w:noWrap w:val="0"/>
            <w:vAlign w:val="center"/>
          </w:tcPr>
          <w:p w14:paraId="18C32B8A">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7.5</w:t>
            </w:r>
          </w:p>
        </w:tc>
        <w:tc>
          <w:tcPr>
            <w:tcW w:w="1083" w:type="dxa"/>
            <w:tcBorders>
              <w:tl2br w:val="nil"/>
              <w:tr2bl w:val="nil"/>
            </w:tcBorders>
            <w:noWrap w:val="0"/>
            <w:vAlign w:val="center"/>
          </w:tcPr>
          <w:p w14:paraId="0E7A77A7">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67.5</w:t>
            </w:r>
          </w:p>
        </w:tc>
        <w:tc>
          <w:tcPr>
            <w:tcW w:w="1566" w:type="dxa"/>
            <w:tcBorders>
              <w:tl2br w:val="nil"/>
              <w:tr2bl w:val="nil"/>
            </w:tcBorders>
            <w:noWrap w:val="0"/>
            <w:vAlign w:val="center"/>
          </w:tcPr>
          <w:p w14:paraId="0F708D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lang w:val="en-US" w:eastAsia="zh-CN"/>
              </w:rPr>
            </w:pPr>
            <w:r>
              <w:rPr>
                <w:rFonts w:hint="eastAsia"/>
                <w:color w:val="auto"/>
                <w:lang w:val="en-US" w:eastAsia="zh-CN"/>
              </w:rPr>
              <w:t>/</w:t>
            </w:r>
          </w:p>
        </w:tc>
      </w:tr>
      <w:tr w14:paraId="02B0D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83" w:type="dxa"/>
            <w:vMerge w:val="continue"/>
            <w:tcBorders>
              <w:tl2br w:val="nil"/>
              <w:tr2bl w:val="nil"/>
            </w:tcBorders>
            <w:noWrap w:val="0"/>
            <w:vAlign w:val="center"/>
          </w:tcPr>
          <w:p w14:paraId="1BC310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p>
        </w:tc>
        <w:tc>
          <w:tcPr>
            <w:tcW w:w="2248" w:type="dxa"/>
            <w:tcBorders>
              <w:tl2br w:val="nil"/>
              <w:tr2bl w:val="nil"/>
            </w:tcBorders>
            <w:noWrap w:val="0"/>
            <w:vAlign w:val="center"/>
          </w:tcPr>
          <w:p w14:paraId="0FCABD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原料清洗用水</w:t>
            </w:r>
          </w:p>
        </w:tc>
        <w:tc>
          <w:tcPr>
            <w:tcW w:w="1017" w:type="dxa"/>
            <w:tcBorders>
              <w:tl2br w:val="nil"/>
              <w:tr2bl w:val="nil"/>
            </w:tcBorders>
            <w:noWrap w:val="0"/>
            <w:vAlign w:val="center"/>
          </w:tcPr>
          <w:p w14:paraId="47FD20CA">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sz w:val="21"/>
                <w:szCs w:val="21"/>
                <w:lang w:val="en-US" w:eastAsia="zh-CN"/>
              </w:rPr>
              <w:t>308.33</w:t>
            </w:r>
          </w:p>
        </w:tc>
        <w:tc>
          <w:tcPr>
            <w:tcW w:w="1000" w:type="dxa"/>
            <w:tcBorders>
              <w:tl2br w:val="nil"/>
              <w:tr2bl w:val="nil"/>
            </w:tcBorders>
            <w:noWrap w:val="0"/>
            <w:vAlign w:val="center"/>
          </w:tcPr>
          <w:p w14:paraId="77AB54F1">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0</w:t>
            </w:r>
          </w:p>
        </w:tc>
        <w:tc>
          <w:tcPr>
            <w:tcW w:w="1417" w:type="dxa"/>
            <w:tcBorders>
              <w:tl2br w:val="nil"/>
              <w:tr2bl w:val="nil"/>
            </w:tcBorders>
            <w:shd w:val="clear" w:color="auto" w:fill="auto"/>
            <w:noWrap w:val="0"/>
            <w:vAlign w:val="center"/>
          </w:tcPr>
          <w:p w14:paraId="2C0B46BE">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308.33</w:t>
            </w:r>
          </w:p>
        </w:tc>
        <w:tc>
          <w:tcPr>
            <w:tcW w:w="883" w:type="dxa"/>
            <w:tcBorders>
              <w:tl2br w:val="nil"/>
              <w:tr2bl w:val="nil"/>
            </w:tcBorders>
            <w:noWrap w:val="0"/>
            <w:vAlign w:val="center"/>
          </w:tcPr>
          <w:p w14:paraId="1FBDA0A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0</w:t>
            </w:r>
          </w:p>
        </w:tc>
        <w:tc>
          <w:tcPr>
            <w:tcW w:w="867" w:type="dxa"/>
            <w:tcBorders>
              <w:tl2br w:val="nil"/>
              <w:tr2bl w:val="nil"/>
            </w:tcBorders>
            <w:noWrap w:val="0"/>
            <w:vAlign w:val="center"/>
          </w:tcPr>
          <w:p w14:paraId="498C1332">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sz w:val="21"/>
                <w:szCs w:val="21"/>
                <w:lang w:val="en-US" w:eastAsia="zh-CN"/>
              </w:rPr>
              <w:t>0</w:t>
            </w:r>
          </w:p>
        </w:tc>
        <w:tc>
          <w:tcPr>
            <w:tcW w:w="1151" w:type="dxa"/>
            <w:tcBorders>
              <w:tl2br w:val="nil"/>
              <w:tr2bl w:val="nil"/>
            </w:tcBorders>
            <w:noWrap w:val="0"/>
            <w:vAlign w:val="center"/>
          </w:tcPr>
          <w:p w14:paraId="0DE30A8B">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sz w:val="21"/>
                <w:szCs w:val="21"/>
                <w:lang w:val="en-US" w:eastAsia="zh-CN"/>
              </w:rPr>
              <w:t>0</w:t>
            </w:r>
          </w:p>
        </w:tc>
        <w:tc>
          <w:tcPr>
            <w:tcW w:w="1027" w:type="dxa"/>
            <w:tcBorders>
              <w:tl2br w:val="nil"/>
              <w:tr2bl w:val="nil"/>
            </w:tcBorders>
            <w:noWrap w:val="0"/>
            <w:vAlign w:val="center"/>
          </w:tcPr>
          <w:p w14:paraId="5340F9A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sz w:val="21"/>
                <w:szCs w:val="21"/>
                <w:lang w:val="en-US" w:eastAsia="zh-CN"/>
              </w:rPr>
              <w:t>61.66</w:t>
            </w:r>
          </w:p>
        </w:tc>
        <w:tc>
          <w:tcPr>
            <w:tcW w:w="1083" w:type="dxa"/>
            <w:tcBorders>
              <w:tl2br w:val="nil"/>
              <w:tr2bl w:val="nil"/>
            </w:tcBorders>
            <w:noWrap w:val="0"/>
            <w:vAlign w:val="center"/>
          </w:tcPr>
          <w:p w14:paraId="3E0B2422">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rPr>
            </w:pPr>
            <w:r>
              <w:rPr>
                <w:rFonts w:hint="eastAsia"/>
                <w:color w:val="auto"/>
                <w:sz w:val="21"/>
                <w:szCs w:val="21"/>
                <w:lang w:val="en-US" w:eastAsia="zh-CN"/>
              </w:rPr>
              <w:t>246.67</w:t>
            </w:r>
          </w:p>
        </w:tc>
        <w:tc>
          <w:tcPr>
            <w:tcW w:w="1566" w:type="dxa"/>
            <w:tcBorders>
              <w:tl2br w:val="nil"/>
              <w:tr2bl w:val="nil"/>
            </w:tcBorders>
            <w:noWrap w:val="0"/>
            <w:vAlign w:val="center"/>
          </w:tcPr>
          <w:p w14:paraId="62F671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lang w:val="en-US" w:eastAsia="zh-CN"/>
              </w:rPr>
              <w:t>/</w:t>
            </w:r>
          </w:p>
        </w:tc>
      </w:tr>
      <w:tr w14:paraId="38FB9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83" w:type="dxa"/>
            <w:vMerge w:val="continue"/>
            <w:tcBorders>
              <w:tl2br w:val="nil"/>
              <w:tr2bl w:val="nil"/>
            </w:tcBorders>
            <w:noWrap w:val="0"/>
            <w:vAlign w:val="center"/>
          </w:tcPr>
          <w:p w14:paraId="0D56FD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p>
        </w:tc>
        <w:tc>
          <w:tcPr>
            <w:tcW w:w="2248" w:type="dxa"/>
            <w:tcBorders>
              <w:tl2br w:val="nil"/>
              <w:tr2bl w:val="nil"/>
            </w:tcBorders>
            <w:noWrap w:val="0"/>
            <w:vAlign w:val="center"/>
          </w:tcPr>
          <w:p w14:paraId="0FAD4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食品制作用水</w:t>
            </w:r>
          </w:p>
        </w:tc>
        <w:tc>
          <w:tcPr>
            <w:tcW w:w="1017" w:type="dxa"/>
            <w:tcBorders>
              <w:tl2br w:val="nil"/>
              <w:tr2bl w:val="nil"/>
            </w:tcBorders>
            <w:noWrap w:val="0"/>
            <w:vAlign w:val="center"/>
          </w:tcPr>
          <w:p w14:paraId="6DEAFC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40.87</w:t>
            </w:r>
          </w:p>
        </w:tc>
        <w:tc>
          <w:tcPr>
            <w:tcW w:w="1000" w:type="dxa"/>
            <w:tcBorders>
              <w:tl2br w:val="nil"/>
              <w:tr2bl w:val="nil"/>
            </w:tcBorders>
            <w:noWrap w:val="0"/>
            <w:vAlign w:val="center"/>
          </w:tcPr>
          <w:p w14:paraId="7FD346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417" w:type="dxa"/>
            <w:tcBorders>
              <w:tl2br w:val="nil"/>
              <w:tr2bl w:val="nil"/>
            </w:tcBorders>
            <w:shd w:val="clear" w:color="auto" w:fill="auto"/>
            <w:noWrap w:val="0"/>
            <w:vAlign w:val="center"/>
          </w:tcPr>
          <w:p w14:paraId="22E32A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40.87</w:t>
            </w:r>
          </w:p>
        </w:tc>
        <w:tc>
          <w:tcPr>
            <w:tcW w:w="883" w:type="dxa"/>
            <w:tcBorders>
              <w:tl2br w:val="nil"/>
              <w:tr2bl w:val="nil"/>
            </w:tcBorders>
            <w:noWrap w:val="0"/>
            <w:vAlign w:val="center"/>
          </w:tcPr>
          <w:p w14:paraId="7D941B5B">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867" w:type="dxa"/>
            <w:tcBorders>
              <w:tl2br w:val="nil"/>
              <w:tr2bl w:val="nil"/>
            </w:tcBorders>
            <w:noWrap w:val="0"/>
            <w:vAlign w:val="center"/>
          </w:tcPr>
          <w:p w14:paraId="3DCAA2A4">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151" w:type="dxa"/>
            <w:tcBorders>
              <w:tl2br w:val="nil"/>
              <w:tr2bl w:val="nil"/>
            </w:tcBorders>
            <w:noWrap w:val="0"/>
            <w:vAlign w:val="center"/>
          </w:tcPr>
          <w:p w14:paraId="7DAE6B3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27" w:type="dxa"/>
            <w:tcBorders>
              <w:tl2br w:val="nil"/>
              <w:tr2bl w:val="nil"/>
            </w:tcBorders>
            <w:noWrap w:val="0"/>
            <w:vAlign w:val="center"/>
          </w:tcPr>
          <w:p w14:paraId="4EAA9BCB">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222.6</w:t>
            </w:r>
          </w:p>
        </w:tc>
        <w:tc>
          <w:tcPr>
            <w:tcW w:w="1083" w:type="dxa"/>
            <w:tcBorders>
              <w:tl2br w:val="nil"/>
              <w:tr2bl w:val="nil"/>
            </w:tcBorders>
            <w:noWrap w:val="0"/>
            <w:vAlign w:val="center"/>
          </w:tcPr>
          <w:p w14:paraId="5E5C965E">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rPr>
            </w:pPr>
            <w:r>
              <w:rPr>
                <w:rFonts w:hint="eastAsia"/>
                <w:color w:val="auto"/>
                <w:sz w:val="21"/>
                <w:szCs w:val="21"/>
                <w:lang w:val="en-US" w:eastAsia="zh-CN"/>
              </w:rPr>
              <w:t>18.27</w:t>
            </w:r>
          </w:p>
        </w:tc>
        <w:tc>
          <w:tcPr>
            <w:tcW w:w="1566" w:type="dxa"/>
            <w:tcBorders>
              <w:tl2br w:val="nil"/>
              <w:tr2bl w:val="nil"/>
            </w:tcBorders>
            <w:noWrap w:val="0"/>
            <w:vAlign w:val="center"/>
          </w:tcPr>
          <w:p w14:paraId="0E1446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auto"/>
                <w:sz w:val="21"/>
                <w:szCs w:val="21"/>
                <w:lang w:val="en-US" w:eastAsia="zh-CN"/>
              </w:rPr>
            </w:pPr>
            <w:r>
              <w:rPr>
                <w:rFonts w:hint="eastAsia"/>
                <w:color w:val="auto"/>
                <w:lang w:val="en-US" w:eastAsia="zh-CN"/>
              </w:rPr>
              <w:t>损耗量分为蒸发损耗163.46t</w:t>
            </w:r>
            <w:r>
              <w:rPr>
                <w:rFonts w:hint="default"/>
                <w:color w:val="auto"/>
                <w:lang w:val="en-US" w:eastAsia="zh-CN"/>
              </w:rPr>
              <w:t>/d</w:t>
            </w:r>
            <w:r>
              <w:rPr>
                <w:rFonts w:hint="eastAsia"/>
                <w:color w:val="auto"/>
                <w:lang w:val="en-US" w:eastAsia="zh-CN"/>
              </w:rPr>
              <w:t>，进入产品59.14t</w:t>
            </w:r>
            <w:r>
              <w:rPr>
                <w:rFonts w:hint="default"/>
                <w:color w:val="auto"/>
                <w:lang w:val="en-US" w:eastAsia="zh-CN"/>
              </w:rPr>
              <w:t>/d</w:t>
            </w:r>
            <w:r>
              <w:rPr>
                <w:rFonts w:hint="eastAsia"/>
                <w:color w:val="auto"/>
                <w:lang w:val="en-US" w:eastAsia="zh-CN"/>
              </w:rPr>
              <w:t>。</w:t>
            </w:r>
          </w:p>
        </w:tc>
      </w:tr>
      <w:tr w14:paraId="76F50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83" w:type="dxa"/>
            <w:vMerge w:val="continue"/>
            <w:tcBorders>
              <w:tl2br w:val="nil"/>
              <w:tr2bl w:val="nil"/>
            </w:tcBorders>
            <w:noWrap w:val="0"/>
            <w:vAlign w:val="center"/>
          </w:tcPr>
          <w:p w14:paraId="07AC90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p>
        </w:tc>
        <w:tc>
          <w:tcPr>
            <w:tcW w:w="2248" w:type="dxa"/>
            <w:tcBorders>
              <w:tl2br w:val="nil"/>
              <w:tr2bl w:val="nil"/>
            </w:tcBorders>
            <w:noWrap w:val="0"/>
            <w:vAlign w:val="center"/>
          </w:tcPr>
          <w:p w14:paraId="295041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设备清洗用水</w:t>
            </w:r>
          </w:p>
        </w:tc>
        <w:tc>
          <w:tcPr>
            <w:tcW w:w="1017" w:type="dxa"/>
            <w:tcBorders>
              <w:tl2br w:val="nil"/>
              <w:tr2bl w:val="nil"/>
            </w:tcBorders>
            <w:noWrap w:val="0"/>
            <w:vAlign w:val="center"/>
          </w:tcPr>
          <w:p w14:paraId="1645EE30">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40</w:t>
            </w:r>
          </w:p>
        </w:tc>
        <w:tc>
          <w:tcPr>
            <w:tcW w:w="1000" w:type="dxa"/>
            <w:tcBorders>
              <w:tl2br w:val="nil"/>
              <w:tr2bl w:val="nil"/>
            </w:tcBorders>
            <w:noWrap w:val="0"/>
            <w:vAlign w:val="center"/>
          </w:tcPr>
          <w:p w14:paraId="0C9CDE17">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lang w:val="en-US" w:eastAsia="zh-CN"/>
              </w:rPr>
            </w:pPr>
            <w:r>
              <w:rPr>
                <w:rFonts w:hint="eastAsia"/>
                <w:color w:val="auto"/>
                <w:sz w:val="21"/>
                <w:szCs w:val="21"/>
                <w:lang w:val="en-US" w:eastAsia="zh-CN"/>
              </w:rPr>
              <w:t>40</w:t>
            </w:r>
          </w:p>
        </w:tc>
        <w:tc>
          <w:tcPr>
            <w:tcW w:w="1417" w:type="dxa"/>
            <w:tcBorders>
              <w:tl2br w:val="nil"/>
              <w:tr2bl w:val="nil"/>
            </w:tcBorders>
            <w:noWrap w:val="0"/>
            <w:vAlign w:val="center"/>
          </w:tcPr>
          <w:p w14:paraId="675F6E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883" w:type="dxa"/>
            <w:tcBorders>
              <w:tl2br w:val="nil"/>
              <w:tr2bl w:val="nil"/>
            </w:tcBorders>
            <w:noWrap w:val="0"/>
            <w:vAlign w:val="center"/>
          </w:tcPr>
          <w:p w14:paraId="39841E4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lang w:val="en-US" w:eastAsia="zh-CN"/>
              </w:rPr>
            </w:pPr>
            <w:r>
              <w:rPr>
                <w:rFonts w:hint="default"/>
                <w:color w:val="auto"/>
                <w:lang w:val="en-US" w:eastAsia="zh-CN"/>
              </w:rPr>
              <w:t>0</w:t>
            </w:r>
          </w:p>
        </w:tc>
        <w:tc>
          <w:tcPr>
            <w:tcW w:w="867" w:type="dxa"/>
            <w:tcBorders>
              <w:tl2br w:val="nil"/>
              <w:tr2bl w:val="nil"/>
            </w:tcBorders>
            <w:noWrap w:val="0"/>
            <w:vAlign w:val="center"/>
          </w:tcPr>
          <w:p w14:paraId="75A9FBB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sz w:val="21"/>
                <w:szCs w:val="21"/>
                <w:lang w:val="en-US" w:eastAsia="zh-CN"/>
              </w:rPr>
            </w:pPr>
            <w:r>
              <w:rPr>
                <w:rFonts w:hint="eastAsia" w:eastAsia="宋体"/>
                <w:color w:val="auto"/>
                <w:sz w:val="21"/>
                <w:szCs w:val="21"/>
                <w:lang w:val="en-US" w:eastAsia="zh-CN"/>
              </w:rPr>
              <w:t>0</w:t>
            </w:r>
          </w:p>
        </w:tc>
        <w:tc>
          <w:tcPr>
            <w:tcW w:w="1151" w:type="dxa"/>
            <w:tcBorders>
              <w:tl2br w:val="nil"/>
              <w:tr2bl w:val="nil"/>
            </w:tcBorders>
            <w:noWrap w:val="0"/>
            <w:vAlign w:val="center"/>
          </w:tcPr>
          <w:p w14:paraId="47108FCD">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sz w:val="21"/>
                <w:szCs w:val="21"/>
                <w:lang w:val="en-US" w:eastAsia="zh-CN"/>
              </w:rPr>
            </w:pPr>
            <w:r>
              <w:rPr>
                <w:rFonts w:hint="eastAsia" w:eastAsia="宋体"/>
                <w:color w:val="auto"/>
                <w:sz w:val="21"/>
                <w:szCs w:val="21"/>
                <w:lang w:val="en-US" w:eastAsia="zh-CN"/>
              </w:rPr>
              <w:t>0</w:t>
            </w:r>
          </w:p>
        </w:tc>
        <w:tc>
          <w:tcPr>
            <w:tcW w:w="1027" w:type="dxa"/>
            <w:tcBorders>
              <w:tl2br w:val="nil"/>
              <w:tr2bl w:val="nil"/>
            </w:tcBorders>
            <w:noWrap w:val="0"/>
            <w:vAlign w:val="center"/>
          </w:tcPr>
          <w:p w14:paraId="356D108A">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1083" w:type="dxa"/>
            <w:tcBorders>
              <w:tl2br w:val="nil"/>
              <w:tr2bl w:val="nil"/>
            </w:tcBorders>
            <w:noWrap w:val="0"/>
            <w:vAlign w:val="center"/>
          </w:tcPr>
          <w:p w14:paraId="7A2F04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lang w:val="en-US" w:eastAsia="zh-CN"/>
              </w:rPr>
              <w:t>32</w:t>
            </w:r>
          </w:p>
        </w:tc>
        <w:tc>
          <w:tcPr>
            <w:tcW w:w="1566" w:type="dxa"/>
            <w:tcBorders>
              <w:tl2br w:val="nil"/>
              <w:tr2bl w:val="nil"/>
            </w:tcBorders>
            <w:noWrap w:val="0"/>
            <w:vAlign w:val="center"/>
          </w:tcPr>
          <w:p w14:paraId="01EAD9AE">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w:t>
            </w:r>
          </w:p>
        </w:tc>
      </w:tr>
      <w:tr w14:paraId="425DB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83" w:type="dxa"/>
            <w:vMerge w:val="continue"/>
            <w:tcBorders>
              <w:tl2br w:val="nil"/>
              <w:tr2bl w:val="nil"/>
            </w:tcBorders>
            <w:noWrap w:val="0"/>
            <w:vAlign w:val="center"/>
          </w:tcPr>
          <w:p w14:paraId="0ECF2C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p>
        </w:tc>
        <w:tc>
          <w:tcPr>
            <w:tcW w:w="2248" w:type="dxa"/>
            <w:tcBorders>
              <w:tl2br w:val="nil"/>
              <w:tr2bl w:val="nil"/>
            </w:tcBorders>
            <w:noWrap w:val="0"/>
            <w:vAlign w:val="center"/>
          </w:tcPr>
          <w:p w14:paraId="5254F6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olor w:val="auto"/>
                <w:lang w:val="en-US" w:eastAsia="zh-CN"/>
              </w:rPr>
              <w:t>地面清洗用水</w:t>
            </w:r>
          </w:p>
        </w:tc>
        <w:tc>
          <w:tcPr>
            <w:tcW w:w="1017" w:type="dxa"/>
            <w:tcBorders>
              <w:tl2br w:val="nil"/>
              <w:tr2bl w:val="nil"/>
            </w:tcBorders>
            <w:noWrap w:val="0"/>
            <w:vAlign w:val="center"/>
          </w:tcPr>
          <w:p w14:paraId="1B2F9BB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s="Times New Roman"/>
                <w:b w:val="0"/>
                <w:bCs w:val="0"/>
                <w:color w:val="auto"/>
                <w:sz w:val="21"/>
                <w:szCs w:val="21"/>
                <w:highlight w:val="none"/>
                <w:lang w:val="en-US" w:eastAsia="zh-CN"/>
              </w:rPr>
              <w:t>62.59</w:t>
            </w:r>
          </w:p>
        </w:tc>
        <w:tc>
          <w:tcPr>
            <w:tcW w:w="1000" w:type="dxa"/>
            <w:tcBorders>
              <w:tl2br w:val="nil"/>
              <w:tr2bl w:val="nil"/>
            </w:tcBorders>
            <w:noWrap w:val="0"/>
            <w:vAlign w:val="center"/>
          </w:tcPr>
          <w:p w14:paraId="42836DB1">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417" w:type="dxa"/>
            <w:tcBorders>
              <w:tl2br w:val="nil"/>
              <w:tr2bl w:val="nil"/>
            </w:tcBorders>
            <w:noWrap w:val="0"/>
            <w:vAlign w:val="center"/>
          </w:tcPr>
          <w:p w14:paraId="600B95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sz w:val="21"/>
                <w:szCs w:val="21"/>
                <w:lang w:val="en-US" w:eastAsia="zh-CN"/>
              </w:rPr>
            </w:pPr>
            <w:r>
              <w:rPr>
                <w:rFonts w:hint="eastAsia" w:cs="Times New Roman"/>
                <w:b w:val="0"/>
                <w:bCs w:val="0"/>
                <w:color w:val="auto"/>
                <w:sz w:val="21"/>
                <w:szCs w:val="21"/>
                <w:highlight w:val="none"/>
                <w:lang w:val="en-US" w:eastAsia="zh-CN"/>
              </w:rPr>
              <w:t>62.59</w:t>
            </w:r>
          </w:p>
        </w:tc>
        <w:tc>
          <w:tcPr>
            <w:tcW w:w="883" w:type="dxa"/>
            <w:tcBorders>
              <w:tl2br w:val="nil"/>
              <w:tr2bl w:val="nil"/>
            </w:tcBorders>
            <w:noWrap w:val="0"/>
            <w:vAlign w:val="center"/>
          </w:tcPr>
          <w:p w14:paraId="7BEC008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867" w:type="dxa"/>
            <w:tcBorders>
              <w:tl2br w:val="nil"/>
              <w:tr2bl w:val="nil"/>
            </w:tcBorders>
            <w:noWrap w:val="0"/>
            <w:vAlign w:val="center"/>
          </w:tcPr>
          <w:p w14:paraId="7F1A1757">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1151" w:type="dxa"/>
            <w:tcBorders>
              <w:tl2br w:val="nil"/>
              <w:tr2bl w:val="nil"/>
            </w:tcBorders>
            <w:noWrap w:val="0"/>
            <w:vAlign w:val="center"/>
          </w:tcPr>
          <w:p w14:paraId="7750D59C">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1027" w:type="dxa"/>
            <w:tcBorders>
              <w:tl2br w:val="nil"/>
              <w:tr2bl w:val="nil"/>
            </w:tcBorders>
            <w:noWrap w:val="0"/>
            <w:vAlign w:val="center"/>
          </w:tcPr>
          <w:p w14:paraId="693CA4BE">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12.52</w:t>
            </w:r>
          </w:p>
        </w:tc>
        <w:tc>
          <w:tcPr>
            <w:tcW w:w="1083" w:type="dxa"/>
            <w:tcBorders>
              <w:tl2br w:val="nil"/>
              <w:tr2bl w:val="nil"/>
            </w:tcBorders>
            <w:noWrap w:val="0"/>
            <w:vAlign w:val="center"/>
          </w:tcPr>
          <w:p w14:paraId="25F99E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lang w:val="en-US" w:eastAsia="zh-CN"/>
              </w:rPr>
              <w:t>50.07</w:t>
            </w:r>
          </w:p>
        </w:tc>
        <w:tc>
          <w:tcPr>
            <w:tcW w:w="1566" w:type="dxa"/>
            <w:tcBorders>
              <w:tl2br w:val="nil"/>
              <w:tr2bl w:val="nil"/>
            </w:tcBorders>
            <w:noWrap w:val="0"/>
            <w:vAlign w:val="center"/>
          </w:tcPr>
          <w:p w14:paraId="016E8EA8">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w:t>
            </w:r>
          </w:p>
        </w:tc>
      </w:tr>
      <w:tr w14:paraId="17819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83" w:type="dxa"/>
            <w:vMerge w:val="continue"/>
            <w:tcBorders>
              <w:tl2br w:val="nil"/>
              <w:tr2bl w:val="nil"/>
            </w:tcBorders>
            <w:noWrap w:val="0"/>
            <w:vAlign w:val="center"/>
          </w:tcPr>
          <w:p w14:paraId="0C0D1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p>
        </w:tc>
        <w:tc>
          <w:tcPr>
            <w:tcW w:w="2248" w:type="dxa"/>
            <w:tcBorders>
              <w:tl2br w:val="nil"/>
              <w:tr2bl w:val="nil"/>
            </w:tcBorders>
            <w:noWrap w:val="0"/>
            <w:vAlign w:val="center"/>
          </w:tcPr>
          <w:p w14:paraId="52893B40">
            <w:pPr>
              <w:pStyle w:val="132"/>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color w:val="auto"/>
                <w:lang w:val="en-US" w:eastAsia="zh-CN"/>
              </w:rPr>
            </w:pPr>
            <w:r>
              <w:rPr>
                <w:rFonts w:hint="eastAsia" w:ascii="Times New Roman" w:hAnsi="Times New Roman" w:cs="Times New Roman"/>
                <w:color w:val="auto"/>
                <w:kern w:val="2"/>
                <w:sz w:val="21"/>
                <w:szCs w:val="24"/>
                <w:lang w:val="en-US" w:eastAsia="zh-CN" w:bidi="ar-SA"/>
              </w:rPr>
              <w:t>锅炉用水</w:t>
            </w:r>
          </w:p>
        </w:tc>
        <w:tc>
          <w:tcPr>
            <w:tcW w:w="1017" w:type="dxa"/>
            <w:tcBorders>
              <w:tl2br w:val="nil"/>
              <w:tr2bl w:val="nil"/>
            </w:tcBorders>
            <w:noWrap w:val="0"/>
            <w:vAlign w:val="center"/>
          </w:tcPr>
          <w:p w14:paraId="74F04D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s="Times New Roman"/>
                <w:b w:val="0"/>
                <w:bCs w:val="0"/>
                <w:color w:val="auto"/>
                <w:sz w:val="21"/>
                <w:szCs w:val="21"/>
                <w:highlight w:val="none"/>
                <w:lang w:val="en-US" w:eastAsia="zh-CN"/>
              </w:rPr>
              <w:t>42.55</w:t>
            </w:r>
          </w:p>
        </w:tc>
        <w:tc>
          <w:tcPr>
            <w:tcW w:w="1000" w:type="dxa"/>
            <w:tcBorders>
              <w:tl2br w:val="nil"/>
              <w:tr2bl w:val="nil"/>
            </w:tcBorders>
            <w:noWrap w:val="0"/>
            <w:vAlign w:val="center"/>
          </w:tcPr>
          <w:p w14:paraId="5DCB88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s="Times New Roman"/>
                <w:b w:val="0"/>
                <w:bCs w:val="0"/>
                <w:color w:val="auto"/>
                <w:sz w:val="21"/>
                <w:szCs w:val="21"/>
                <w:highlight w:val="none"/>
                <w:lang w:val="en-US" w:eastAsia="zh-CN"/>
              </w:rPr>
              <w:t>42.55</w:t>
            </w:r>
          </w:p>
        </w:tc>
        <w:tc>
          <w:tcPr>
            <w:tcW w:w="1417" w:type="dxa"/>
            <w:tcBorders>
              <w:tl2br w:val="nil"/>
              <w:tr2bl w:val="nil"/>
            </w:tcBorders>
            <w:noWrap w:val="0"/>
            <w:vAlign w:val="center"/>
          </w:tcPr>
          <w:p w14:paraId="54139F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883" w:type="dxa"/>
            <w:tcBorders>
              <w:tl2br w:val="nil"/>
              <w:tr2bl w:val="nil"/>
            </w:tcBorders>
            <w:noWrap w:val="0"/>
            <w:vAlign w:val="center"/>
          </w:tcPr>
          <w:p w14:paraId="6760A50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867" w:type="dxa"/>
            <w:tcBorders>
              <w:tl2br w:val="nil"/>
              <w:tr2bl w:val="nil"/>
            </w:tcBorders>
            <w:noWrap w:val="0"/>
            <w:vAlign w:val="center"/>
          </w:tcPr>
          <w:p w14:paraId="7D64052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151" w:type="dxa"/>
            <w:tcBorders>
              <w:tl2br w:val="nil"/>
              <w:tr2bl w:val="nil"/>
            </w:tcBorders>
            <w:noWrap w:val="0"/>
            <w:vAlign w:val="center"/>
          </w:tcPr>
          <w:p w14:paraId="63A5D292">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27" w:type="dxa"/>
            <w:tcBorders>
              <w:tl2br w:val="nil"/>
              <w:tr2bl w:val="nil"/>
            </w:tcBorders>
            <w:noWrap w:val="0"/>
            <w:vAlign w:val="center"/>
          </w:tcPr>
          <w:p w14:paraId="604FA99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33.44</w:t>
            </w:r>
          </w:p>
        </w:tc>
        <w:tc>
          <w:tcPr>
            <w:tcW w:w="1083" w:type="dxa"/>
            <w:tcBorders>
              <w:tl2br w:val="nil"/>
              <w:tr2bl w:val="nil"/>
            </w:tcBorders>
            <w:noWrap w:val="0"/>
            <w:vAlign w:val="center"/>
          </w:tcPr>
          <w:p w14:paraId="75158B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s="Times New Roman"/>
                <w:b w:val="0"/>
                <w:bCs w:val="0"/>
                <w:color w:val="auto"/>
                <w:sz w:val="21"/>
                <w:szCs w:val="21"/>
                <w:highlight w:val="none"/>
                <w:lang w:val="en-US" w:eastAsia="zh-CN"/>
              </w:rPr>
              <w:t>9.11</w:t>
            </w:r>
          </w:p>
        </w:tc>
        <w:tc>
          <w:tcPr>
            <w:tcW w:w="1566" w:type="dxa"/>
            <w:tcBorders>
              <w:tl2br w:val="nil"/>
              <w:tr2bl w:val="nil"/>
            </w:tcBorders>
            <w:noWrap w:val="0"/>
            <w:vAlign w:val="center"/>
          </w:tcPr>
          <w:p w14:paraId="597A481E">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w:t>
            </w:r>
          </w:p>
        </w:tc>
      </w:tr>
      <w:tr w14:paraId="766E7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83" w:type="dxa"/>
            <w:vMerge w:val="continue"/>
            <w:tcBorders>
              <w:tl2br w:val="nil"/>
              <w:tr2bl w:val="nil"/>
            </w:tcBorders>
            <w:noWrap w:val="0"/>
            <w:vAlign w:val="center"/>
          </w:tcPr>
          <w:p w14:paraId="75BE0B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p>
        </w:tc>
        <w:tc>
          <w:tcPr>
            <w:tcW w:w="2248" w:type="dxa"/>
            <w:tcBorders>
              <w:tl2br w:val="nil"/>
              <w:tr2bl w:val="nil"/>
            </w:tcBorders>
            <w:noWrap w:val="0"/>
            <w:vAlign w:val="center"/>
          </w:tcPr>
          <w:p w14:paraId="1C981D99">
            <w:pPr>
              <w:pStyle w:val="132"/>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冷库除霜水</w:t>
            </w:r>
          </w:p>
        </w:tc>
        <w:tc>
          <w:tcPr>
            <w:tcW w:w="1017" w:type="dxa"/>
            <w:tcBorders>
              <w:tl2br w:val="nil"/>
              <w:tr2bl w:val="nil"/>
            </w:tcBorders>
            <w:noWrap w:val="0"/>
            <w:vAlign w:val="center"/>
          </w:tcPr>
          <w:p w14:paraId="02F73A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0.133</w:t>
            </w:r>
          </w:p>
        </w:tc>
        <w:tc>
          <w:tcPr>
            <w:tcW w:w="1000" w:type="dxa"/>
            <w:tcBorders>
              <w:tl2br w:val="nil"/>
              <w:tr2bl w:val="nil"/>
            </w:tcBorders>
            <w:noWrap w:val="0"/>
            <w:vAlign w:val="center"/>
          </w:tcPr>
          <w:p w14:paraId="54223D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0.133</w:t>
            </w:r>
          </w:p>
        </w:tc>
        <w:tc>
          <w:tcPr>
            <w:tcW w:w="1417" w:type="dxa"/>
            <w:tcBorders>
              <w:tl2br w:val="nil"/>
              <w:tr2bl w:val="nil"/>
            </w:tcBorders>
            <w:noWrap w:val="0"/>
            <w:vAlign w:val="center"/>
          </w:tcPr>
          <w:p w14:paraId="641A41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883" w:type="dxa"/>
            <w:tcBorders>
              <w:tl2br w:val="nil"/>
              <w:tr2bl w:val="nil"/>
            </w:tcBorders>
            <w:noWrap w:val="0"/>
            <w:vAlign w:val="center"/>
          </w:tcPr>
          <w:p w14:paraId="3FBBFB63">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867" w:type="dxa"/>
            <w:tcBorders>
              <w:tl2br w:val="nil"/>
              <w:tr2bl w:val="nil"/>
            </w:tcBorders>
            <w:noWrap w:val="0"/>
            <w:vAlign w:val="center"/>
          </w:tcPr>
          <w:p w14:paraId="09861417">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151" w:type="dxa"/>
            <w:tcBorders>
              <w:tl2br w:val="nil"/>
              <w:tr2bl w:val="nil"/>
            </w:tcBorders>
            <w:noWrap w:val="0"/>
            <w:vAlign w:val="center"/>
          </w:tcPr>
          <w:p w14:paraId="3B316C5E">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27" w:type="dxa"/>
            <w:tcBorders>
              <w:tl2br w:val="nil"/>
              <w:tr2bl w:val="nil"/>
            </w:tcBorders>
            <w:noWrap w:val="0"/>
            <w:vAlign w:val="center"/>
          </w:tcPr>
          <w:p w14:paraId="26F29E7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83" w:type="dxa"/>
            <w:tcBorders>
              <w:tl2br w:val="nil"/>
              <w:tr2bl w:val="nil"/>
            </w:tcBorders>
            <w:noWrap w:val="0"/>
            <w:vAlign w:val="center"/>
          </w:tcPr>
          <w:p w14:paraId="163070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0.133</w:t>
            </w:r>
          </w:p>
        </w:tc>
        <w:tc>
          <w:tcPr>
            <w:tcW w:w="1566" w:type="dxa"/>
            <w:tcBorders>
              <w:tl2br w:val="nil"/>
              <w:tr2bl w:val="nil"/>
            </w:tcBorders>
            <w:noWrap w:val="0"/>
            <w:vAlign w:val="center"/>
          </w:tcPr>
          <w:p w14:paraId="29D17E5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w:t>
            </w:r>
          </w:p>
        </w:tc>
      </w:tr>
      <w:tr w14:paraId="567D5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731" w:type="dxa"/>
            <w:gridSpan w:val="2"/>
            <w:tcBorders>
              <w:tl2br w:val="nil"/>
              <w:tr2bl w:val="nil"/>
            </w:tcBorders>
            <w:noWrap w:val="0"/>
            <w:vAlign w:val="center"/>
          </w:tcPr>
          <w:p w14:paraId="216063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lang w:val="en-US" w:eastAsia="zh-CN"/>
              </w:rPr>
            </w:pPr>
            <w:r>
              <w:rPr>
                <w:rFonts w:hint="eastAsia"/>
                <w:b w:val="0"/>
                <w:bCs w:val="0"/>
                <w:color w:val="auto"/>
                <w:lang w:val="en-US" w:eastAsia="zh-CN"/>
              </w:rPr>
              <w:t>纯水制备用水</w:t>
            </w:r>
          </w:p>
        </w:tc>
        <w:tc>
          <w:tcPr>
            <w:tcW w:w="1017" w:type="dxa"/>
            <w:tcBorders>
              <w:tl2br w:val="nil"/>
              <w:tr2bl w:val="nil"/>
            </w:tcBorders>
            <w:noWrap w:val="0"/>
            <w:vAlign w:val="center"/>
          </w:tcPr>
          <w:p w14:paraId="46EF85CB">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784.57</w:t>
            </w:r>
          </w:p>
        </w:tc>
        <w:tc>
          <w:tcPr>
            <w:tcW w:w="1000" w:type="dxa"/>
            <w:tcBorders>
              <w:tl2br w:val="nil"/>
              <w:tr2bl w:val="nil"/>
            </w:tcBorders>
            <w:noWrap w:val="0"/>
            <w:vAlign w:val="center"/>
          </w:tcPr>
          <w:p w14:paraId="2680C49B">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olor w:val="auto"/>
                <w:lang w:val="en-US" w:eastAsia="zh-CN"/>
              </w:rPr>
            </w:pPr>
            <w:r>
              <w:rPr>
                <w:rFonts w:hint="eastAsia"/>
                <w:color w:val="auto"/>
                <w:lang w:val="en-US" w:eastAsia="zh-CN"/>
              </w:rPr>
              <w:t>784.57</w:t>
            </w:r>
          </w:p>
        </w:tc>
        <w:tc>
          <w:tcPr>
            <w:tcW w:w="1417" w:type="dxa"/>
            <w:tcBorders>
              <w:tl2br w:val="nil"/>
              <w:tr2bl w:val="nil"/>
            </w:tcBorders>
            <w:noWrap w:val="0"/>
            <w:vAlign w:val="center"/>
          </w:tcPr>
          <w:p w14:paraId="33C7ED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883" w:type="dxa"/>
            <w:tcBorders>
              <w:tl2br w:val="nil"/>
              <w:tr2bl w:val="nil"/>
            </w:tcBorders>
            <w:noWrap w:val="0"/>
            <w:vAlign w:val="center"/>
          </w:tcPr>
          <w:p w14:paraId="7BBD85C4">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0</w:t>
            </w:r>
          </w:p>
        </w:tc>
        <w:tc>
          <w:tcPr>
            <w:tcW w:w="867" w:type="dxa"/>
            <w:tcBorders>
              <w:tl2br w:val="nil"/>
              <w:tr2bl w:val="nil"/>
            </w:tcBorders>
            <w:noWrap w:val="0"/>
            <w:vAlign w:val="center"/>
          </w:tcPr>
          <w:p w14:paraId="3F963467">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0</w:t>
            </w:r>
          </w:p>
        </w:tc>
        <w:tc>
          <w:tcPr>
            <w:tcW w:w="1151" w:type="dxa"/>
            <w:tcBorders>
              <w:tl2br w:val="nil"/>
              <w:tr2bl w:val="nil"/>
            </w:tcBorders>
            <w:noWrap w:val="0"/>
            <w:vAlign w:val="center"/>
          </w:tcPr>
          <w:p w14:paraId="37277432">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611.79</w:t>
            </w:r>
          </w:p>
        </w:tc>
        <w:tc>
          <w:tcPr>
            <w:tcW w:w="1027" w:type="dxa"/>
            <w:tcBorders>
              <w:tl2br w:val="nil"/>
              <w:tr2bl w:val="nil"/>
            </w:tcBorders>
            <w:noWrap w:val="0"/>
            <w:vAlign w:val="center"/>
          </w:tcPr>
          <w:p w14:paraId="5D46E982">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0</w:t>
            </w:r>
          </w:p>
        </w:tc>
        <w:tc>
          <w:tcPr>
            <w:tcW w:w="1083" w:type="dxa"/>
            <w:tcBorders>
              <w:tl2br w:val="nil"/>
              <w:tr2bl w:val="nil"/>
            </w:tcBorders>
            <w:noWrap w:val="0"/>
            <w:vAlign w:val="center"/>
          </w:tcPr>
          <w:p w14:paraId="09154E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172.78</w:t>
            </w:r>
          </w:p>
        </w:tc>
        <w:tc>
          <w:tcPr>
            <w:tcW w:w="1566" w:type="dxa"/>
            <w:tcBorders>
              <w:tl2br w:val="nil"/>
              <w:tr2bl w:val="nil"/>
            </w:tcBorders>
            <w:noWrap w:val="0"/>
            <w:vAlign w:val="center"/>
          </w:tcPr>
          <w:p w14:paraId="0402E0B9">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auto"/>
                <w:lang w:val="en-US" w:eastAsia="zh-CN"/>
              </w:rPr>
            </w:pPr>
            <w:r>
              <w:rPr>
                <w:rFonts w:hint="eastAsia"/>
                <w:color w:val="auto"/>
                <w:sz w:val="21"/>
                <w:szCs w:val="21"/>
                <w:lang w:val="en-US" w:eastAsia="zh-CN"/>
              </w:rPr>
              <w:t>下一工序用水分为</w:t>
            </w:r>
            <w:r>
              <w:rPr>
                <w:rFonts w:hint="default" w:ascii="Times New Roman" w:hAnsi="Times New Roman" w:eastAsia="宋体" w:cs="Times New Roman"/>
                <w:color w:val="auto"/>
                <w:sz w:val="21"/>
                <w:szCs w:val="21"/>
                <w:lang w:val="zh-CN" w:eastAsia="zh-CN"/>
              </w:rPr>
              <w:t>纯水</w:t>
            </w:r>
            <w:r>
              <w:rPr>
                <w:rFonts w:hint="default" w:ascii="Times New Roman" w:hAnsi="Times New Roman" w:cs="Times New Roman"/>
                <w:color w:val="auto"/>
                <w:sz w:val="21"/>
                <w:szCs w:val="21"/>
                <w:highlight w:val="none"/>
                <w:lang w:val="en-US" w:eastAsia="zh-CN"/>
              </w:rPr>
              <w:t>549.2</w:t>
            </w:r>
            <w:r>
              <w:rPr>
                <w:rFonts w:hint="eastAsia"/>
                <w:color w:val="auto"/>
                <w:sz w:val="21"/>
                <w:szCs w:val="21"/>
                <w:lang w:val="en-US" w:eastAsia="zh-CN"/>
              </w:rPr>
              <w:t>t</w:t>
            </w:r>
            <w:r>
              <w:rPr>
                <w:rFonts w:hint="default"/>
                <w:color w:val="auto"/>
                <w:sz w:val="21"/>
                <w:szCs w:val="21"/>
                <w:lang w:val="en-US" w:eastAsia="zh-CN"/>
              </w:rPr>
              <w:t>/d</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浓水回用</w:t>
            </w:r>
            <w:r>
              <w:rPr>
                <w:rFonts w:hint="default" w:ascii="Times New Roman" w:hAnsi="Times New Roman" w:cs="Times New Roman"/>
                <w:b w:val="0"/>
                <w:bCs w:val="0"/>
                <w:color w:val="auto"/>
                <w:sz w:val="21"/>
                <w:szCs w:val="21"/>
                <w:highlight w:val="none"/>
                <w:lang w:val="en-US" w:eastAsia="zh-CN"/>
              </w:rPr>
              <w:t>62.59</w:t>
            </w:r>
            <w:r>
              <w:rPr>
                <w:rFonts w:hint="eastAsia"/>
                <w:color w:val="auto"/>
                <w:sz w:val="21"/>
                <w:szCs w:val="21"/>
                <w:lang w:val="en-US" w:eastAsia="zh-CN"/>
              </w:rPr>
              <w:t>t</w:t>
            </w:r>
            <w:r>
              <w:rPr>
                <w:rFonts w:hint="default"/>
                <w:color w:val="auto"/>
                <w:sz w:val="21"/>
                <w:szCs w:val="21"/>
                <w:lang w:val="en-US" w:eastAsia="zh-CN"/>
              </w:rPr>
              <w:t>/d</w:t>
            </w:r>
            <w:r>
              <w:rPr>
                <w:rFonts w:hint="eastAsia"/>
                <w:color w:val="auto"/>
                <w:sz w:val="21"/>
                <w:szCs w:val="21"/>
                <w:lang w:val="en-US" w:eastAsia="zh-CN"/>
              </w:rPr>
              <w:t>。</w:t>
            </w:r>
          </w:p>
        </w:tc>
      </w:tr>
      <w:tr w14:paraId="7372F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731" w:type="dxa"/>
            <w:gridSpan w:val="2"/>
            <w:tcBorders>
              <w:tl2br w:val="nil"/>
              <w:tr2bl w:val="nil"/>
            </w:tcBorders>
            <w:noWrap w:val="0"/>
            <w:vAlign w:val="center"/>
          </w:tcPr>
          <w:p w14:paraId="3B3AAE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b w:val="0"/>
                <w:bCs w:val="0"/>
                <w:color w:val="auto"/>
                <w:lang w:val="en-US" w:eastAsia="zh-CN"/>
              </w:rPr>
              <w:t>绿化用水</w:t>
            </w:r>
          </w:p>
        </w:tc>
        <w:tc>
          <w:tcPr>
            <w:tcW w:w="1017" w:type="dxa"/>
            <w:tcBorders>
              <w:tl2br w:val="nil"/>
              <w:tr2bl w:val="nil"/>
            </w:tcBorders>
            <w:shd w:val="clear" w:color="auto" w:fill="auto"/>
            <w:noWrap w:val="0"/>
            <w:vAlign w:val="center"/>
          </w:tcPr>
          <w:p w14:paraId="17624886">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2.87</w:t>
            </w:r>
          </w:p>
        </w:tc>
        <w:tc>
          <w:tcPr>
            <w:tcW w:w="1000" w:type="dxa"/>
            <w:tcBorders>
              <w:tl2br w:val="nil"/>
              <w:tr2bl w:val="nil"/>
            </w:tcBorders>
            <w:shd w:val="clear" w:color="auto" w:fill="auto"/>
            <w:noWrap w:val="0"/>
            <w:vAlign w:val="center"/>
          </w:tcPr>
          <w:p w14:paraId="1662923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2.87</w:t>
            </w:r>
          </w:p>
        </w:tc>
        <w:tc>
          <w:tcPr>
            <w:tcW w:w="1417" w:type="dxa"/>
            <w:tcBorders>
              <w:tl2br w:val="nil"/>
              <w:tr2bl w:val="nil"/>
            </w:tcBorders>
            <w:shd w:val="clear" w:color="auto" w:fill="auto"/>
            <w:noWrap w:val="0"/>
            <w:vAlign w:val="center"/>
          </w:tcPr>
          <w:p w14:paraId="52F999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sz w:val="21"/>
                <w:szCs w:val="21"/>
                <w:lang w:val="en-US" w:eastAsia="zh-CN"/>
              </w:rPr>
              <w:t>0</w:t>
            </w:r>
          </w:p>
        </w:tc>
        <w:tc>
          <w:tcPr>
            <w:tcW w:w="883" w:type="dxa"/>
            <w:tcBorders>
              <w:tl2br w:val="nil"/>
              <w:tr2bl w:val="nil"/>
            </w:tcBorders>
            <w:shd w:val="clear" w:color="auto" w:fill="auto"/>
            <w:noWrap w:val="0"/>
            <w:vAlign w:val="center"/>
          </w:tcPr>
          <w:p w14:paraId="0AD6009B">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867" w:type="dxa"/>
            <w:tcBorders>
              <w:tl2br w:val="nil"/>
              <w:tr2bl w:val="nil"/>
            </w:tcBorders>
            <w:shd w:val="clear" w:color="auto" w:fill="auto"/>
            <w:noWrap w:val="0"/>
            <w:vAlign w:val="center"/>
          </w:tcPr>
          <w:p w14:paraId="01DE16B2">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1151" w:type="dxa"/>
            <w:tcBorders>
              <w:tl2br w:val="nil"/>
              <w:tr2bl w:val="nil"/>
            </w:tcBorders>
            <w:shd w:val="clear" w:color="auto" w:fill="auto"/>
            <w:noWrap w:val="0"/>
            <w:vAlign w:val="center"/>
          </w:tcPr>
          <w:p w14:paraId="1230D671">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1027" w:type="dxa"/>
            <w:tcBorders>
              <w:tl2br w:val="nil"/>
              <w:tr2bl w:val="nil"/>
            </w:tcBorders>
            <w:shd w:val="clear" w:color="auto" w:fill="auto"/>
            <w:noWrap w:val="0"/>
            <w:vAlign w:val="center"/>
          </w:tcPr>
          <w:p w14:paraId="53EA3B77">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2.87</w:t>
            </w:r>
          </w:p>
        </w:tc>
        <w:tc>
          <w:tcPr>
            <w:tcW w:w="1083" w:type="dxa"/>
            <w:tcBorders>
              <w:tl2br w:val="nil"/>
              <w:tr2bl w:val="nil"/>
            </w:tcBorders>
            <w:shd w:val="clear" w:color="auto" w:fill="auto"/>
            <w:noWrap w:val="0"/>
            <w:vAlign w:val="center"/>
          </w:tcPr>
          <w:p w14:paraId="78FF62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0</w:t>
            </w:r>
          </w:p>
        </w:tc>
        <w:tc>
          <w:tcPr>
            <w:tcW w:w="1566" w:type="dxa"/>
            <w:tcBorders>
              <w:tl2br w:val="nil"/>
              <w:tr2bl w:val="nil"/>
            </w:tcBorders>
            <w:shd w:val="clear" w:color="auto" w:fill="auto"/>
            <w:noWrap w:val="0"/>
            <w:vAlign w:val="center"/>
          </w:tcPr>
          <w:p w14:paraId="12306FAA">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r>
      <w:tr w14:paraId="46617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31" w:type="dxa"/>
            <w:gridSpan w:val="2"/>
            <w:tcBorders>
              <w:tl2br w:val="nil"/>
              <w:tr2bl w:val="nil"/>
            </w:tcBorders>
            <w:noWrap w:val="0"/>
            <w:vAlign w:val="center"/>
          </w:tcPr>
          <w:p w14:paraId="6A0CF1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lang w:val="en-US" w:eastAsia="zh-CN"/>
              </w:rPr>
            </w:pPr>
            <w:r>
              <w:rPr>
                <w:rFonts w:hint="eastAsia"/>
                <w:color w:val="auto"/>
                <w:lang w:val="en-US" w:eastAsia="zh-CN"/>
              </w:rPr>
              <w:t>合计</w:t>
            </w:r>
          </w:p>
        </w:tc>
        <w:tc>
          <w:tcPr>
            <w:tcW w:w="1017" w:type="dxa"/>
            <w:tcBorders>
              <w:tl2br w:val="nil"/>
              <w:tr2bl w:val="nil"/>
            </w:tcBorders>
            <w:noWrap w:val="0"/>
            <w:vAlign w:val="center"/>
          </w:tcPr>
          <w:p w14:paraId="1022E89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1597.413</w:t>
            </w:r>
          </w:p>
        </w:tc>
        <w:tc>
          <w:tcPr>
            <w:tcW w:w="1000" w:type="dxa"/>
            <w:tcBorders>
              <w:tl2br w:val="nil"/>
              <w:tr2bl w:val="nil"/>
            </w:tcBorders>
            <w:noWrap w:val="0"/>
            <w:vAlign w:val="center"/>
          </w:tcPr>
          <w:p w14:paraId="7EC9B76D">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985.623</w:t>
            </w:r>
          </w:p>
        </w:tc>
        <w:tc>
          <w:tcPr>
            <w:tcW w:w="1417" w:type="dxa"/>
            <w:tcBorders>
              <w:tl2br w:val="nil"/>
              <w:tr2bl w:val="nil"/>
            </w:tcBorders>
            <w:noWrap w:val="0"/>
            <w:vAlign w:val="center"/>
          </w:tcPr>
          <w:p w14:paraId="79033D7F">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611.79</w:t>
            </w:r>
          </w:p>
        </w:tc>
        <w:tc>
          <w:tcPr>
            <w:tcW w:w="883" w:type="dxa"/>
            <w:tcBorders>
              <w:tl2br w:val="nil"/>
              <w:tr2bl w:val="nil"/>
            </w:tcBorders>
            <w:noWrap w:val="0"/>
            <w:vAlign w:val="center"/>
          </w:tcPr>
          <w:p w14:paraId="0E6A7855">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867" w:type="dxa"/>
            <w:tcBorders>
              <w:tl2br w:val="nil"/>
              <w:tr2bl w:val="nil"/>
            </w:tcBorders>
            <w:noWrap w:val="0"/>
            <w:vAlign w:val="center"/>
          </w:tcPr>
          <w:p w14:paraId="7FCAD62C">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1151" w:type="dxa"/>
            <w:tcBorders>
              <w:tl2br w:val="nil"/>
              <w:tr2bl w:val="nil"/>
            </w:tcBorders>
            <w:noWrap w:val="0"/>
            <w:vAlign w:val="center"/>
          </w:tcPr>
          <w:p w14:paraId="48A3CD3D">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611.79</w:t>
            </w:r>
          </w:p>
        </w:tc>
        <w:tc>
          <w:tcPr>
            <w:tcW w:w="1027" w:type="dxa"/>
            <w:tcBorders>
              <w:tl2br w:val="nil"/>
              <w:tr2bl w:val="nil"/>
            </w:tcBorders>
            <w:noWrap w:val="0"/>
            <w:vAlign w:val="center"/>
          </w:tcPr>
          <w:p w14:paraId="7EE993CD">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356.69</w:t>
            </w:r>
          </w:p>
        </w:tc>
        <w:tc>
          <w:tcPr>
            <w:tcW w:w="1083" w:type="dxa"/>
            <w:tcBorders>
              <w:tl2br w:val="nil"/>
              <w:tr2bl w:val="nil"/>
            </w:tcBorders>
            <w:noWrap w:val="0"/>
            <w:vAlign w:val="center"/>
          </w:tcPr>
          <w:p w14:paraId="27E7DD4B">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628.933</w:t>
            </w:r>
          </w:p>
        </w:tc>
        <w:tc>
          <w:tcPr>
            <w:tcW w:w="1566" w:type="dxa"/>
            <w:tcBorders>
              <w:tl2br w:val="nil"/>
              <w:tr2bl w:val="nil"/>
            </w:tcBorders>
            <w:noWrap w:val="0"/>
            <w:vAlign w:val="center"/>
          </w:tcPr>
          <w:p w14:paraId="31E7A4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w:t>
            </w:r>
          </w:p>
        </w:tc>
      </w:tr>
    </w:tbl>
    <w:p w14:paraId="36B865E6">
      <w:pPr>
        <w:pStyle w:val="29"/>
        <w:adjustRightInd w:val="0"/>
        <w:snapToGrid w:val="0"/>
        <w:spacing w:before="0" w:beforeAutospacing="0" w:after="0" w:afterAutospacing="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object>
          <v:shape id="_x0000_i1026" o:spt="75" type="#_x0000_t75" style="height:420.15pt;width:629pt;" o:ole="t" filled="f" o:preferrelative="t" stroked="f" coordsize="21600,21600">
            <v:path/>
            <v:fill on="f" focussize="0,0"/>
            <v:stroke on="f"/>
            <v:imagedata r:id="rId12" o:title=""/>
            <o:lock v:ext="edit" aspectratio="f"/>
            <w10:wrap type="none"/>
            <w10:anchorlock/>
          </v:shape>
          <o:OLEObject Type="Embed" ProgID="Visio.Drawing.15" ShapeID="_x0000_i1026" DrawAspect="Content" ObjectID="_1468075726" r:id="rId11">
            <o:LockedField>false</o:LockedField>
          </o:OLEObject>
        </w:object>
      </w:r>
    </w:p>
    <w:p w14:paraId="2DA0787C">
      <w:pPr>
        <w:pStyle w:val="29"/>
        <w:adjustRightInd w:val="0"/>
        <w:snapToGrid w:val="0"/>
        <w:spacing w:before="0" w:beforeAutospacing="0" w:after="0" w:afterAutospacing="0"/>
        <w:jc w:val="center"/>
        <w:rPr>
          <w:rFonts w:hint="default" w:ascii="Times New Roman" w:hAnsi="Times New Roman" w:eastAsia="宋体" w:cs="Times New Roman"/>
          <w:color w:val="auto"/>
          <w:sz w:val="24"/>
          <w:szCs w:val="24"/>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color w:val="auto"/>
          <w:kern w:val="2"/>
          <w:sz w:val="21"/>
          <w:szCs w:val="24"/>
          <w:lang w:val="en-US" w:eastAsia="zh-CN" w:bidi="ar-SA"/>
        </w:rPr>
        <w:t>图2-</w:t>
      </w:r>
      <w:r>
        <w:rPr>
          <w:rFonts w:hint="eastAsia" w:ascii="Times New Roman" w:hAnsi="Times New Roman"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t xml:space="preserve">  </w:t>
      </w:r>
      <w:r>
        <w:rPr>
          <w:rFonts w:hint="default" w:ascii="Times New Roman" w:hAnsi="Times New Roman" w:eastAsia="宋体" w:cs="Times New Roman"/>
          <w:b/>
          <w:color w:val="auto"/>
          <w:kern w:val="2"/>
          <w:sz w:val="21"/>
          <w:szCs w:val="24"/>
          <w:lang w:val="en-US" w:eastAsia="zh-CN" w:bidi="ar-SA"/>
        </w:rPr>
        <w:t>本项目水平衡图   单位：</w:t>
      </w:r>
      <w:r>
        <w:rPr>
          <w:rFonts w:hint="eastAsia" w:ascii="Times New Roman" w:hAnsi="Times New Roman" w:cs="Times New Roman"/>
          <w:b/>
          <w:color w:val="auto"/>
          <w:kern w:val="2"/>
          <w:sz w:val="21"/>
          <w:szCs w:val="24"/>
          <w:lang w:val="en-US" w:eastAsia="zh-CN" w:bidi="ar-SA"/>
        </w:rPr>
        <w:t>t</w:t>
      </w:r>
      <w:r>
        <w:rPr>
          <w:rFonts w:hint="default" w:ascii="Times New Roman" w:hAnsi="Times New Roman" w:eastAsia="宋体" w:cs="Times New Roman"/>
          <w:b/>
          <w:color w:val="auto"/>
          <w:kern w:val="2"/>
          <w:sz w:val="21"/>
          <w:szCs w:val="24"/>
          <w:lang w:val="en-US" w:eastAsia="zh-CN" w:bidi="ar-SA"/>
        </w:rPr>
        <w:t>/d</w:t>
      </w: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0"/>
        <w:gridCol w:w="8414"/>
      </w:tblGrid>
      <w:tr w14:paraId="36D84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570" w:type="dxa"/>
            <w:noWrap w:val="0"/>
            <w:vAlign w:val="center"/>
          </w:tcPr>
          <w:p w14:paraId="4F51CF1D">
            <w:pPr>
              <w:pStyle w:val="29"/>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rPr>
              <w:t>工艺流程和产排污环节</w:t>
            </w:r>
          </w:p>
        </w:tc>
        <w:tc>
          <w:tcPr>
            <w:tcW w:w="8414" w:type="dxa"/>
            <w:noWrap w:val="0"/>
            <w:vAlign w:val="top"/>
          </w:tcPr>
          <w:p w14:paraId="0BC0601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color w:val="000000"/>
                <w:sz w:val="24"/>
                <w:szCs w:val="24"/>
                <w:highlight w:val="none"/>
                <w:lang w:val="en-US" w:eastAsia="zh-CN"/>
              </w:rPr>
              <w:t>（一）</w:t>
            </w:r>
            <w:r>
              <w:rPr>
                <w:rFonts w:hint="default" w:ascii="Times New Roman" w:hAnsi="Times New Roman" w:eastAsia="宋体" w:cs="Times New Roman"/>
                <w:b/>
                <w:bCs w:val="0"/>
                <w:color w:val="000000"/>
                <w:sz w:val="24"/>
                <w:szCs w:val="24"/>
                <w:highlight w:val="none"/>
                <w:lang w:val="en-US" w:eastAsia="zh-CN"/>
              </w:rPr>
              <w:t>施工期生产工艺流程图</w:t>
            </w:r>
          </w:p>
          <w:p w14:paraId="16E0060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1、</w:t>
            </w:r>
            <w:r>
              <w:rPr>
                <w:rFonts w:hint="default" w:ascii="Times New Roman" w:hAnsi="Times New Roman" w:eastAsia="宋体" w:cs="Times New Roman"/>
                <w:b/>
                <w:bCs/>
                <w:color w:val="000000"/>
                <w:kern w:val="2"/>
                <w:sz w:val="24"/>
                <w:szCs w:val="24"/>
                <w:lang w:val="en-US" w:eastAsia="zh-CN" w:bidi="ar-SA"/>
              </w:rPr>
              <w:t>施工期主要工艺流程及产污环节</w:t>
            </w:r>
          </w:p>
          <w:p w14:paraId="4690F0C9">
            <w:pPr>
              <w:pStyle w:val="124"/>
              <w:bidi w:val="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本项目工程施工期间，装饰工程、设备安装、工程验收等工序将产生噪声、扬尘及废气、固体废弃物、</w:t>
            </w:r>
            <w:r>
              <w:rPr>
                <w:rFonts w:hint="eastAsia" w:ascii="Times New Roman" w:hAnsi="Times New Roman" w:eastAsia="宋体" w:cs="Times New Roman"/>
                <w:color w:val="auto"/>
                <w:kern w:val="0"/>
                <w:sz w:val="24"/>
                <w:szCs w:val="24"/>
                <w:lang w:val="en-US" w:eastAsia="zh-CN"/>
              </w:rPr>
              <w:t>废水</w:t>
            </w:r>
            <w:r>
              <w:rPr>
                <w:rFonts w:hint="default" w:ascii="Times New Roman" w:hAnsi="Times New Roman" w:eastAsia="宋体" w:cs="Times New Roman"/>
                <w:color w:val="auto"/>
                <w:kern w:val="0"/>
                <w:sz w:val="24"/>
                <w:szCs w:val="24"/>
                <w:lang w:val="en-US" w:eastAsia="zh-CN"/>
              </w:rPr>
              <w:t>等污染物，其排放量随工序和施工强度不同而变化</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具体的工艺流程及产污环节见图。</w:t>
            </w:r>
          </w:p>
          <w:p w14:paraId="3C3E047D">
            <w:pPr>
              <w:pStyle w:val="124"/>
              <w:bidi w:val="0"/>
              <w:ind w:left="0" w:leftChars="0" w:firstLine="0" w:firstLineChars="0"/>
              <w:jc w:val="center"/>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drawing>
                <wp:inline distT="0" distB="0" distL="114300" distR="114300">
                  <wp:extent cx="3331845" cy="1875790"/>
                  <wp:effectExtent l="0" t="0" r="1905" b="10160"/>
                  <wp:docPr id="4" name="图片 4" descr="施工工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施工工艺图"/>
                          <pic:cNvPicPr>
                            <a:picLocks noChangeAspect="1"/>
                          </pic:cNvPicPr>
                        </pic:nvPicPr>
                        <pic:blipFill>
                          <a:blip r:embed="rId13"/>
                          <a:stretch>
                            <a:fillRect/>
                          </a:stretch>
                        </pic:blipFill>
                        <pic:spPr>
                          <a:xfrm>
                            <a:off x="0" y="0"/>
                            <a:ext cx="3331845" cy="1875790"/>
                          </a:xfrm>
                          <a:prstGeom prst="rect">
                            <a:avLst/>
                          </a:prstGeom>
                        </pic:spPr>
                      </pic:pic>
                    </a:graphicData>
                  </a:graphic>
                </wp:inline>
              </w:drawing>
            </w:r>
          </w:p>
          <w:p w14:paraId="54DD78AE">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center"/>
              <w:textAlignment w:val="auto"/>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图2-</w:t>
            </w:r>
            <w:r>
              <w:rPr>
                <w:rFonts w:hint="eastAsia" w:ascii="Times New Roman" w:hAnsi="Times New Roman"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t xml:space="preserve">  </w:t>
            </w:r>
            <w:r>
              <w:rPr>
                <w:rFonts w:hint="default" w:ascii="Times New Roman" w:hAnsi="Times New Roman" w:eastAsia="宋体" w:cs="Times New Roman"/>
                <w:b/>
                <w:color w:val="auto"/>
                <w:kern w:val="2"/>
                <w:sz w:val="21"/>
                <w:szCs w:val="24"/>
                <w:lang w:val="en-US" w:eastAsia="zh-CN" w:bidi="ar-SA"/>
              </w:rPr>
              <w:t>施工期主要工艺流程及产污环节图</w:t>
            </w:r>
          </w:p>
          <w:p w14:paraId="5BF62D2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施工期主要污染工序</w:t>
            </w:r>
          </w:p>
          <w:p w14:paraId="0B8C5597">
            <w:pPr>
              <w:pStyle w:val="124"/>
              <w:bidi w:val="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本项目在施工期间由于</w:t>
            </w:r>
            <w:r>
              <w:rPr>
                <w:rFonts w:hint="eastAsia" w:ascii="Times New Roman" w:hAnsi="Times New Roman" w:eastAsia="宋体" w:cs="Times New Roman"/>
                <w:color w:val="auto"/>
                <w:kern w:val="0"/>
                <w:sz w:val="24"/>
                <w:szCs w:val="24"/>
                <w:lang w:val="en-US" w:eastAsia="zh-CN"/>
              </w:rPr>
              <w:t>基础施工和设备安装</w:t>
            </w:r>
            <w:r>
              <w:rPr>
                <w:rFonts w:hint="default" w:ascii="Times New Roman" w:hAnsi="Times New Roman" w:eastAsia="宋体" w:cs="Times New Roman"/>
                <w:color w:val="auto"/>
                <w:kern w:val="0"/>
                <w:sz w:val="24"/>
                <w:szCs w:val="24"/>
                <w:lang w:val="en-US" w:eastAsia="zh-CN"/>
              </w:rPr>
              <w:t>，不可避免地将对周围环境产生影响。建设施工期主要污染因子有：施工扬尘、噪声、生活污水</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建筑固废和生活垃圾等。</w:t>
            </w:r>
          </w:p>
          <w:p w14:paraId="13A626E7">
            <w:pPr>
              <w:keepNext w:val="0"/>
              <w:keepLines w:val="0"/>
              <w:pageBreakBefore w:val="0"/>
              <w:widowControl w:val="0"/>
              <w:tabs>
                <w:tab w:val="left" w:pos="5128"/>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①</w:t>
            </w:r>
            <w:r>
              <w:rPr>
                <w:rFonts w:hint="eastAsia" w:cs="Times New Roman"/>
                <w:color w:val="auto"/>
                <w:kern w:val="0"/>
                <w:sz w:val="24"/>
                <w:szCs w:val="24"/>
                <w:lang w:val="en-US" w:eastAsia="zh-CN" w:bidi="ar-SA"/>
              </w:rPr>
              <w:t>废气：</w:t>
            </w:r>
            <w:r>
              <w:rPr>
                <w:rFonts w:hint="default" w:ascii="Times New Roman" w:hAnsi="Times New Roman" w:eastAsia="宋体" w:cs="Times New Roman"/>
                <w:color w:val="auto"/>
                <w:kern w:val="0"/>
                <w:sz w:val="24"/>
                <w:szCs w:val="24"/>
                <w:lang w:val="en-US" w:eastAsia="zh-CN" w:bidi="ar-SA"/>
              </w:rPr>
              <w:t>施工扬尘</w:t>
            </w:r>
            <w:r>
              <w:rPr>
                <w:rFonts w:hint="eastAsia" w:cs="Times New Roman"/>
                <w:color w:val="auto"/>
                <w:kern w:val="0"/>
                <w:sz w:val="24"/>
                <w:szCs w:val="24"/>
                <w:lang w:val="en-US" w:eastAsia="zh-CN" w:bidi="ar-SA"/>
              </w:rPr>
              <w:t>、设备使用时产生的废气</w:t>
            </w:r>
          </w:p>
          <w:p w14:paraId="701A8D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②</w:t>
            </w:r>
            <w:r>
              <w:rPr>
                <w:rFonts w:hint="eastAsia" w:cs="Times New Roman"/>
                <w:color w:val="auto"/>
                <w:kern w:val="0"/>
                <w:sz w:val="24"/>
                <w:szCs w:val="24"/>
                <w:lang w:val="en-US" w:eastAsia="zh-CN" w:bidi="ar-SA"/>
              </w:rPr>
              <w:t>废水：</w:t>
            </w:r>
            <w:r>
              <w:rPr>
                <w:rFonts w:hint="default" w:ascii="Times New Roman" w:hAnsi="Times New Roman" w:eastAsia="宋体" w:cs="Times New Roman"/>
                <w:color w:val="auto"/>
                <w:kern w:val="0"/>
                <w:sz w:val="24"/>
                <w:szCs w:val="24"/>
                <w:lang w:val="en-US" w:eastAsia="zh-CN" w:bidi="ar-SA"/>
              </w:rPr>
              <w:t>施工人员生活污水</w:t>
            </w:r>
          </w:p>
          <w:p w14:paraId="46A73C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fldChar w:fldCharType="begin"/>
            </w:r>
            <w:r>
              <w:rPr>
                <w:rFonts w:hint="default" w:ascii="Times New Roman" w:hAnsi="Times New Roman" w:eastAsia="宋体" w:cs="Times New Roman"/>
                <w:color w:val="auto"/>
                <w:kern w:val="0"/>
                <w:sz w:val="24"/>
                <w:szCs w:val="24"/>
                <w:lang w:val="en-US" w:eastAsia="zh-CN" w:bidi="ar-SA"/>
              </w:rPr>
              <w:instrText xml:space="preserve"> = 3 \* GB3 \* MERGEFORMAT </w:instrText>
            </w:r>
            <w:r>
              <w:rPr>
                <w:rFonts w:hint="default" w:ascii="Times New Roman" w:hAnsi="Times New Roman" w:eastAsia="宋体" w:cs="Times New Roman"/>
                <w:color w:val="auto"/>
                <w:kern w:val="0"/>
                <w:sz w:val="24"/>
                <w:szCs w:val="24"/>
                <w:lang w:val="en-US" w:eastAsia="zh-CN" w:bidi="ar-SA"/>
              </w:rPr>
              <w:fldChar w:fldCharType="separate"/>
            </w:r>
            <w:r>
              <w:rPr>
                <w:rFonts w:hint="eastAsia" w:ascii="Times New Roman" w:hAnsi="Times New Roman" w:eastAsia="宋体" w:cs="Times New Roman"/>
                <w:color w:val="auto"/>
                <w:kern w:val="0"/>
                <w:sz w:val="24"/>
                <w:szCs w:val="24"/>
                <w:lang w:val="en-US" w:eastAsia="zh-CN" w:bidi="ar-SA"/>
              </w:rPr>
              <w:t>③</w:t>
            </w:r>
            <w:r>
              <w:rPr>
                <w:rFonts w:hint="default" w:ascii="Times New Roman" w:hAnsi="Times New Roman" w:eastAsia="宋体" w:cs="Times New Roman"/>
                <w:color w:val="auto"/>
                <w:kern w:val="0"/>
                <w:sz w:val="24"/>
                <w:szCs w:val="24"/>
                <w:lang w:val="en-US" w:eastAsia="zh-CN" w:bidi="ar-SA"/>
              </w:rPr>
              <w:fldChar w:fldCharType="end"/>
            </w:r>
            <w:r>
              <w:rPr>
                <w:rFonts w:hint="eastAsia" w:cs="Times New Roman"/>
                <w:color w:val="auto"/>
                <w:kern w:val="0"/>
                <w:sz w:val="24"/>
                <w:szCs w:val="24"/>
                <w:lang w:val="en-US" w:eastAsia="zh-CN" w:bidi="ar-SA"/>
              </w:rPr>
              <w:t>噪声：</w:t>
            </w:r>
            <w:r>
              <w:rPr>
                <w:rFonts w:hint="default" w:ascii="Times New Roman" w:hAnsi="Times New Roman" w:eastAsia="宋体" w:cs="Times New Roman"/>
                <w:color w:val="auto"/>
                <w:kern w:val="0"/>
                <w:sz w:val="24"/>
                <w:szCs w:val="24"/>
                <w:lang w:val="en-US" w:eastAsia="zh-CN" w:bidi="ar-SA"/>
              </w:rPr>
              <w:t>施工期间由于使用电钻</w:t>
            </w:r>
            <w:r>
              <w:rPr>
                <w:rFonts w:hint="eastAsia" w:cs="Times New Roman"/>
                <w:color w:val="auto"/>
                <w:kern w:val="0"/>
                <w:sz w:val="24"/>
                <w:szCs w:val="24"/>
                <w:lang w:val="en-US" w:eastAsia="zh-CN" w:bidi="ar-SA"/>
              </w:rPr>
              <w:t>、推车</w:t>
            </w:r>
            <w:r>
              <w:rPr>
                <w:rFonts w:hint="default" w:ascii="Times New Roman" w:hAnsi="Times New Roman" w:eastAsia="宋体" w:cs="Times New Roman"/>
                <w:color w:val="auto"/>
                <w:kern w:val="0"/>
                <w:sz w:val="24"/>
                <w:szCs w:val="24"/>
                <w:lang w:val="en-US" w:eastAsia="zh-CN" w:bidi="ar-SA"/>
              </w:rPr>
              <w:t>等机械，会产生一定的噪声污染，源强约为70～100dB（A），其特点是突发性和间歇性。</w:t>
            </w:r>
          </w:p>
          <w:p w14:paraId="1B8BF8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④</w:t>
            </w:r>
            <w:r>
              <w:rPr>
                <w:rFonts w:hint="eastAsia" w:cs="Times New Roman"/>
                <w:color w:val="auto"/>
                <w:kern w:val="0"/>
                <w:sz w:val="24"/>
                <w:szCs w:val="24"/>
                <w:lang w:val="en-US" w:eastAsia="zh-CN" w:bidi="ar-SA"/>
              </w:rPr>
              <w:t>固废：</w:t>
            </w:r>
            <w:r>
              <w:rPr>
                <w:rFonts w:hint="default" w:ascii="Times New Roman" w:hAnsi="Times New Roman" w:eastAsia="宋体" w:cs="Times New Roman"/>
                <w:color w:val="auto"/>
                <w:kern w:val="0"/>
                <w:sz w:val="24"/>
                <w:szCs w:val="24"/>
                <w:lang w:val="en-US" w:eastAsia="zh-CN" w:bidi="ar-SA"/>
              </w:rPr>
              <w:t>施工人员生活垃圾；建筑垃圾</w:t>
            </w:r>
            <w:r>
              <w:rPr>
                <w:rFonts w:hint="eastAsia" w:ascii="Times New Roman" w:hAnsi="Times New Roman" w:eastAsia="宋体" w:cs="Times New Roman"/>
                <w:color w:val="auto"/>
                <w:kern w:val="0"/>
                <w:sz w:val="24"/>
                <w:szCs w:val="24"/>
                <w:lang w:val="en-US" w:eastAsia="zh-CN" w:bidi="ar-SA"/>
              </w:rPr>
              <w:t>；</w:t>
            </w:r>
          </w:p>
          <w:p w14:paraId="1A571CA2">
            <w:pPr>
              <w:pStyle w:val="124"/>
              <w:numPr>
                <w:ilvl w:val="0"/>
                <w:numId w:val="0"/>
              </w:numPr>
              <w:bidi w:val="0"/>
              <w:ind w:firstLine="482" w:firstLineChars="200"/>
              <w:rPr>
                <w:rFonts w:hint="default" w:ascii="Times New Roman" w:hAnsi="Times New Roman" w:cs="Times New Roman"/>
                <w:b/>
                <w:bCs/>
                <w:color w:val="auto"/>
                <w:lang w:val="en-US" w:eastAsia="zh-CN"/>
              </w:rPr>
            </w:pPr>
            <w:r>
              <w:rPr>
                <w:rFonts w:hint="eastAsia" w:ascii="Times New Roman" w:hAnsi="Times New Roman" w:eastAsia="宋体" w:cs="Times New Roman"/>
                <w:b/>
                <w:bCs/>
                <w:color w:val="auto"/>
                <w:lang w:val="en-US" w:eastAsia="zh-CN"/>
              </w:rPr>
              <w:t>（二）</w:t>
            </w:r>
            <w:r>
              <w:rPr>
                <w:rFonts w:hint="default" w:ascii="Times New Roman" w:hAnsi="Times New Roman" w:cs="Times New Roman"/>
                <w:b/>
                <w:bCs/>
                <w:color w:val="auto"/>
                <w:lang w:val="en-US" w:eastAsia="zh-CN"/>
              </w:rPr>
              <w:t>运营期生产工艺流程及产排污环节</w:t>
            </w:r>
          </w:p>
          <w:p w14:paraId="60AF1D0A">
            <w:pPr>
              <w:pStyle w:val="124"/>
              <w:bidi w:val="0"/>
              <w:rPr>
                <w:rFonts w:hint="default" w:cs="Times New Roman"/>
                <w:color w:val="auto"/>
                <w:lang w:val="en-US" w:eastAsia="zh-CN"/>
              </w:rPr>
            </w:pPr>
            <w:r>
              <w:rPr>
                <w:rFonts w:hint="eastAsia" w:ascii="Times New Roman" w:hAnsi="Times New Roman" w:eastAsia="宋体" w:cs="Times New Roman"/>
                <w:color w:val="auto"/>
                <w:lang w:val="en-US" w:eastAsia="zh-CN"/>
              </w:rPr>
              <w:t>本项目产品大致可分为切配类、蒸煮类及炒制类，本项目原料进厂前已经过检验合格。 各</w:t>
            </w:r>
            <w:r>
              <w:rPr>
                <w:rFonts w:hint="default" w:ascii="Times New Roman" w:hAnsi="Times New Roman" w:cs="Times New Roman"/>
                <w:color w:val="auto"/>
                <w:lang w:val="en-US" w:eastAsia="zh-CN"/>
              </w:rPr>
              <w:t>生产工艺流程及产排污环节</w:t>
            </w:r>
            <w:r>
              <w:rPr>
                <w:rFonts w:hint="eastAsia" w:cs="Times New Roman"/>
                <w:color w:val="auto"/>
                <w:lang w:val="en-US" w:eastAsia="zh-CN"/>
              </w:rPr>
              <w:t>图如下。</w:t>
            </w:r>
          </w:p>
          <w:p w14:paraId="3F2D593E">
            <w:pPr>
              <w:pStyle w:val="124"/>
              <w:bidi w:val="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1、切配类 </w:t>
            </w:r>
          </w:p>
          <w:p w14:paraId="55EE3EF4">
            <w:pPr>
              <w:pStyle w:val="124"/>
              <w:bidi w:val="0"/>
              <w:rPr>
                <w:rFonts w:hint="eastAsia" w:cs="Times New Roman"/>
                <w:color w:val="auto"/>
                <w:lang w:val="en-US" w:eastAsia="zh-CN"/>
              </w:rPr>
            </w:pPr>
            <w:r>
              <w:rPr>
                <w:rFonts w:hint="eastAsia" w:ascii="Times New Roman" w:hAnsi="Times New Roman" w:eastAsia="宋体" w:cs="Times New Roman"/>
                <w:color w:val="auto"/>
                <w:lang w:val="en-US" w:eastAsia="zh-CN"/>
              </w:rPr>
              <w:t>本项目肉类车间和果蔬车间主要进行切配类，无烹饪，</w:t>
            </w:r>
            <w:r>
              <w:rPr>
                <w:rFonts w:hint="default" w:ascii="Times New Roman" w:hAnsi="Times New Roman" w:cs="Times New Roman"/>
                <w:color w:val="auto"/>
                <w:lang w:val="en-US" w:eastAsia="zh-CN"/>
              </w:rPr>
              <w:t>生产工艺流程及产排污环节</w:t>
            </w:r>
            <w:r>
              <w:rPr>
                <w:rFonts w:hint="eastAsia" w:cs="Times New Roman"/>
                <w:color w:val="auto"/>
                <w:lang w:val="en-US" w:eastAsia="zh-CN"/>
              </w:rPr>
              <w:t>图</w:t>
            </w:r>
            <w:r>
              <w:rPr>
                <w:rFonts w:hint="eastAsia" w:ascii="Times New Roman" w:hAnsi="Times New Roman" w:eastAsia="宋体" w:cs="Times New Roman"/>
                <w:color w:val="auto"/>
                <w:lang w:val="en-US" w:eastAsia="zh-CN"/>
              </w:rPr>
              <w:t>见下图：</w:t>
            </w:r>
          </w:p>
          <w:p w14:paraId="5D2109E1">
            <w:pPr>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object>
                <v:shape id="_x0000_i1027" o:spt="75" type="#_x0000_t75" style="height:314.2pt;width:409.7pt;" o:ole="t" filled="f" o:preferrelative="t" stroked="f" coordsize="21600,21600">
                  <v:path/>
                  <v:fill on="f" focussize="0,0"/>
                  <v:stroke on="f"/>
                  <v:imagedata r:id="rId15" o:title=""/>
                  <o:lock v:ext="edit" aspectratio="f"/>
                  <w10:wrap type="none"/>
                  <w10:anchorlock/>
                </v:shape>
                <o:OLEObject Type="Embed" ProgID="Visio.Drawing.15" ShapeID="_x0000_i1027" DrawAspect="Content" ObjectID="_1468075727" r:id="rId14">
                  <o:LockedField>false</o:LockedField>
                </o:OLEObject>
              </w:object>
            </w:r>
          </w:p>
          <w:p w14:paraId="1D0C5E13">
            <w:pPr>
              <w:jc w:val="center"/>
              <w:rPr>
                <w:rFonts w:hint="default" w:ascii="Times New Roman" w:hAnsi="Times New Roman" w:eastAsia="宋体" w:cs="Times New Roman"/>
                <w:b/>
                <w:color w:val="auto"/>
                <w:kern w:val="2"/>
                <w:sz w:val="21"/>
                <w:szCs w:val="24"/>
                <w:lang w:val="en-US" w:eastAsia="zh-CN" w:bidi="ar-SA"/>
              </w:rPr>
            </w:pPr>
          </w:p>
          <w:p w14:paraId="2E6111B0">
            <w:pPr>
              <w:jc w:val="center"/>
              <w:rPr>
                <w:rFonts w:hint="eastAsia" w:cs="Times New Roman"/>
                <w:b/>
                <w:bCs/>
                <w:color w:val="auto"/>
                <w:kern w:val="0"/>
                <w:sz w:val="24"/>
                <w:szCs w:val="24"/>
                <w:lang w:val="en-US" w:eastAsia="zh-CN" w:bidi="ar-SA"/>
              </w:rPr>
            </w:pPr>
            <w:r>
              <w:rPr>
                <w:rFonts w:hint="default" w:ascii="Times New Roman" w:hAnsi="Times New Roman" w:eastAsia="宋体" w:cs="Times New Roman"/>
                <w:b/>
                <w:color w:val="auto"/>
                <w:kern w:val="2"/>
                <w:sz w:val="21"/>
                <w:szCs w:val="24"/>
                <w:lang w:val="en-US" w:eastAsia="zh-CN" w:bidi="ar-SA"/>
              </w:rPr>
              <w:t>图2-</w:t>
            </w:r>
            <w:r>
              <w:rPr>
                <w:rFonts w:hint="eastAsia"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t xml:space="preserve">  </w:t>
            </w:r>
            <w:r>
              <w:rPr>
                <w:rFonts w:hint="eastAsia" w:cs="Times New Roman"/>
                <w:b/>
                <w:color w:val="auto"/>
                <w:kern w:val="2"/>
                <w:sz w:val="21"/>
                <w:szCs w:val="24"/>
                <w:lang w:val="en-US" w:eastAsia="zh-CN" w:bidi="ar-SA"/>
              </w:rPr>
              <w:t>切配类</w:t>
            </w:r>
            <w:r>
              <w:rPr>
                <w:b/>
                <w:color w:val="auto"/>
                <w:kern w:val="24"/>
                <w:szCs w:val="21"/>
              </w:rPr>
              <w:t>工艺生产流程及产污</w:t>
            </w:r>
            <w:r>
              <w:rPr>
                <w:rFonts w:hint="eastAsia"/>
                <w:b/>
                <w:color w:val="auto"/>
                <w:kern w:val="24"/>
                <w:szCs w:val="21"/>
              </w:rPr>
              <w:t>环节</w:t>
            </w:r>
            <w:r>
              <w:rPr>
                <w:b/>
                <w:color w:val="auto"/>
                <w:kern w:val="24"/>
                <w:szCs w:val="21"/>
              </w:rPr>
              <w:t>图</w:t>
            </w:r>
          </w:p>
          <w:p w14:paraId="3BFE11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SA"/>
              </w:rPr>
            </w:pPr>
          </w:p>
          <w:p w14:paraId="7979BA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工艺流程及产污环节简述：</w:t>
            </w:r>
          </w:p>
          <w:p w14:paraId="0B0340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本项目原料果蔬和肉类从冷库内取出，肉类首先需要</w:t>
            </w:r>
            <w:r>
              <w:rPr>
                <w:rFonts w:hint="eastAsia" w:cs="Times New Roman"/>
                <w:b w:val="0"/>
                <w:bCs w:val="0"/>
                <w:color w:val="000000"/>
                <w:kern w:val="0"/>
                <w:sz w:val="24"/>
                <w:szCs w:val="24"/>
                <w:lang w:val="en-US" w:eastAsia="zh-CN" w:bidi="ar"/>
              </w:rPr>
              <w:t>用新鲜水</w:t>
            </w:r>
            <w:r>
              <w:rPr>
                <w:rFonts w:hint="default" w:ascii="Times New Roman" w:hAnsi="Times New Roman" w:eastAsia="宋体" w:cs="Times New Roman"/>
                <w:b w:val="0"/>
                <w:bCs w:val="0"/>
                <w:color w:val="000000"/>
                <w:kern w:val="0"/>
                <w:sz w:val="24"/>
                <w:szCs w:val="24"/>
                <w:lang w:val="en-US" w:eastAsia="zh-CN" w:bidi="ar"/>
              </w:rPr>
              <w:t>解冻，果蔬先</w:t>
            </w:r>
            <w:r>
              <w:rPr>
                <w:rFonts w:hint="eastAsia" w:cs="Times New Roman"/>
                <w:b w:val="0"/>
                <w:bCs w:val="0"/>
                <w:color w:val="000000"/>
                <w:kern w:val="0"/>
                <w:sz w:val="24"/>
                <w:szCs w:val="24"/>
                <w:lang w:val="en-US" w:eastAsia="zh-CN" w:bidi="ar"/>
              </w:rPr>
              <w:t>用纯水</w:t>
            </w:r>
            <w:r>
              <w:rPr>
                <w:rFonts w:hint="default" w:ascii="Times New Roman" w:hAnsi="Times New Roman" w:eastAsia="宋体" w:cs="Times New Roman"/>
                <w:b w:val="0"/>
                <w:bCs w:val="0"/>
                <w:color w:val="000000"/>
                <w:kern w:val="0"/>
                <w:sz w:val="24"/>
                <w:szCs w:val="24"/>
                <w:lang w:val="en-US" w:eastAsia="zh-CN" w:bidi="ar"/>
              </w:rPr>
              <w:t>清洗再去皮去根，解冻的肉类和去皮去根的果蔬再经过</w:t>
            </w:r>
            <w:r>
              <w:rPr>
                <w:rFonts w:hint="eastAsia" w:cs="Times New Roman"/>
                <w:b w:val="0"/>
                <w:bCs w:val="0"/>
                <w:color w:val="000000"/>
                <w:kern w:val="0"/>
                <w:sz w:val="24"/>
                <w:szCs w:val="24"/>
                <w:lang w:val="en-US" w:eastAsia="zh-CN" w:bidi="ar"/>
              </w:rPr>
              <w:t>纯水</w:t>
            </w:r>
            <w:r>
              <w:rPr>
                <w:rFonts w:hint="default" w:ascii="Times New Roman" w:hAnsi="Times New Roman" w:eastAsia="宋体" w:cs="Times New Roman"/>
                <w:b w:val="0"/>
                <w:bCs w:val="0"/>
                <w:color w:val="000000"/>
                <w:kern w:val="0"/>
                <w:sz w:val="24"/>
                <w:szCs w:val="24"/>
                <w:lang w:val="en-US" w:eastAsia="zh-CN" w:bidi="ar"/>
              </w:rPr>
              <w:t>清洗、分切、脱水和包装即可得到切配类的产品，产品进入冷库进行冷藏，根据要求及时送至用餐点进行烹饪。本项目切配类的成品冷藏均为短暂冷藏，无长时间冷藏。</w:t>
            </w:r>
          </w:p>
          <w:p w14:paraId="280728B6">
            <w:pPr>
              <w:pStyle w:val="124"/>
              <w:bidi w:val="0"/>
              <w:rPr>
                <w:rFonts w:hint="eastAsia" w:ascii="Times New Roman" w:hAnsi="Times New Roman" w:eastAsia="宋体" w:cs="Times New Roman"/>
                <w:b/>
                <w:bCs/>
                <w:color w:val="auto"/>
                <w:lang w:val="en-US" w:eastAsia="zh-CN"/>
              </w:rPr>
            </w:pPr>
            <w:r>
              <w:rPr>
                <w:rFonts w:hint="eastAsia" w:cs="Times New Roman"/>
                <w:b w:val="0"/>
                <w:bCs w:val="0"/>
                <w:color w:val="auto"/>
                <w:lang w:val="en-US" w:eastAsia="zh-CN"/>
              </w:rPr>
              <w:t>此过程产生的主要污染物为解冻废水和原料清洗废水。</w:t>
            </w:r>
          </w:p>
          <w:p w14:paraId="0394542C">
            <w:pPr>
              <w:pStyle w:val="124"/>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2、蒸煮类</w:t>
            </w:r>
            <w:r>
              <w:rPr>
                <w:rFonts w:hint="eastAsia" w:ascii="Times New Roman" w:hAnsi="Times New Roman" w:eastAsia="宋体" w:cs="Times New Roman"/>
                <w:color w:val="auto"/>
                <w:lang w:val="en-US" w:eastAsia="zh-CN"/>
              </w:rPr>
              <w:t xml:space="preserve"> </w:t>
            </w:r>
          </w:p>
          <w:p w14:paraId="14BA4228">
            <w:pPr>
              <w:pStyle w:val="124"/>
              <w:bidi w:val="0"/>
              <w:rPr>
                <w:rFonts w:hint="eastAsia" w:cs="Times New Roman"/>
                <w:color w:val="auto"/>
                <w:lang w:val="en-US" w:eastAsia="zh-CN"/>
              </w:rPr>
            </w:pPr>
            <w:r>
              <w:rPr>
                <w:rFonts w:hint="eastAsia" w:ascii="Times New Roman" w:hAnsi="Times New Roman" w:eastAsia="宋体" w:cs="Times New Roman"/>
                <w:color w:val="auto"/>
                <w:lang w:val="en-US" w:eastAsia="zh-CN"/>
              </w:rPr>
              <w:t>主要为中央厨房和预制菜车间</w:t>
            </w:r>
            <w:r>
              <w:rPr>
                <w:rFonts w:hint="eastAsia" w:cs="Times New Roman"/>
                <w:color w:val="auto"/>
                <w:lang w:val="en-US" w:eastAsia="zh-CN"/>
              </w:rPr>
              <w:t>生产内容</w:t>
            </w:r>
            <w:r>
              <w:rPr>
                <w:rFonts w:hint="eastAsia"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生产工艺流程及产排污环节</w:t>
            </w:r>
            <w:r>
              <w:rPr>
                <w:rFonts w:hint="eastAsia" w:cs="Times New Roman"/>
                <w:color w:val="auto"/>
                <w:lang w:val="en-US" w:eastAsia="zh-CN"/>
              </w:rPr>
              <w:t>图</w:t>
            </w:r>
            <w:r>
              <w:rPr>
                <w:rFonts w:hint="eastAsia" w:ascii="Times New Roman" w:hAnsi="Times New Roman" w:eastAsia="宋体" w:cs="Times New Roman"/>
                <w:color w:val="auto"/>
                <w:lang w:val="en-US" w:eastAsia="zh-CN"/>
              </w:rPr>
              <w:t>见下图：</w:t>
            </w:r>
          </w:p>
          <w:p w14:paraId="4F9A125F">
            <w:pPr>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object>
                <v:shape id="_x0000_i1028" o:spt="75" type="#_x0000_t75" style="height:354.15pt;width:409.9pt;" o:ole="t" filled="f" o:preferrelative="t" stroked="f" coordsize="21600,21600">
                  <v:path/>
                  <v:fill on="f" focussize="0,0"/>
                  <v:stroke on="f"/>
                  <v:imagedata r:id="rId17" o:title=""/>
                  <o:lock v:ext="edit" aspectratio="f"/>
                  <w10:wrap type="none"/>
                  <w10:anchorlock/>
                </v:shape>
                <o:OLEObject Type="Embed" ProgID="Visio.Drawing.15" ShapeID="_x0000_i1028" DrawAspect="Content" ObjectID="_1468075728" r:id="rId16">
                  <o:LockedField>false</o:LockedField>
                </o:OLEObject>
              </w:object>
            </w:r>
          </w:p>
          <w:p w14:paraId="0187D3CA">
            <w:pPr>
              <w:jc w:val="center"/>
              <w:rPr>
                <w:rFonts w:hint="default" w:ascii="Times New Roman" w:hAnsi="Times New Roman" w:eastAsia="宋体" w:cs="Times New Roman"/>
                <w:b/>
                <w:color w:val="auto"/>
                <w:kern w:val="2"/>
                <w:sz w:val="21"/>
                <w:szCs w:val="24"/>
                <w:lang w:val="en-US" w:eastAsia="zh-CN" w:bidi="ar-SA"/>
              </w:rPr>
            </w:pPr>
          </w:p>
          <w:p w14:paraId="10C1158D">
            <w:pPr>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图2-</w:t>
            </w:r>
            <w:r>
              <w:rPr>
                <w:rFonts w:hint="eastAsia" w:cs="Times New Roman"/>
                <w:b/>
                <w:color w:val="auto"/>
                <w:kern w:val="2"/>
                <w:sz w:val="21"/>
                <w:szCs w:val="24"/>
                <w:lang w:val="en-US" w:eastAsia="zh-CN" w:bidi="ar-SA"/>
              </w:rPr>
              <w:t>5</w:t>
            </w:r>
            <w:r>
              <w:rPr>
                <w:rFonts w:hint="eastAsia" w:ascii="Times New Roman" w:hAnsi="Times New Roman" w:eastAsia="宋体" w:cs="Times New Roman"/>
                <w:b/>
                <w:color w:val="auto"/>
                <w:kern w:val="2"/>
                <w:sz w:val="21"/>
                <w:szCs w:val="24"/>
                <w:lang w:val="en-US" w:eastAsia="zh-CN" w:bidi="ar-SA"/>
              </w:rPr>
              <w:t xml:space="preserve">  </w:t>
            </w:r>
            <w:r>
              <w:rPr>
                <w:rFonts w:hint="eastAsia" w:cs="Times New Roman"/>
                <w:b/>
                <w:color w:val="auto"/>
                <w:kern w:val="2"/>
                <w:sz w:val="21"/>
                <w:szCs w:val="24"/>
                <w:lang w:val="en-US" w:eastAsia="zh-CN" w:bidi="ar-SA"/>
              </w:rPr>
              <w:t>蒸煮类</w:t>
            </w:r>
            <w:r>
              <w:rPr>
                <w:b/>
                <w:color w:val="auto"/>
                <w:kern w:val="24"/>
                <w:szCs w:val="21"/>
              </w:rPr>
              <w:t>工艺生产流程及产污</w:t>
            </w:r>
            <w:r>
              <w:rPr>
                <w:rFonts w:hint="eastAsia"/>
                <w:b/>
                <w:color w:val="auto"/>
                <w:kern w:val="24"/>
                <w:szCs w:val="21"/>
              </w:rPr>
              <w:t>环节</w:t>
            </w:r>
            <w:r>
              <w:rPr>
                <w:b/>
                <w:color w:val="auto"/>
                <w:kern w:val="24"/>
                <w:szCs w:val="21"/>
              </w:rPr>
              <w:t>图</w:t>
            </w:r>
          </w:p>
          <w:p w14:paraId="543173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SA"/>
              </w:rPr>
            </w:pPr>
          </w:p>
          <w:p w14:paraId="190670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工艺流程及产污环节简述：</w:t>
            </w:r>
          </w:p>
          <w:p w14:paraId="39A0FC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本项目</w:t>
            </w:r>
            <w:r>
              <w:rPr>
                <w:rFonts w:hint="eastAsia" w:cs="Times New Roman"/>
                <w:b w:val="0"/>
                <w:bCs w:val="0"/>
                <w:color w:val="000000"/>
                <w:kern w:val="0"/>
                <w:sz w:val="24"/>
                <w:szCs w:val="24"/>
                <w:lang w:val="en-US" w:eastAsia="zh-CN" w:bidi="ar"/>
              </w:rPr>
              <w:t>原料大米从仓库内取出后先用纯水进行清洗，清洗完后放进蒸箱内蒸煮，蒸煮完后经过包装</w:t>
            </w:r>
            <w:r>
              <w:rPr>
                <w:rFonts w:hint="eastAsia" w:ascii="Times New Roman" w:hAnsi="Times New Roman" w:eastAsia="宋体" w:cs="Times New Roman"/>
                <w:b w:val="0"/>
                <w:bCs w:val="0"/>
                <w:color w:val="000000"/>
                <w:kern w:val="0"/>
                <w:sz w:val="24"/>
                <w:szCs w:val="24"/>
                <w:lang w:val="en-US" w:eastAsia="zh-CN" w:bidi="ar"/>
              </w:rPr>
              <w:t>即可得到产品</w:t>
            </w:r>
            <w:r>
              <w:rPr>
                <w:rFonts w:hint="eastAsia"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原料果蔬和肉类从冷库内取出，肉类首先需要</w:t>
            </w:r>
            <w:r>
              <w:rPr>
                <w:rFonts w:hint="eastAsia" w:cs="Times New Roman"/>
                <w:b w:val="0"/>
                <w:bCs w:val="0"/>
                <w:color w:val="000000"/>
                <w:kern w:val="0"/>
                <w:sz w:val="24"/>
                <w:szCs w:val="24"/>
                <w:lang w:val="en-US" w:eastAsia="zh-CN" w:bidi="ar"/>
              </w:rPr>
              <w:t>用新鲜水</w:t>
            </w:r>
            <w:r>
              <w:rPr>
                <w:rFonts w:hint="default" w:ascii="Times New Roman" w:hAnsi="Times New Roman" w:eastAsia="宋体" w:cs="Times New Roman"/>
                <w:b w:val="0"/>
                <w:bCs w:val="0"/>
                <w:color w:val="000000"/>
                <w:kern w:val="0"/>
                <w:sz w:val="24"/>
                <w:szCs w:val="24"/>
                <w:lang w:val="en-US" w:eastAsia="zh-CN" w:bidi="ar"/>
              </w:rPr>
              <w:t>解冻，果蔬先</w:t>
            </w:r>
            <w:r>
              <w:rPr>
                <w:rFonts w:hint="eastAsia" w:cs="Times New Roman"/>
                <w:b w:val="0"/>
                <w:bCs w:val="0"/>
                <w:color w:val="000000"/>
                <w:kern w:val="0"/>
                <w:sz w:val="24"/>
                <w:szCs w:val="24"/>
                <w:lang w:val="en-US" w:eastAsia="zh-CN" w:bidi="ar"/>
              </w:rPr>
              <w:t>用纯水</w:t>
            </w:r>
            <w:r>
              <w:rPr>
                <w:rFonts w:hint="default" w:ascii="Times New Roman" w:hAnsi="Times New Roman" w:eastAsia="宋体" w:cs="Times New Roman"/>
                <w:b w:val="0"/>
                <w:bCs w:val="0"/>
                <w:color w:val="000000"/>
                <w:kern w:val="0"/>
                <w:sz w:val="24"/>
                <w:szCs w:val="24"/>
                <w:lang w:val="en-US" w:eastAsia="zh-CN" w:bidi="ar"/>
              </w:rPr>
              <w:t>清洗再去皮去根，解冻的肉类和去皮去根的果蔬再经过</w:t>
            </w:r>
            <w:r>
              <w:rPr>
                <w:rFonts w:hint="eastAsia" w:cs="Times New Roman"/>
                <w:b w:val="0"/>
                <w:bCs w:val="0"/>
                <w:color w:val="000000"/>
                <w:kern w:val="0"/>
                <w:sz w:val="24"/>
                <w:szCs w:val="24"/>
                <w:lang w:val="en-US" w:eastAsia="zh-CN" w:bidi="ar"/>
              </w:rPr>
              <w:t>纯水</w:t>
            </w:r>
            <w:r>
              <w:rPr>
                <w:rFonts w:hint="default" w:ascii="Times New Roman" w:hAnsi="Times New Roman" w:eastAsia="宋体" w:cs="Times New Roman"/>
                <w:b w:val="0"/>
                <w:bCs w:val="0"/>
                <w:color w:val="000000"/>
                <w:kern w:val="0"/>
                <w:sz w:val="24"/>
                <w:szCs w:val="24"/>
                <w:lang w:val="en-US" w:eastAsia="zh-CN" w:bidi="ar"/>
              </w:rPr>
              <w:t>清洗、分切、</w:t>
            </w:r>
            <w:r>
              <w:rPr>
                <w:rFonts w:hint="eastAsia" w:cs="Times New Roman"/>
                <w:b w:val="0"/>
                <w:bCs w:val="0"/>
                <w:color w:val="000000"/>
                <w:kern w:val="0"/>
                <w:sz w:val="24"/>
                <w:szCs w:val="24"/>
                <w:lang w:val="en-US" w:eastAsia="zh-CN" w:bidi="ar"/>
              </w:rPr>
              <w:t>焯水后，把食材放进蒸箱内</w:t>
            </w:r>
            <w:r>
              <w:rPr>
                <w:rFonts w:hint="eastAsia" w:ascii="Times New Roman" w:hAnsi="Times New Roman" w:eastAsia="宋体" w:cs="Times New Roman"/>
                <w:b w:val="0"/>
                <w:bCs w:val="0"/>
                <w:color w:val="000000"/>
                <w:kern w:val="0"/>
                <w:sz w:val="24"/>
                <w:szCs w:val="24"/>
                <w:lang w:val="en-US" w:eastAsia="zh-CN" w:bidi="ar"/>
              </w:rPr>
              <w:t>蒸煮</w:t>
            </w:r>
            <w:r>
              <w:rPr>
                <w:rFonts w:hint="eastAsia" w:cs="Times New Roman"/>
                <w:b w:val="0"/>
                <w:bCs w:val="0"/>
                <w:color w:val="000000"/>
                <w:kern w:val="0"/>
                <w:sz w:val="24"/>
                <w:szCs w:val="24"/>
                <w:lang w:val="en-US" w:eastAsia="zh-CN" w:bidi="ar"/>
              </w:rPr>
              <w:t>，蒸煮时间与食材种类有关，蒸煮完后经过包装</w:t>
            </w:r>
            <w:r>
              <w:rPr>
                <w:rFonts w:hint="eastAsia" w:ascii="Times New Roman" w:hAnsi="Times New Roman" w:eastAsia="宋体" w:cs="Times New Roman"/>
                <w:b w:val="0"/>
                <w:bCs w:val="0"/>
                <w:color w:val="000000"/>
                <w:kern w:val="0"/>
                <w:sz w:val="24"/>
                <w:szCs w:val="24"/>
                <w:lang w:val="en-US" w:eastAsia="zh-CN" w:bidi="ar"/>
              </w:rPr>
              <w:t>即可得到产品，</w:t>
            </w:r>
            <w:r>
              <w:rPr>
                <w:rFonts w:hint="eastAsia" w:cs="Times New Roman"/>
                <w:b w:val="0"/>
                <w:bCs w:val="0"/>
                <w:color w:val="000000"/>
                <w:kern w:val="0"/>
                <w:sz w:val="24"/>
                <w:szCs w:val="24"/>
                <w:lang w:val="en-US" w:eastAsia="zh-CN" w:bidi="ar"/>
              </w:rPr>
              <w:t>所有</w:t>
            </w:r>
            <w:r>
              <w:rPr>
                <w:rFonts w:hint="eastAsia" w:ascii="Times New Roman" w:hAnsi="Times New Roman" w:eastAsia="宋体" w:cs="Times New Roman"/>
                <w:b w:val="0"/>
                <w:bCs w:val="0"/>
                <w:color w:val="000000"/>
                <w:kern w:val="0"/>
                <w:sz w:val="24"/>
                <w:szCs w:val="24"/>
                <w:lang w:val="en-US" w:eastAsia="zh-CN" w:bidi="ar"/>
              </w:rPr>
              <w:t>产品经杀菌后</w:t>
            </w:r>
            <w:r>
              <w:rPr>
                <w:rFonts w:hint="eastAsia" w:cs="Times New Roman"/>
                <w:b w:val="0"/>
                <w:bCs w:val="0"/>
                <w:color w:val="000000"/>
                <w:kern w:val="0"/>
                <w:sz w:val="24"/>
                <w:szCs w:val="24"/>
                <w:lang w:val="en-US" w:eastAsia="zh-CN" w:bidi="ar"/>
              </w:rPr>
              <w:t>，部分产品按照客户要求</w:t>
            </w:r>
            <w:r>
              <w:rPr>
                <w:rFonts w:hint="eastAsia" w:ascii="Times New Roman" w:hAnsi="Times New Roman" w:eastAsia="宋体" w:cs="Times New Roman"/>
                <w:b w:val="0"/>
                <w:bCs w:val="0"/>
                <w:color w:val="000000"/>
                <w:kern w:val="0"/>
                <w:sz w:val="24"/>
                <w:szCs w:val="24"/>
                <w:lang w:val="en-US" w:eastAsia="zh-CN" w:bidi="ar"/>
              </w:rPr>
              <w:t>及时送至</w:t>
            </w:r>
            <w:r>
              <w:rPr>
                <w:rFonts w:hint="eastAsia" w:cs="Times New Roman"/>
                <w:b w:val="0"/>
                <w:bCs w:val="0"/>
                <w:color w:val="000000"/>
                <w:kern w:val="0"/>
                <w:sz w:val="24"/>
                <w:szCs w:val="24"/>
                <w:lang w:val="en-US" w:eastAsia="zh-CN" w:bidi="ar"/>
              </w:rPr>
              <w:t>周边</w:t>
            </w:r>
            <w:r>
              <w:rPr>
                <w:rFonts w:hint="eastAsia" w:ascii="Times New Roman" w:hAnsi="Times New Roman" w:eastAsia="宋体" w:cs="Times New Roman"/>
                <w:b w:val="0"/>
                <w:bCs w:val="0"/>
                <w:color w:val="000000"/>
                <w:kern w:val="0"/>
                <w:sz w:val="24"/>
                <w:szCs w:val="24"/>
                <w:lang w:val="en-US" w:eastAsia="zh-CN" w:bidi="ar"/>
              </w:rPr>
              <w:t>用餐点</w:t>
            </w:r>
            <w:r>
              <w:rPr>
                <w:rFonts w:hint="eastAsia" w:cs="Times New Roman"/>
                <w:b w:val="0"/>
                <w:bCs w:val="0"/>
                <w:color w:val="000000"/>
                <w:kern w:val="0"/>
                <w:sz w:val="24"/>
                <w:szCs w:val="24"/>
                <w:lang w:val="en-US" w:eastAsia="zh-CN" w:bidi="ar"/>
              </w:rPr>
              <w:t>提供配餐服务，其余产品</w:t>
            </w:r>
            <w:r>
              <w:rPr>
                <w:rFonts w:hint="eastAsia" w:ascii="Times New Roman" w:hAnsi="Times New Roman" w:eastAsia="宋体" w:cs="Times New Roman"/>
                <w:b w:val="0"/>
                <w:bCs w:val="0"/>
                <w:color w:val="000000"/>
                <w:kern w:val="0"/>
                <w:sz w:val="24"/>
                <w:szCs w:val="24"/>
                <w:lang w:val="en-US" w:eastAsia="zh-CN" w:bidi="ar"/>
              </w:rPr>
              <w:t>进入冷库进行冷藏，根据</w:t>
            </w:r>
            <w:r>
              <w:rPr>
                <w:rFonts w:hint="eastAsia" w:cs="Times New Roman"/>
                <w:b w:val="0"/>
                <w:bCs w:val="0"/>
                <w:color w:val="000000"/>
                <w:kern w:val="0"/>
                <w:sz w:val="24"/>
                <w:szCs w:val="24"/>
                <w:lang w:val="en-US" w:eastAsia="zh-CN" w:bidi="ar"/>
              </w:rPr>
              <w:t>客户</w:t>
            </w:r>
            <w:r>
              <w:rPr>
                <w:rFonts w:hint="eastAsia" w:ascii="Times New Roman" w:hAnsi="Times New Roman" w:eastAsia="宋体" w:cs="Times New Roman"/>
                <w:b w:val="0"/>
                <w:bCs w:val="0"/>
                <w:color w:val="000000"/>
                <w:kern w:val="0"/>
                <w:sz w:val="24"/>
                <w:szCs w:val="24"/>
                <w:lang w:val="en-US" w:eastAsia="zh-CN" w:bidi="ar"/>
              </w:rPr>
              <w:t>要求</w:t>
            </w:r>
            <w:r>
              <w:rPr>
                <w:rFonts w:hint="eastAsia" w:cs="Times New Roman"/>
                <w:b w:val="0"/>
                <w:bCs w:val="0"/>
                <w:color w:val="000000"/>
                <w:kern w:val="0"/>
                <w:sz w:val="24"/>
                <w:szCs w:val="24"/>
                <w:lang w:val="en-US" w:eastAsia="zh-CN" w:bidi="ar"/>
              </w:rPr>
              <w:t>外运至其他用餐点</w:t>
            </w:r>
            <w:r>
              <w:rPr>
                <w:rFonts w:hint="eastAsia" w:ascii="Times New Roman" w:hAnsi="Times New Roman" w:eastAsia="宋体" w:cs="Times New Roman"/>
                <w:b w:val="0"/>
                <w:bCs w:val="0"/>
                <w:color w:val="000000"/>
                <w:kern w:val="0"/>
                <w:sz w:val="24"/>
                <w:szCs w:val="24"/>
                <w:lang w:val="en-US" w:eastAsia="zh-CN" w:bidi="ar"/>
              </w:rPr>
              <w:t>。本项目产品冷藏均为短暂冷藏，无长时间冷藏</w:t>
            </w:r>
            <w:r>
              <w:rPr>
                <w:rFonts w:hint="eastAsia" w:cs="Times New Roman"/>
                <w:b w:val="0"/>
                <w:bCs w:val="0"/>
                <w:color w:val="000000"/>
                <w:kern w:val="0"/>
                <w:sz w:val="24"/>
                <w:szCs w:val="24"/>
                <w:lang w:val="en-US" w:eastAsia="zh-CN" w:bidi="ar"/>
              </w:rPr>
              <w:t>，蒸煮和杀菌工序均由燃气锅炉提供蒸汽。</w:t>
            </w:r>
          </w:p>
          <w:p w14:paraId="4D515DB7">
            <w:pPr>
              <w:pStyle w:val="124"/>
              <w:bidi w:val="0"/>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此过程产生的主要污染物为锅炉废气、解冻废水、原料清洗废水和焯水废水。</w:t>
            </w:r>
          </w:p>
          <w:p w14:paraId="06B9B1A2">
            <w:pPr>
              <w:pStyle w:val="124"/>
              <w:bidi w:val="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3、炒制类 </w:t>
            </w:r>
          </w:p>
          <w:p w14:paraId="11A0E284">
            <w:pPr>
              <w:pStyle w:val="124"/>
              <w:bidi w:val="0"/>
              <w:rPr>
                <w:rFonts w:hint="eastAsia" w:cs="Times New Roman"/>
                <w:color w:val="auto"/>
                <w:lang w:val="en-US" w:eastAsia="zh-CN"/>
              </w:rPr>
            </w:pPr>
            <w:r>
              <w:rPr>
                <w:rFonts w:hint="eastAsia" w:ascii="Times New Roman" w:hAnsi="Times New Roman" w:eastAsia="宋体" w:cs="Times New Roman"/>
                <w:color w:val="auto"/>
                <w:lang w:val="en-US" w:eastAsia="zh-CN"/>
              </w:rPr>
              <w:t>主要为中央厨房和预制菜车间</w:t>
            </w:r>
            <w:r>
              <w:rPr>
                <w:rFonts w:hint="eastAsia" w:cs="Times New Roman"/>
                <w:color w:val="auto"/>
                <w:lang w:val="en-US" w:eastAsia="zh-CN"/>
              </w:rPr>
              <w:t>生产内容</w:t>
            </w:r>
            <w:r>
              <w:rPr>
                <w:rFonts w:hint="eastAsia"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生产工艺流程及产排污环节</w:t>
            </w:r>
            <w:r>
              <w:rPr>
                <w:rFonts w:hint="eastAsia" w:cs="Times New Roman"/>
                <w:color w:val="auto"/>
                <w:lang w:val="en-US" w:eastAsia="zh-CN"/>
              </w:rPr>
              <w:t>图</w:t>
            </w:r>
            <w:r>
              <w:rPr>
                <w:rFonts w:hint="eastAsia" w:ascii="Times New Roman" w:hAnsi="Times New Roman" w:eastAsia="宋体" w:cs="Times New Roman"/>
                <w:color w:val="auto"/>
                <w:lang w:val="en-US" w:eastAsia="zh-CN"/>
              </w:rPr>
              <w:t>见下图：</w:t>
            </w:r>
          </w:p>
          <w:p w14:paraId="40521CE3">
            <w:pPr>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object>
                <v:shape id="_x0000_i1029" o:spt="75" type="#_x0000_t75" style="height:487.85pt;width:409.45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p>
          <w:p w14:paraId="6AF99ECE">
            <w:pPr>
              <w:jc w:val="center"/>
              <w:rPr>
                <w:rFonts w:hint="default" w:ascii="Times New Roman" w:hAnsi="Times New Roman" w:eastAsia="宋体" w:cs="Times New Roman"/>
                <w:b/>
                <w:color w:val="auto"/>
                <w:kern w:val="2"/>
                <w:sz w:val="21"/>
                <w:szCs w:val="24"/>
                <w:lang w:val="en-US" w:eastAsia="zh-CN" w:bidi="ar-SA"/>
              </w:rPr>
            </w:pPr>
          </w:p>
          <w:p w14:paraId="4292AA64">
            <w:pPr>
              <w:jc w:val="center"/>
              <w:rPr>
                <w:rFonts w:hint="eastAsia" w:cs="Times New Roman"/>
                <w:b/>
                <w:bCs/>
                <w:color w:val="auto"/>
                <w:kern w:val="0"/>
                <w:sz w:val="24"/>
                <w:szCs w:val="24"/>
                <w:lang w:val="en-US" w:eastAsia="zh-CN" w:bidi="ar-SA"/>
              </w:rPr>
            </w:pPr>
            <w:r>
              <w:rPr>
                <w:rFonts w:hint="default" w:ascii="Times New Roman" w:hAnsi="Times New Roman" w:eastAsia="宋体" w:cs="Times New Roman"/>
                <w:b/>
                <w:color w:val="auto"/>
                <w:kern w:val="2"/>
                <w:sz w:val="21"/>
                <w:szCs w:val="24"/>
                <w:lang w:val="en-US" w:eastAsia="zh-CN" w:bidi="ar-SA"/>
              </w:rPr>
              <w:t>图2-</w:t>
            </w:r>
            <w:r>
              <w:rPr>
                <w:rFonts w:hint="eastAsia" w:cs="Times New Roman"/>
                <w:b/>
                <w:color w:val="auto"/>
                <w:kern w:val="2"/>
                <w:sz w:val="21"/>
                <w:szCs w:val="24"/>
                <w:lang w:val="en-US" w:eastAsia="zh-CN" w:bidi="ar-SA"/>
              </w:rPr>
              <w:t>6</w:t>
            </w:r>
            <w:r>
              <w:rPr>
                <w:rFonts w:hint="eastAsia" w:ascii="Times New Roman" w:hAnsi="Times New Roman" w:eastAsia="宋体" w:cs="Times New Roman"/>
                <w:b/>
                <w:color w:val="auto"/>
                <w:kern w:val="2"/>
                <w:sz w:val="21"/>
                <w:szCs w:val="24"/>
                <w:lang w:val="en-US" w:eastAsia="zh-CN" w:bidi="ar-SA"/>
              </w:rPr>
              <w:t xml:space="preserve">  </w:t>
            </w:r>
            <w:r>
              <w:rPr>
                <w:rFonts w:hint="eastAsia" w:cs="Times New Roman"/>
                <w:b/>
                <w:color w:val="auto"/>
                <w:kern w:val="2"/>
                <w:sz w:val="21"/>
                <w:szCs w:val="24"/>
                <w:lang w:val="en-US" w:eastAsia="zh-CN" w:bidi="ar-SA"/>
              </w:rPr>
              <w:t>炒制类</w:t>
            </w:r>
            <w:r>
              <w:rPr>
                <w:b/>
                <w:color w:val="auto"/>
                <w:kern w:val="24"/>
                <w:szCs w:val="21"/>
              </w:rPr>
              <w:t>工艺生产流程及产污</w:t>
            </w:r>
            <w:r>
              <w:rPr>
                <w:rFonts w:hint="eastAsia"/>
                <w:b/>
                <w:color w:val="auto"/>
                <w:kern w:val="24"/>
                <w:szCs w:val="21"/>
              </w:rPr>
              <w:t>环节</w:t>
            </w:r>
            <w:r>
              <w:rPr>
                <w:b/>
                <w:color w:val="auto"/>
                <w:kern w:val="24"/>
                <w:szCs w:val="21"/>
              </w:rPr>
              <w:t>图</w:t>
            </w:r>
          </w:p>
          <w:p w14:paraId="019A04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SA"/>
              </w:rPr>
            </w:pPr>
          </w:p>
          <w:p w14:paraId="1F7489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工艺流程及产污环节简述：</w:t>
            </w:r>
          </w:p>
          <w:p w14:paraId="655A80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本项目原料果蔬和肉类从冷库内取出，肉类首先需要</w:t>
            </w:r>
            <w:r>
              <w:rPr>
                <w:rFonts w:hint="eastAsia" w:cs="Times New Roman"/>
                <w:color w:val="000000"/>
                <w:kern w:val="0"/>
                <w:sz w:val="24"/>
                <w:szCs w:val="24"/>
                <w:lang w:val="en-US" w:eastAsia="zh-CN" w:bidi="ar"/>
              </w:rPr>
              <w:t>用新鲜水</w:t>
            </w:r>
            <w:r>
              <w:rPr>
                <w:rFonts w:hint="eastAsia" w:ascii="Times New Roman" w:hAnsi="Times New Roman" w:eastAsia="宋体" w:cs="Times New Roman"/>
                <w:color w:val="000000"/>
                <w:kern w:val="0"/>
                <w:sz w:val="24"/>
                <w:szCs w:val="24"/>
                <w:lang w:val="en-US" w:eastAsia="zh-CN" w:bidi="ar"/>
              </w:rPr>
              <w:t>解冻，果蔬先</w:t>
            </w:r>
            <w:r>
              <w:rPr>
                <w:rFonts w:hint="eastAsia" w:cs="Times New Roman"/>
                <w:b w:val="0"/>
                <w:bCs w:val="0"/>
                <w:color w:val="000000"/>
                <w:kern w:val="0"/>
                <w:sz w:val="24"/>
                <w:szCs w:val="24"/>
                <w:lang w:val="en-US" w:eastAsia="zh-CN" w:bidi="ar"/>
              </w:rPr>
              <w:t>用纯水</w:t>
            </w:r>
            <w:r>
              <w:rPr>
                <w:rFonts w:hint="eastAsia" w:ascii="Times New Roman" w:hAnsi="Times New Roman" w:eastAsia="宋体" w:cs="Times New Roman"/>
                <w:color w:val="000000"/>
                <w:kern w:val="0"/>
                <w:sz w:val="24"/>
                <w:szCs w:val="24"/>
                <w:lang w:val="en-US" w:eastAsia="zh-CN" w:bidi="ar"/>
              </w:rPr>
              <w:t>清洗再去皮去根，解冻的肉类和去皮去根的果蔬再经过</w:t>
            </w:r>
            <w:r>
              <w:rPr>
                <w:rFonts w:hint="eastAsia" w:cs="Times New Roman"/>
                <w:b w:val="0"/>
                <w:bCs w:val="0"/>
                <w:color w:val="000000"/>
                <w:kern w:val="0"/>
                <w:sz w:val="24"/>
                <w:szCs w:val="24"/>
                <w:lang w:val="en-US" w:eastAsia="zh-CN" w:bidi="ar"/>
              </w:rPr>
              <w:t>纯水</w:t>
            </w:r>
            <w:r>
              <w:rPr>
                <w:rFonts w:hint="eastAsia" w:ascii="Times New Roman" w:hAnsi="Times New Roman" w:eastAsia="宋体" w:cs="Times New Roman"/>
                <w:color w:val="000000"/>
                <w:kern w:val="0"/>
                <w:sz w:val="24"/>
                <w:szCs w:val="24"/>
                <w:lang w:val="en-US" w:eastAsia="zh-CN" w:bidi="ar"/>
              </w:rPr>
              <w:t>清洗、分切、焯水后，即可进行混合炒制，炒制得到的产品</w:t>
            </w:r>
            <w:r>
              <w:rPr>
                <w:rFonts w:hint="eastAsia" w:cs="Times New Roman"/>
                <w:color w:val="000000"/>
                <w:kern w:val="0"/>
                <w:sz w:val="24"/>
                <w:szCs w:val="24"/>
                <w:lang w:val="en-US" w:eastAsia="zh-CN" w:bidi="ar"/>
              </w:rPr>
              <w:t>部分进行</w:t>
            </w:r>
            <w:r>
              <w:rPr>
                <w:rFonts w:hint="eastAsia" w:ascii="Times New Roman" w:hAnsi="Times New Roman" w:eastAsia="宋体" w:cs="Times New Roman"/>
                <w:color w:val="000000"/>
                <w:kern w:val="0"/>
                <w:sz w:val="24"/>
                <w:szCs w:val="24"/>
                <w:lang w:val="en-US" w:eastAsia="zh-CN" w:bidi="ar"/>
              </w:rPr>
              <w:t>包装</w:t>
            </w:r>
            <w:r>
              <w:rPr>
                <w:rFonts w:hint="eastAsia" w:cs="Times New Roman"/>
                <w:color w:val="000000"/>
                <w:kern w:val="0"/>
                <w:sz w:val="24"/>
                <w:szCs w:val="24"/>
                <w:lang w:val="en-US" w:eastAsia="zh-CN" w:bidi="ar"/>
              </w:rPr>
              <w:t>和杀菌后</w:t>
            </w:r>
            <w:r>
              <w:rPr>
                <w:rFonts w:hint="eastAsia" w:ascii="Times New Roman" w:hAnsi="Times New Roman" w:eastAsia="宋体" w:cs="Times New Roman"/>
                <w:color w:val="000000"/>
                <w:kern w:val="0"/>
                <w:sz w:val="24"/>
                <w:szCs w:val="24"/>
                <w:lang w:val="en-US" w:eastAsia="zh-CN" w:bidi="ar"/>
              </w:rPr>
              <w:t>，</w:t>
            </w:r>
            <w:r>
              <w:rPr>
                <w:rFonts w:hint="eastAsia" w:cs="Times New Roman"/>
                <w:b w:val="0"/>
                <w:bCs w:val="0"/>
                <w:color w:val="000000"/>
                <w:kern w:val="0"/>
                <w:sz w:val="24"/>
                <w:szCs w:val="24"/>
                <w:lang w:val="en-US" w:eastAsia="zh-CN" w:bidi="ar"/>
              </w:rPr>
              <w:t>按照客户要求</w:t>
            </w:r>
            <w:r>
              <w:rPr>
                <w:rFonts w:hint="eastAsia" w:ascii="Times New Roman" w:hAnsi="Times New Roman" w:eastAsia="宋体" w:cs="Times New Roman"/>
                <w:b w:val="0"/>
                <w:bCs w:val="0"/>
                <w:color w:val="000000"/>
                <w:kern w:val="0"/>
                <w:sz w:val="24"/>
                <w:szCs w:val="24"/>
                <w:lang w:val="en-US" w:eastAsia="zh-CN" w:bidi="ar"/>
              </w:rPr>
              <w:t>及时送至</w:t>
            </w:r>
            <w:r>
              <w:rPr>
                <w:rFonts w:hint="eastAsia" w:cs="Times New Roman"/>
                <w:b w:val="0"/>
                <w:bCs w:val="0"/>
                <w:color w:val="000000"/>
                <w:kern w:val="0"/>
                <w:sz w:val="24"/>
                <w:szCs w:val="24"/>
                <w:lang w:val="en-US" w:eastAsia="zh-CN" w:bidi="ar"/>
              </w:rPr>
              <w:t>周边</w:t>
            </w:r>
            <w:r>
              <w:rPr>
                <w:rFonts w:hint="eastAsia" w:ascii="Times New Roman" w:hAnsi="Times New Roman" w:eastAsia="宋体" w:cs="Times New Roman"/>
                <w:b w:val="0"/>
                <w:bCs w:val="0"/>
                <w:color w:val="000000"/>
                <w:kern w:val="0"/>
                <w:sz w:val="24"/>
                <w:szCs w:val="24"/>
                <w:lang w:val="en-US" w:eastAsia="zh-CN" w:bidi="ar"/>
              </w:rPr>
              <w:t>用餐点</w:t>
            </w:r>
            <w:r>
              <w:rPr>
                <w:rFonts w:hint="eastAsia" w:cs="Times New Roman"/>
                <w:b w:val="0"/>
                <w:bCs w:val="0"/>
                <w:color w:val="000000"/>
                <w:kern w:val="0"/>
                <w:sz w:val="24"/>
                <w:szCs w:val="24"/>
                <w:lang w:val="en-US" w:eastAsia="zh-CN" w:bidi="ar"/>
              </w:rPr>
              <w:t>提供配餐服务，</w:t>
            </w:r>
            <w:r>
              <w:rPr>
                <w:rFonts w:hint="eastAsia" w:ascii="Times New Roman" w:hAnsi="Times New Roman" w:eastAsia="宋体" w:cs="Times New Roman"/>
                <w:color w:val="000000"/>
                <w:kern w:val="0"/>
                <w:sz w:val="24"/>
                <w:szCs w:val="24"/>
                <w:lang w:val="en-US" w:eastAsia="zh-CN" w:bidi="ar"/>
              </w:rPr>
              <w:t>炒制得到的</w:t>
            </w:r>
            <w:r>
              <w:rPr>
                <w:rFonts w:hint="eastAsia" w:cs="Times New Roman"/>
                <w:color w:val="000000"/>
                <w:kern w:val="0"/>
                <w:sz w:val="24"/>
                <w:szCs w:val="24"/>
                <w:lang w:val="en-US" w:eastAsia="zh-CN" w:bidi="ar"/>
              </w:rPr>
              <w:t>其余</w:t>
            </w:r>
            <w:r>
              <w:rPr>
                <w:rFonts w:hint="eastAsia" w:ascii="Times New Roman" w:hAnsi="Times New Roman" w:eastAsia="宋体" w:cs="Times New Roman"/>
                <w:color w:val="000000"/>
                <w:kern w:val="0"/>
                <w:sz w:val="24"/>
                <w:szCs w:val="24"/>
                <w:lang w:val="en-US" w:eastAsia="zh-CN" w:bidi="ar"/>
              </w:rPr>
              <w:t>产品</w:t>
            </w:r>
            <w:r>
              <w:rPr>
                <w:rFonts w:hint="eastAsia" w:cs="Times New Roman"/>
                <w:color w:val="000000"/>
                <w:kern w:val="0"/>
                <w:sz w:val="24"/>
                <w:szCs w:val="24"/>
                <w:lang w:val="en-US" w:eastAsia="zh-CN" w:bidi="ar"/>
              </w:rPr>
              <w:t>需先进行冷却，再进行包装和杀菌后</w:t>
            </w:r>
            <w:r>
              <w:rPr>
                <w:rFonts w:hint="eastAsia" w:ascii="Times New Roman" w:hAnsi="Times New Roman" w:eastAsia="宋体" w:cs="Times New Roman"/>
                <w:b w:val="0"/>
                <w:bCs w:val="0"/>
                <w:color w:val="000000"/>
                <w:kern w:val="0"/>
                <w:sz w:val="24"/>
                <w:szCs w:val="24"/>
                <w:lang w:val="en-US" w:eastAsia="zh-CN" w:bidi="ar"/>
              </w:rPr>
              <w:t>进入冷库进行冷藏，根据</w:t>
            </w:r>
            <w:r>
              <w:rPr>
                <w:rFonts w:hint="eastAsia" w:cs="Times New Roman"/>
                <w:b w:val="0"/>
                <w:bCs w:val="0"/>
                <w:color w:val="000000"/>
                <w:kern w:val="0"/>
                <w:sz w:val="24"/>
                <w:szCs w:val="24"/>
                <w:lang w:val="en-US" w:eastAsia="zh-CN" w:bidi="ar"/>
              </w:rPr>
              <w:t>客户</w:t>
            </w:r>
            <w:r>
              <w:rPr>
                <w:rFonts w:hint="eastAsia" w:ascii="Times New Roman" w:hAnsi="Times New Roman" w:eastAsia="宋体" w:cs="Times New Roman"/>
                <w:b w:val="0"/>
                <w:bCs w:val="0"/>
                <w:color w:val="000000"/>
                <w:kern w:val="0"/>
                <w:sz w:val="24"/>
                <w:szCs w:val="24"/>
                <w:lang w:val="en-US" w:eastAsia="zh-CN" w:bidi="ar"/>
              </w:rPr>
              <w:t>要求</w:t>
            </w:r>
            <w:r>
              <w:rPr>
                <w:rFonts w:hint="eastAsia" w:cs="Times New Roman"/>
                <w:b w:val="0"/>
                <w:bCs w:val="0"/>
                <w:color w:val="000000"/>
                <w:kern w:val="0"/>
                <w:sz w:val="24"/>
                <w:szCs w:val="24"/>
                <w:lang w:val="en-US" w:eastAsia="zh-CN" w:bidi="ar"/>
              </w:rPr>
              <w:t>外运至其他用餐点</w:t>
            </w:r>
            <w:r>
              <w:rPr>
                <w:rFonts w:hint="eastAsia" w:ascii="Times New Roman" w:hAnsi="Times New Roman" w:eastAsia="宋体" w:cs="Times New Roman"/>
                <w:b w:val="0"/>
                <w:bCs w:val="0"/>
                <w:color w:val="000000"/>
                <w:kern w:val="0"/>
                <w:sz w:val="24"/>
                <w:szCs w:val="24"/>
                <w:lang w:val="en-US" w:eastAsia="zh-CN" w:bidi="ar"/>
              </w:rPr>
              <w:t>。本项目产品冷藏均为短暂冷藏，无长时间冷藏</w:t>
            </w:r>
            <w:r>
              <w:rPr>
                <w:rFonts w:hint="eastAsia" w:cs="Times New Roman"/>
                <w:b w:val="0"/>
                <w:bCs w:val="0"/>
                <w:color w:val="000000"/>
                <w:kern w:val="0"/>
                <w:sz w:val="24"/>
                <w:szCs w:val="24"/>
                <w:lang w:val="en-US" w:eastAsia="zh-CN" w:bidi="ar"/>
              </w:rPr>
              <w:t>，杀菌工序由燃气锅炉提供蒸汽。</w:t>
            </w:r>
          </w:p>
          <w:p w14:paraId="2C0DE71C">
            <w:pPr>
              <w:pStyle w:val="124"/>
              <w:bidi w:val="0"/>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此过程产生的主要污染物为厨房废气、锅炉废气、解冻废水、原料清洗废水和焯水废水。</w:t>
            </w:r>
          </w:p>
          <w:p w14:paraId="2E9DEB35">
            <w:pPr>
              <w:pStyle w:val="124"/>
              <w:numPr>
                <w:ilvl w:val="0"/>
                <w:numId w:val="0"/>
              </w:numPr>
              <w:bidi w:val="0"/>
              <w:ind w:firstLine="482" w:firstLineChars="200"/>
              <w:rPr>
                <w:rFonts w:hint="eastAsia"/>
                <w:b/>
                <w:bCs/>
                <w:color w:val="auto"/>
                <w:sz w:val="24"/>
                <w:szCs w:val="24"/>
                <w:highlight w:val="none"/>
                <w:lang w:val="en-US" w:eastAsia="zh-CN"/>
              </w:rPr>
            </w:pPr>
            <w:r>
              <w:rPr>
                <w:rFonts w:hint="eastAsia" w:ascii="Times New Roman" w:hAnsi="Times New Roman" w:eastAsia="宋体" w:cs="Times New Roman"/>
                <w:b/>
                <w:bCs/>
                <w:color w:val="auto"/>
                <w:kern w:val="2"/>
                <w:sz w:val="24"/>
                <w:szCs w:val="24"/>
                <w:lang w:val="en-US" w:eastAsia="zh-CN" w:bidi="ar-SA"/>
              </w:rPr>
              <w:t>4、</w:t>
            </w:r>
            <w:r>
              <w:rPr>
                <w:rFonts w:hint="eastAsia"/>
                <w:b/>
                <w:bCs/>
                <w:color w:val="auto"/>
                <w:sz w:val="24"/>
                <w:szCs w:val="24"/>
                <w:highlight w:val="none"/>
                <w:lang w:val="en-US" w:eastAsia="zh-CN"/>
              </w:rPr>
              <w:t>纯水制备工艺：</w:t>
            </w:r>
          </w:p>
          <w:p w14:paraId="0D196D00">
            <w:pPr>
              <w:pStyle w:val="132"/>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textAlignment w:val="auto"/>
              <w:rPr>
                <w:rFonts w:hint="default" w:cs="Times New Roman"/>
                <w:b/>
                <w:bCs/>
                <w:color w:val="auto"/>
                <w:lang w:val="en-US" w:eastAsia="zh-CN"/>
              </w:rPr>
            </w:pPr>
            <w:r>
              <w:rPr>
                <w:rFonts w:hint="eastAsia"/>
                <w:color w:val="auto"/>
                <w:sz w:val="24"/>
                <w:szCs w:val="24"/>
                <w:highlight w:val="none"/>
                <w:lang w:val="en-US" w:eastAsia="zh-CN"/>
              </w:rPr>
              <w:t>本项目纯水机制备的纯水</w:t>
            </w:r>
            <w:r>
              <w:rPr>
                <w:rFonts w:ascii="宋体" w:hAnsi="宋体" w:cs="宋体"/>
                <w:color w:val="auto"/>
                <w:sz w:val="24"/>
                <w:szCs w:val="24"/>
                <w:highlight w:val="none"/>
              </w:rPr>
              <w:t>主要</w:t>
            </w:r>
            <w:r>
              <w:rPr>
                <w:rFonts w:hint="eastAsia" w:ascii="宋体" w:hAnsi="宋体" w:cs="宋体"/>
                <w:color w:val="auto"/>
                <w:sz w:val="24"/>
                <w:szCs w:val="24"/>
                <w:highlight w:val="none"/>
                <w:lang w:val="en-US" w:eastAsia="zh-CN"/>
              </w:rPr>
              <w:t>为原料清洗用水和食品制作用水</w:t>
            </w:r>
            <w:r>
              <w:rPr>
                <w:rFonts w:hint="default" w:ascii="Times New Roman" w:hAnsi="Times New Roman" w:eastAsia="宋体" w:cs="Times New Roman"/>
                <w:color w:val="auto"/>
                <w:sz w:val="24"/>
                <w:highlight w:val="none"/>
              </w:rPr>
              <w:t>，</w:t>
            </w:r>
            <w:r>
              <w:rPr>
                <w:rFonts w:hint="eastAsia"/>
                <w:color w:val="auto"/>
                <w:sz w:val="24"/>
                <w:szCs w:val="24"/>
                <w:highlight w:val="none"/>
                <w:lang w:val="en-US" w:eastAsia="zh-CN"/>
              </w:rPr>
              <w:t>项目纯化水制水系统采用两级反渗透工艺。反渗透水生产处理原理为：在水过滤时利用反渗透膜的选择性透过原理，通过设备高压泵对经过反渗透膜的原水施加一定压力水，在压力的作用下水中的水分子可以透过膜而渗析出来，而其他无机盐、微生物与有机物等由于反渗透膜对这些物质的截留特性而不能透过膜，从而可以获得纯净的无离子水。此过程产生的主要污染物为纯水制备浓水，</w:t>
            </w:r>
            <w:r>
              <w:rPr>
                <w:rFonts w:hint="default" w:ascii="Times New Roman" w:hAnsi="Times New Roman" w:cs="Times New Roman"/>
                <w:color w:val="auto"/>
                <w:sz w:val="24"/>
                <w:szCs w:val="24"/>
                <w:highlight w:val="none"/>
                <w:lang w:val="en-US" w:eastAsia="zh-CN"/>
              </w:rPr>
              <w:t>纯水制备浓水部分回</w:t>
            </w:r>
            <w:r>
              <w:rPr>
                <w:rFonts w:hint="eastAsia" w:ascii="Times New Roman" w:hAnsi="Times New Roman" w:cs="Times New Roman"/>
                <w:color w:val="auto"/>
                <w:sz w:val="24"/>
                <w:szCs w:val="24"/>
                <w:highlight w:val="none"/>
                <w:lang w:val="en-US" w:eastAsia="zh-CN"/>
              </w:rPr>
              <w:t>用于地面清洗用水</w:t>
            </w:r>
            <w:r>
              <w:rPr>
                <w:rFonts w:hint="default" w:ascii="Times New Roman" w:hAnsi="Times New Roman" w:cs="Times New Roman"/>
                <w:color w:val="auto"/>
                <w:sz w:val="24"/>
                <w:szCs w:val="24"/>
                <w:highlight w:val="none"/>
                <w:lang w:val="en-US" w:eastAsia="zh-CN"/>
              </w:rPr>
              <w:t>，其他部分</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p>
          <w:p w14:paraId="5C37F71A">
            <w:pPr>
              <w:pStyle w:val="124"/>
              <w:bidi w:val="0"/>
              <w:rPr>
                <w:rFonts w:hint="default" w:ascii="Times New Roman" w:hAnsi="Times New Roman" w:cs="Times New Roman"/>
                <w:b/>
                <w:bCs/>
                <w:color w:val="auto"/>
                <w:lang w:val="en-US" w:eastAsia="zh-CN"/>
              </w:rPr>
            </w:pPr>
            <w:r>
              <w:rPr>
                <w:rFonts w:hint="eastAsia" w:cs="Times New Roman"/>
                <w:b/>
                <w:bCs/>
                <w:color w:val="auto"/>
                <w:lang w:val="en-US" w:eastAsia="zh-CN"/>
              </w:rPr>
              <w:t>2、项目运营期</w:t>
            </w:r>
            <w:r>
              <w:rPr>
                <w:rFonts w:hint="default" w:ascii="Times New Roman" w:hAnsi="Times New Roman" w:cs="Times New Roman"/>
                <w:b/>
                <w:bCs/>
                <w:color w:val="auto"/>
                <w:lang w:val="en-US" w:eastAsia="zh-CN"/>
              </w:rPr>
              <w:t>产污环节汇总</w:t>
            </w:r>
          </w:p>
          <w:p w14:paraId="4A81B282">
            <w:pPr>
              <w:pStyle w:val="1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本项目运营期产污环节汇总如下：</w:t>
            </w:r>
          </w:p>
          <w:p w14:paraId="330174DA">
            <w:pPr>
              <w:pStyle w:val="12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cs="Times New Roman"/>
                <w:color w:val="auto"/>
                <w:lang w:val="en-US" w:eastAsia="zh-CN"/>
              </w:rPr>
              <w:t>7</w:t>
            </w:r>
            <w:r>
              <w:rPr>
                <w:rFonts w:hint="default" w:ascii="Times New Roman" w:hAnsi="Times New Roman" w:cs="Times New Roman"/>
                <w:color w:val="auto"/>
                <w:lang w:val="en-US" w:eastAsia="zh-CN"/>
              </w:rPr>
              <w:t xml:space="preserve"> </w:t>
            </w:r>
            <w:r>
              <w:rPr>
                <w:rFonts w:hint="eastAsia" w:cs="Times New Roman"/>
                <w:color w:val="auto"/>
                <w:lang w:val="en-US" w:eastAsia="zh-CN"/>
              </w:rPr>
              <w:t xml:space="preserve"> </w:t>
            </w:r>
            <w:r>
              <w:rPr>
                <w:rFonts w:hint="default" w:ascii="Times New Roman" w:hAnsi="Times New Roman" w:cs="Times New Roman"/>
                <w:color w:val="auto"/>
                <w:lang w:val="en-US" w:eastAsia="zh-CN"/>
              </w:rPr>
              <w:t>本项目产污环节一览表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556"/>
              <w:gridCol w:w="1913"/>
              <w:gridCol w:w="3072"/>
              <w:gridCol w:w="1925"/>
            </w:tblGrid>
            <w:tr w14:paraId="14145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951" w:type="pct"/>
                  <w:gridSpan w:val="3"/>
                  <w:tcBorders>
                    <w:tl2br w:val="nil"/>
                    <w:tr2bl w:val="nil"/>
                  </w:tcBorders>
                  <w:noWrap w:val="0"/>
                  <w:vAlign w:val="center"/>
                </w:tcPr>
                <w:p w14:paraId="6951CC6D">
                  <w:pPr>
                    <w:pStyle w:val="126"/>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r>
                    <w:rPr>
                      <w:rFonts w:hint="default" w:ascii="Times New Roman" w:hAnsi="Times New Roman" w:cs="Times New Roman"/>
                      <w:color w:val="auto"/>
                    </w:rPr>
                    <w:t>环境要素</w:t>
                  </w:r>
                </w:p>
              </w:tc>
              <w:tc>
                <w:tcPr>
                  <w:tcW w:w="1874" w:type="pct"/>
                  <w:tcBorders>
                    <w:tl2br w:val="nil"/>
                    <w:tr2bl w:val="nil"/>
                  </w:tcBorders>
                  <w:noWrap w:val="0"/>
                  <w:vAlign w:val="center"/>
                </w:tcPr>
                <w:p w14:paraId="6B16DED1">
                  <w:pPr>
                    <w:pStyle w:val="126"/>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r>
                    <w:rPr>
                      <w:rFonts w:hint="default" w:ascii="Times New Roman" w:hAnsi="Times New Roman" w:cs="Times New Roman"/>
                      <w:color w:val="auto"/>
                    </w:rPr>
                    <w:t>主要污染产生分析</w:t>
                  </w:r>
                </w:p>
              </w:tc>
              <w:tc>
                <w:tcPr>
                  <w:tcW w:w="1174" w:type="pct"/>
                  <w:tcBorders>
                    <w:tl2br w:val="nil"/>
                    <w:tr2bl w:val="nil"/>
                  </w:tcBorders>
                  <w:noWrap w:val="0"/>
                  <w:vAlign w:val="center"/>
                </w:tcPr>
                <w:p w14:paraId="55944018">
                  <w:pPr>
                    <w:pStyle w:val="126"/>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r>
                    <w:rPr>
                      <w:rFonts w:hint="default" w:ascii="Times New Roman" w:hAnsi="Times New Roman" w:cs="Times New Roman"/>
                      <w:color w:val="auto"/>
                    </w:rPr>
                    <w:t>污染物名称</w:t>
                  </w:r>
                </w:p>
              </w:tc>
            </w:tr>
            <w:tr w14:paraId="2A358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44" w:type="pct"/>
                  <w:vMerge w:val="restart"/>
                  <w:tcBorders>
                    <w:tl2br w:val="nil"/>
                    <w:tr2bl w:val="nil"/>
                  </w:tcBorders>
                  <w:noWrap w:val="0"/>
                  <w:vAlign w:val="center"/>
                </w:tcPr>
                <w:p w14:paraId="6BB32A5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w:t>
                  </w:r>
                </w:p>
              </w:tc>
              <w:tc>
                <w:tcPr>
                  <w:tcW w:w="339" w:type="pct"/>
                  <w:vMerge w:val="restart"/>
                  <w:tcBorders>
                    <w:tl2br w:val="nil"/>
                    <w:tr2bl w:val="nil"/>
                  </w:tcBorders>
                  <w:noWrap w:val="0"/>
                  <w:vAlign w:val="center"/>
                </w:tcPr>
                <w:p w14:paraId="41CB3BB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olor w:val="auto"/>
                      <w:szCs w:val="21"/>
                      <w:lang w:val="en-US" w:eastAsia="zh-CN"/>
                    </w:rPr>
                  </w:pPr>
                  <w:r>
                    <w:rPr>
                      <w:rFonts w:hint="eastAsia"/>
                      <w:color w:val="auto"/>
                      <w:szCs w:val="21"/>
                      <w:lang w:val="en-US" w:eastAsia="zh-CN"/>
                    </w:rPr>
                    <w:t>厨房废气</w:t>
                  </w:r>
                </w:p>
              </w:tc>
              <w:tc>
                <w:tcPr>
                  <w:tcW w:w="1167" w:type="pct"/>
                  <w:tcBorders>
                    <w:tl2br w:val="nil"/>
                    <w:tr2bl w:val="nil"/>
                  </w:tcBorders>
                  <w:noWrap w:val="0"/>
                  <w:vAlign w:val="center"/>
                </w:tcPr>
                <w:p w14:paraId="2288EBE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olor w:val="auto"/>
                      <w:szCs w:val="21"/>
                      <w:lang w:val="en-US" w:eastAsia="zh-CN"/>
                    </w:rPr>
                  </w:pPr>
                  <w:r>
                    <w:rPr>
                      <w:rFonts w:hint="eastAsia"/>
                      <w:color w:val="auto"/>
                      <w:szCs w:val="21"/>
                      <w:lang w:val="en-US" w:eastAsia="zh-CN"/>
                    </w:rPr>
                    <w:t>油烟废气</w:t>
                  </w:r>
                </w:p>
              </w:tc>
              <w:tc>
                <w:tcPr>
                  <w:tcW w:w="1874" w:type="pct"/>
                  <w:tcBorders>
                    <w:tl2br w:val="nil"/>
                    <w:tr2bl w:val="nil"/>
                  </w:tcBorders>
                  <w:noWrap w:val="0"/>
                  <w:vAlign w:val="center"/>
                </w:tcPr>
                <w:p w14:paraId="0602A65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eastAsia" w:ascii="Times New Roman" w:hAnsi="Times New Roman" w:eastAsia="宋体" w:cs="Times New Roman"/>
                      <w:color w:val="auto"/>
                      <w:kern w:val="2"/>
                      <w:sz w:val="21"/>
                      <w:szCs w:val="21"/>
                      <w:lang w:val="en-US" w:eastAsia="zh-CN" w:bidi="ar-SA"/>
                    </w:rPr>
                    <w:t>食品烹饪过程中挥发的油脂、有机质及其加热分解或裂解产生</w:t>
                  </w:r>
                </w:p>
              </w:tc>
              <w:tc>
                <w:tcPr>
                  <w:tcW w:w="1174" w:type="pct"/>
                  <w:tcBorders>
                    <w:tl2br w:val="nil"/>
                    <w:tr2bl w:val="nil"/>
                  </w:tcBorders>
                  <w:noWrap w:val="0"/>
                  <w:vAlign w:val="center"/>
                </w:tcPr>
                <w:p w14:paraId="165DB492">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s="Times New Roman"/>
                      <w:color w:val="auto"/>
                      <w:lang w:val="en-US" w:eastAsia="zh-CN"/>
                    </w:rPr>
                    <w:t>油烟</w:t>
                  </w:r>
                </w:p>
              </w:tc>
            </w:tr>
            <w:tr w14:paraId="33EF4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44" w:type="pct"/>
                  <w:vMerge w:val="continue"/>
                  <w:tcBorders>
                    <w:tl2br w:val="nil"/>
                    <w:tr2bl w:val="nil"/>
                  </w:tcBorders>
                  <w:noWrap w:val="0"/>
                  <w:vAlign w:val="center"/>
                </w:tcPr>
                <w:p w14:paraId="37FAD31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339" w:type="pct"/>
                  <w:vMerge w:val="continue"/>
                  <w:tcBorders>
                    <w:tl2br w:val="nil"/>
                    <w:tr2bl w:val="nil"/>
                  </w:tcBorders>
                  <w:noWrap w:val="0"/>
                  <w:vAlign w:val="center"/>
                </w:tcPr>
                <w:p w14:paraId="5013D77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olor w:val="auto"/>
                      <w:szCs w:val="21"/>
                      <w:lang w:val="en-US" w:eastAsia="zh-CN"/>
                    </w:rPr>
                  </w:pPr>
                </w:p>
              </w:tc>
              <w:tc>
                <w:tcPr>
                  <w:tcW w:w="1167" w:type="pct"/>
                  <w:tcBorders>
                    <w:tl2br w:val="nil"/>
                    <w:tr2bl w:val="nil"/>
                  </w:tcBorders>
                  <w:noWrap w:val="0"/>
                  <w:vAlign w:val="center"/>
                </w:tcPr>
                <w:p w14:paraId="48C81DC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olor w:val="auto"/>
                      <w:szCs w:val="21"/>
                      <w:lang w:val="en-US" w:eastAsia="zh-CN"/>
                    </w:rPr>
                  </w:pPr>
                  <w:r>
                    <w:rPr>
                      <w:rFonts w:hint="eastAsia"/>
                      <w:color w:val="auto"/>
                      <w:szCs w:val="21"/>
                      <w:lang w:val="en-US" w:eastAsia="zh-CN"/>
                    </w:rPr>
                    <w:t>燃气灶燃烧废气</w:t>
                  </w:r>
                </w:p>
              </w:tc>
              <w:tc>
                <w:tcPr>
                  <w:tcW w:w="1874" w:type="pct"/>
                  <w:tcBorders>
                    <w:tl2br w:val="nil"/>
                    <w:tr2bl w:val="nil"/>
                  </w:tcBorders>
                  <w:noWrap w:val="0"/>
                  <w:vAlign w:val="center"/>
                </w:tcPr>
                <w:p w14:paraId="40BC9C2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厨房天然气管道中的天然气燃烧给燃气灶供热时产生</w:t>
                  </w:r>
                </w:p>
              </w:tc>
              <w:tc>
                <w:tcPr>
                  <w:tcW w:w="1174" w:type="pct"/>
                  <w:tcBorders>
                    <w:tl2br w:val="nil"/>
                    <w:tr2bl w:val="nil"/>
                  </w:tcBorders>
                  <w:noWrap w:val="0"/>
                  <w:vAlign w:val="center"/>
                </w:tcPr>
                <w:p w14:paraId="3688C74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lang w:val="en-US" w:eastAsia="zh-CN"/>
                    </w:rPr>
                    <w:t>颗粒物、二氧化硫、氮氧化物</w:t>
                  </w:r>
                </w:p>
              </w:tc>
            </w:tr>
            <w:tr w14:paraId="66942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44" w:type="pct"/>
                  <w:vMerge w:val="continue"/>
                  <w:tcBorders>
                    <w:tl2br w:val="nil"/>
                    <w:tr2bl w:val="nil"/>
                  </w:tcBorders>
                  <w:noWrap w:val="0"/>
                  <w:vAlign w:val="center"/>
                </w:tcPr>
                <w:p w14:paraId="1D324B12">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506" w:type="pct"/>
                  <w:gridSpan w:val="2"/>
                  <w:tcBorders>
                    <w:tl2br w:val="nil"/>
                    <w:tr2bl w:val="nil"/>
                  </w:tcBorders>
                  <w:noWrap w:val="0"/>
                  <w:vAlign w:val="center"/>
                </w:tcPr>
                <w:p w14:paraId="40AF28F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olor w:val="auto"/>
                      <w:szCs w:val="21"/>
                      <w:lang w:val="en-US" w:eastAsia="zh-CN"/>
                    </w:rPr>
                  </w:pPr>
                  <w:r>
                    <w:rPr>
                      <w:rFonts w:hint="eastAsia"/>
                      <w:color w:val="auto"/>
                      <w:szCs w:val="21"/>
                      <w:lang w:val="en-US" w:eastAsia="zh-CN"/>
                    </w:rPr>
                    <w:t>锅炉废气</w:t>
                  </w:r>
                </w:p>
              </w:tc>
              <w:tc>
                <w:tcPr>
                  <w:tcW w:w="1874" w:type="pct"/>
                  <w:tcBorders>
                    <w:tl2br w:val="nil"/>
                    <w:tr2bl w:val="nil"/>
                  </w:tcBorders>
                  <w:noWrap w:val="0"/>
                  <w:vAlign w:val="center"/>
                </w:tcPr>
                <w:p w14:paraId="56C94861">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燃气锅炉工作过程产生</w:t>
                  </w:r>
                </w:p>
              </w:tc>
              <w:tc>
                <w:tcPr>
                  <w:tcW w:w="1174" w:type="pct"/>
                  <w:tcBorders>
                    <w:tl2br w:val="nil"/>
                    <w:tr2bl w:val="nil"/>
                  </w:tcBorders>
                  <w:noWrap w:val="0"/>
                  <w:vAlign w:val="center"/>
                </w:tcPr>
                <w:p w14:paraId="307FBC29">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颗粒物、二氧化硫、氮氧化物、烟气黑度</w:t>
                  </w:r>
                </w:p>
              </w:tc>
            </w:tr>
            <w:tr w14:paraId="0C013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44" w:type="pct"/>
                  <w:vMerge w:val="continue"/>
                  <w:tcBorders>
                    <w:tl2br w:val="nil"/>
                    <w:tr2bl w:val="nil"/>
                  </w:tcBorders>
                  <w:noWrap w:val="0"/>
                  <w:vAlign w:val="center"/>
                </w:tcPr>
                <w:p w14:paraId="44CD1D4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p>
              </w:tc>
              <w:tc>
                <w:tcPr>
                  <w:tcW w:w="1506" w:type="pct"/>
                  <w:gridSpan w:val="2"/>
                  <w:tcBorders>
                    <w:tl2br w:val="nil"/>
                    <w:tr2bl w:val="nil"/>
                  </w:tcBorders>
                  <w:noWrap w:val="0"/>
                  <w:vAlign w:val="center"/>
                </w:tcPr>
                <w:p w14:paraId="3CADF62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kern w:val="24"/>
                      <w:szCs w:val="21"/>
                      <w:lang w:val="en-US" w:eastAsia="zh-CN"/>
                    </w:rPr>
                  </w:pPr>
                  <w:r>
                    <w:rPr>
                      <w:rFonts w:hint="eastAsia" w:cs="Times New Roman"/>
                      <w:color w:val="auto"/>
                      <w:kern w:val="24"/>
                      <w:szCs w:val="21"/>
                      <w:lang w:val="en-US" w:eastAsia="zh-CN"/>
                    </w:rPr>
                    <w:t>污水处理站恶臭污染物</w:t>
                  </w:r>
                </w:p>
              </w:tc>
              <w:tc>
                <w:tcPr>
                  <w:tcW w:w="1874" w:type="pct"/>
                  <w:tcBorders>
                    <w:tl2br w:val="nil"/>
                    <w:tr2bl w:val="nil"/>
                  </w:tcBorders>
                  <w:noWrap w:val="0"/>
                  <w:vAlign w:val="center"/>
                </w:tcPr>
                <w:p w14:paraId="5AA326B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vertAlign w:val="baseline"/>
                      <w:lang w:val="en-US" w:eastAsia="zh-CN"/>
                    </w:rPr>
                  </w:pPr>
                  <w:r>
                    <w:rPr>
                      <w:rFonts w:hint="eastAsia" w:cs="Times New Roman"/>
                      <w:color w:val="auto"/>
                      <w:vertAlign w:val="baseline"/>
                      <w:lang w:val="en-US" w:eastAsia="zh-CN"/>
                    </w:rPr>
                    <w:t>废水处理时产生</w:t>
                  </w:r>
                </w:p>
              </w:tc>
              <w:tc>
                <w:tcPr>
                  <w:tcW w:w="1174" w:type="pct"/>
                  <w:tcBorders>
                    <w:tl2br w:val="nil"/>
                    <w:tr2bl w:val="nil"/>
                  </w:tcBorders>
                  <w:noWrap w:val="0"/>
                  <w:vAlign w:val="center"/>
                </w:tcPr>
                <w:p w14:paraId="763D882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vertAlign w:val="baseline"/>
                      <w:lang w:val="en-US" w:eastAsia="zh-CN"/>
                    </w:rPr>
                  </w:pPr>
                  <w:r>
                    <w:rPr>
                      <w:rFonts w:hint="eastAsia" w:cs="Times New Roman"/>
                      <w:color w:val="auto"/>
                      <w:vertAlign w:val="baseline"/>
                      <w:lang w:val="en-US" w:eastAsia="zh-CN"/>
                    </w:rPr>
                    <w:t>硫化氢、氨</w:t>
                  </w:r>
                </w:p>
              </w:tc>
            </w:tr>
            <w:tr w14:paraId="06B4A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444" w:type="pct"/>
                  <w:vMerge w:val="restart"/>
                  <w:tcBorders>
                    <w:tl2br w:val="nil"/>
                    <w:tr2bl w:val="nil"/>
                  </w:tcBorders>
                  <w:noWrap w:val="0"/>
                  <w:vAlign w:val="center"/>
                </w:tcPr>
                <w:p w14:paraId="5228D1D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废水</w:t>
                  </w:r>
                </w:p>
              </w:tc>
              <w:tc>
                <w:tcPr>
                  <w:tcW w:w="1506" w:type="pct"/>
                  <w:gridSpan w:val="2"/>
                  <w:tcBorders>
                    <w:tl2br w:val="nil"/>
                    <w:tr2bl w:val="nil"/>
                  </w:tcBorders>
                  <w:noWrap w:val="0"/>
                  <w:vAlign w:val="center"/>
                </w:tcPr>
                <w:p w14:paraId="3EBB983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生活污水</w:t>
                  </w:r>
                </w:p>
              </w:tc>
              <w:tc>
                <w:tcPr>
                  <w:tcW w:w="1874" w:type="pct"/>
                  <w:tcBorders>
                    <w:tl2br w:val="nil"/>
                    <w:tr2bl w:val="nil"/>
                  </w:tcBorders>
                  <w:noWrap w:val="0"/>
                  <w:vAlign w:val="center"/>
                </w:tcPr>
                <w:p w14:paraId="5C7216F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员工日常生活</w:t>
                  </w:r>
                </w:p>
              </w:tc>
              <w:tc>
                <w:tcPr>
                  <w:tcW w:w="1174" w:type="pct"/>
                  <w:tcBorders>
                    <w:tl2br w:val="nil"/>
                    <w:tr2bl w:val="nil"/>
                  </w:tcBorders>
                  <w:noWrap w:val="0"/>
                  <w:vAlign w:val="center"/>
                </w:tcPr>
                <w:p w14:paraId="7BA6F4B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TP、TN</w:t>
                  </w:r>
                  <w:r>
                    <w:rPr>
                      <w:rFonts w:hint="eastAsia" w:cs="Times New Roman"/>
                      <w:color w:val="auto"/>
                      <w:lang w:eastAsia="zh-CN"/>
                    </w:rPr>
                    <w:t>、</w:t>
                  </w:r>
                  <w:r>
                    <w:rPr>
                      <w:rFonts w:hint="eastAsia" w:cs="Times New Roman"/>
                      <w:color w:val="auto"/>
                      <w:lang w:val="en-US" w:eastAsia="zh-CN"/>
                    </w:rPr>
                    <w:t>动植物油</w:t>
                  </w:r>
                </w:p>
              </w:tc>
            </w:tr>
            <w:tr w14:paraId="43921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444" w:type="pct"/>
                  <w:vMerge w:val="continue"/>
                  <w:tcBorders>
                    <w:tl2br w:val="nil"/>
                    <w:tr2bl w:val="nil"/>
                  </w:tcBorders>
                  <w:noWrap w:val="0"/>
                  <w:vAlign w:val="center"/>
                </w:tcPr>
                <w:p w14:paraId="7D2F3D4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339" w:type="pct"/>
                  <w:vMerge w:val="restart"/>
                  <w:tcBorders>
                    <w:tl2br w:val="nil"/>
                    <w:tr2bl w:val="nil"/>
                  </w:tcBorders>
                  <w:noWrap w:val="0"/>
                  <w:vAlign w:val="center"/>
                </w:tcPr>
                <w:p w14:paraId="00D7B8D9">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s="Times New Roman"/>
                      <w:color w:val="auto"/>
                      <w:lang w:val="en-US" w:eastAsia="zh-CN"/>
                    </w:rPr>
                    <w:t>生产废水</w:t>
                  </w:r>
                </w:p>
              </w:tc>
              <w:tc>
                <w:tcPr>
                  <w:tcW w:w="1167" w:type="pct"/>
                  <w:tcBorders>
                    <w:tl2br w:val="nil"/>
                    <w:tr2bl w:val="nil"/>
                  </w:tcBorders>
                  <w:noWrap w:val="0"/>
                  <w:vAlign w:val="center"/>
                </w:tcPr>
                <w:p w14:paraId="4DBF2F6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s="Times New Roman"/>
                      <w:color w:val="auto"/>
                      <w:lang w:val="en-US" w:eastAsia="zh-CN"/>
                    </w:rPr>
                    <w:t>解冻废水</w:t>
                  </w:r>
                </w:p>
              </w:tc>
              <w:tc>
                <w:tcPr>
                  <w:tcW w:w="1874" w:type="pct"/>
                  <w:tcBorders>
                    <w:tl2br w:val="nil"/>
                    <w:tr2bl w:val="nil"/>
                  </w:tcBorders>
                  <w:noWrap w:val="0"/>
                  <w:vAlign w:val="center"/>
                </w:tcPr>
                <w:p w14:paraId="5194396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肉类解冻时产生</w:t>
                  </w:r>
                </w:p>
              </w:tc>
              <w:tc>
                <w:tcPr>
                  <w:tcW w:w="1174" w:type="pct"/>
                  <w:tcBorders>
                    <w:tl2br w:val="nil"/>
                    <w:tr2bl w:val="nil"/>
                  </w:tcBorders>
                  <w:noWrap w:val="0"/>
                  <w:vAlign w:val="center"/>
                </w:tcPr>
                <w:p w14:paraId="2732860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动植物油</w:t>
                  </w:r>
                </w:p>
              </w:tc>
            </w:tr>
            <w:tr w14:paraId="77F8C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444" w:type="pct"/>
                  <w:vMerge w:val="continue"/>
                  <w:tcBorders>
                    <w:tl2br w:val="nil"/>
                    <w:tr2bl w:val="nil"/>
                  </w:tcBorders>
                  <w:noWrap w:val="0"/>
                  <w:vAlign w:val="center"/>
                </w:tcPr>
                <w:p w14:paraId="69E4DF3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339" w:type="pct"/>
                  <w:vMerge w:val="continue"/>
                  <w:tcBorders>
                    <w:tl2br w:val="nil"/>
                    <w:tr2bl w:val="nil"/>
                  </w:tcBorders>
                  <w:noWrap w:val="0"/>
                  <w:vAlign w:val="center"/>
                </w:tcPr>
                <w:p w14:paraId="334D8172">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167" w:type="pct"/>
                  <w:tcBorders>
                    <w:tl2br w:val="nil"/>
                    <w:tr2bl w:val="nil"/>
                  </w:tcBorders>
                  <w:noWrap w:val="0"/>
                  <w:vAlign w:val="center"/>
                </w:tcPr>
                <w:p w14:paraId="5709899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s="Times New Roman"/>
                      <w:color w:val="auto"/>
                      <w:lang w:val="en-US" w:eastAsia="zh-CN"/>
                    </w:rPr>
                    <w:t>原料清洗废水</w:t>
                  </w:r>
                </w:p>
              </w:tc>
              <w:tc>
                <w:tcPr>
                  <w:tcW w:w="1874" w:type="pct"/>
                  <w:tcBorders>
                    <w:tl2br w:val="nil"/>
                    <w:tr2bl w:val="nil"/>
                  </w:tcBorders>
                  <w:noWrap w:val="0"/>
                  <w:vAlign w:val="center"/>
                </w:tcPr>
                <w:p w14:paraId="780641E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大米和蔬菜等食材加工前的清洗</w:t>
                  </w:r>
                  <w:r>
                    <w:rPr>
                      <w:rFonts w:hint="eastAsia" w:cs="Times New Roman"/>
                      <w:color w:val="auto"/>
                      <w:sz w:val="21"/>
                      <w:szCs w:val="21"/>
                      <w:vertAlign w:val="baseline"/>
                      <w:lang w:val="en-US" w:eastAsia="zh-CN"/>
                    </w:rPr>
                    <w:t>过程产生</w:t>
                  </w:r>
                </w:p>
              </w:tc>
              <w:tc>
                <w:tcPr>
                  <w:tcW w:w="1174" w:type="pct"/>
                  <w:tcBorders>
                    <w:tl2br w:val="nil"/>
                    <w:tr2bl w:val="nil"/>
                  </w:tcBorders>
                  <w:noWrap w:val="0"/>
                  <w:vAlign w:val="center"/>
                </w:tcPr>
                <w:p w14:paraId="68238199">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动植物油</w:t>
                  </w:r>
                </w:p>
              </w:tc>
            </w:tr>
            <w:tr w14:paraId="54945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444" w:type="pct"/>
                  <w:vMerge w:val="continue"/>
                  <w:tcBorders>
                    <w:tl2br w:val="nil"/>
                    <w:tr2bl w:val="nil"/>
                  </w:tcBorders>
                  <w:noWrap w:val="0"/>
                  <w:vAlign w:val="center"/>
                </w:tcPr>
                <w:p w14:paraId="70DA3B09">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339" w:type="pct"/>
                  <w:vMerge w:val="continue"/>
                  <w:tcBorders>
                    <w:tl2br w:val="nil"/>
                    <w:tr2bl w:val="nil"/>
                  </w:tcBorders>
                  <w:noWrap w:val="0"/>
                  <w:vAlign w:val="center"/>
                </w:tcPr>
                <w:p w14:paraId="0F28E8F9">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167" w:type="pct"/>
                  <w:tcBorders>
                    <w:tl2br w:val="nil"/>
                    <w:tr2bl w:val="nil"/>
                  </w:tcBorders>
                  <w:noWrap w:val="0"/>
                  <w:vAlign w:val="center"/>
                </w:tcPr>
                <w:p w14:paraId="2C16859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s="Times New Roman"/>
                      <w:color w:val="auto"/>
                      <w:lang w:val="en-US" w:eastAsia="zh-CN"/>
                    </w:rPr>
                    <w:t>食品制作废水（焯水废水）</w:t>
                  </w:r>
                </w:p>
              </w:tc>
              <w:tc>
                <w:tcPr>
                  <w:tcW w:w="1874" w:type="pct"/>
                  <w:tcBorders>
                    <w:tl2br w:val="nil"/>
                    <w:tr2bl w:val="nil"/>
                  </w:tcBorders>
                  <w:noWrap w:val="0"/>
                  <w:vAlign w:val="center"/>
                </w:tcPr>
                <w:p w14:paraId="4A5DE59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果蔬肉类焯水</w:t>
                  </w:r>
                  <w:r>
                    <w:rPr>
                      <w:rFonts w:hint="eastAsia" w:cs="Times New Roman"/>
                      <w:color w:val="auto"/>
                      <w:sz w:val="21"/>
                      <w:szCs w:val="21"/>
                      <w:lang w:val="en-US" w:eastAsia="zh-CN"/>
                    </w:rPr>
                    <w:t>过程产生</w:t>
                  </w:r>
                </w:p>
              </w:tc>
              <w:tc>
                <w:tcPr>
                  <w:tcW w:w="1174" w:type="pct"/>
                  <w:tcBorders>
                    <w:tl2br w:val="nil"/>
                    <w:tr2bl w:val="nil"/>
                  </w:tcBorders>
                  <w:noWrap w:val="0"/>
                  <w:vAlign w:val="center"/>
                </w:tcPr>
                <w:p w14:paraId="6A30593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动植物油</w:t>
                  </w:r>
                </w:p>
              </w:tc>
            </w:tr>
            <w:tr w14:paraId="261B7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444" w:type="pct"/>
                  <w:vMerge w:val="continue"/>
                  <w:tcBorders>
                    <w:tl2br w:val="nil"/>
                    <w:tr2bl w:val="nil"/>
                  </w:tcBorders>
                  <w:noWrap w:val="0"/>
                  <w:vAlign w:val="center"/>
                </w:tcPr>
                <w:p w14:paraId="35DF0ED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339" w:type="pct"/>
                  <w:vMerge w:val="continue"/>
                  <w:tcBorders>
                    <w:tl2br w:val="nil"/>
                    <w:tr2bl w:val="nil"/>
                  </w:tcBorders>
                  <w:noWrap w:val="0"/>
                  <w:vAlign w:val="center"/>
                </w:tcPr>
                <w:p w14:paraId="52EEE6D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167" w:type="pct"/>
                  <w:tcBorders>
                    <w:tl2br w:val="nil"/>
                    <w:tr2bl w:val="nil"/>
                  </w:tcBorders>
                  <w:noWrap w:val="0"/>
                  <w:vAlign w:val="center"/>
                </w:tcPr>
                <w:p w14:paraId="4D51F9D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b w:val="0"/>
                      <w:bCs w:val="0"/>
                      <w:color w:val="auto"/>
                      <w:lang w:val="en-US" w:eastAsia="zh-CN"/>
                    </w:rPr>
                    <w:t>设备清洗废水</w:t>
                  </w:r>
                </w:p>
              </w:tc>
              <w:tc>
                <w:tcPr>
                  <w:tcW w:w="1874" w:type="pct"/>
                  <w:tcBorders>
                    <w:tl2br w:val="nil"/>
                    <w:tr2bl w:val="nil"/>
                  </w:tcBorders>
                  <w:noWrap w:val="0"/>
                  <w:vAlign w:val="center"/>
                </w:tcPr>
                <w:p w14:paraId="4E1EDB7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s="Times New Roman"/>
                      <w:color w:val="auto"/>
                      <w:lang w:val="en-US" w:eastAsia="zh-CN"/>
                    </w:rPr>
                    <w:t>清洗设备时产生</w:t>
                  </w:r>
                </w:p>
              </w:tc>
              <w:tc>
                <w:tcPr>
                  <w:tcW w:w="1174" w:type="pct"/>
                  <w:tcBorders>
                    <w:tl2br w:val="nil"/>
                    <w:tr2bl w:val="nil"/>
                  </w:tcBorders>
                  <w:noWrap w:val="0"/>
                  <w:vAlign w:val="center"/>
                </w:tcPr>
                <w:p w14:paraId="5AF5B02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动植物油</w:t>
                  </w:r>
                </w:p>
              </w:tc>
            </w:tr>
            <w:tr w14:paraId="6882F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44" w:type="pct"/>
                  <w:vMerge w:val="continue"/>
                  <w:tcBorders>
                    <w:tl2br w:val="nil"/>
                    <w:tr2bl w:val="nil"/>
                  </w:tcBorders>
                  <w:noWrap w:val="0"/>
                  <w:vAlign w:val="center"/>
                </w:tcPr>
                <w:p w14:paraId="007036C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339" w:type="pct"/>
                  <w:vMerge w:val="continue"/>
                  <w:tcBorders>
                    <w:tl2br w:val="nil"/>
                    <w:tr2bl w:val="nil"/>
                  </w:tcBorders>
                  <w:noWrap w:val="0"/>
                  <w:vAlign w:val="center"/>
                </w:tcPr>
                <w:p w14:paraId="42A1DA5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167" w:type="pct"/>
                  <w:tcBorders>
                    <w:tl2br w:val="nil"/>
                    <w:tr2bl w:val="nil"/>
                  </w:tcBorders>
                  <w:noWrap w:val="0"/>
                  <w:vAlign w:val="center"/>
                </w:tcPr>
                <w:p w14:paraId="5835A29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地面清洗废水</w:t>
                  </w:r>
                </w:p>
              </w:tc>
              <w:tc>
                <w:tcPr>
                  <w:tcW w:w="1874" w:type="pct"/>
                  <w:tcBorders>
                    <w:tl2br w:val="nil"/>
                    <w:tr2bl w:val="nil"/>
                  </w:tcBorders>
                  <w:noWrap w:val="0"/>
                  <w:vAlign w:val="center"/>
                </w:tcPr>
                <w:p w14:paraId="57EADC1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s="Times New Roman"/>
                      <w:color w:val="auto"/>
                      <w:lang w:val="en-US" w:eastAsia="zh-CN"/>
                    </w:rPr>
                    <w:t>清洗地面时产生</w:t>
                  </w:r>
                </w:p>
              </w:tc>
              <w:tc>
                <w:tcPr>
                  <w:tcW w:w="1174" w:type="pct"/>
                  <w:tcBorders>
                    <w:tl2br w:val="nil"/>
                    <w:tr2bl w:val="nil"/>
                  </w:tcBorders>
                  <w:noWrap w:val="0"/>
                  <w:vAlign w:val="center"/>
                </w:tcPr>
                <w:p w14:paraId="41BB0CA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r>
            <w:tr w14:paraId="48250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44" w:type="pct"/>
                  <w:vMerge w:val="continue"/>
                  <w:tcBorders>
                    <w:tl2br w:val="nil"/>
                    <w:tr2bl w:val="nil"/>
                  </w:tcBorders>
                  <w:noWrap w:val="0"/>
                  <w:vAlign w:val="center"/>
                </w:tcPr>
                <w:p w14:paraId="6407B490">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339" w:type="pct"/>
                  <w:vMerge w:val="continue"/>
                  <w:tcBorders>
                    <w:tl2br w:val="nil"/>
                    <w:tr2bl w:val="nil"/>
                  </w:tcBorders>
                  <w:noWrap w:val="0"/>
                  <w:vAlign w:val="center"/>
                </w:tcPr>
                <w:p w14:paraId="7EAC230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167" w:type="pct"/>
                  <w:tcBorders>
                    <w:tl2br w:val="nil"/>
                    <w:tr2bl w:val="nil"/>
                  </w:tcBorders>
                  <w:noWrap w:val="0"/>
                  <w:vAlign w:val="center"/>
                </w:tcPr>
                <w:p w14:paraId="5064B98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锅炉废水</w:t>
                  </w:r>
                </w:p>
              </w:tc>
              <w:tc>
                <w:tcPr>
                  <w:tcW w:w="1874" w:type="pct"/>
                  <w:tcBorders>
                    <w:tl2br w:val="nil"/>
                    <w:tr2bl w:val="nil"/>
                  </w:tcBorders>
                  <w:noWrap w:val="0"/>
                  <w:vAlign w:val="center"/>
                </w:tcPr>
                <w:p w14:paraId="63E47E1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s="Times New Roman"/>
                      <w:color w:val="auto"/>
                      <w:vertAlign w:val="baseline"/>
                      <w:lang w:val="en-US" w:eastAsia="zh-CN"/>
                    </w:rPr>
                    <w:t>燃气锅炉工作过程产生</w:t>
                  </w:r>
                </w:p>
              </w:tc>
              <w:tc>
                <w:tcPr>
                  <w:tcW w:w="1174" w:type="pct"/>
                  <w:tcBorders>
                    <w:tl2br w:val="nil"/>
                    <w:tr2bl w:val="nil"/>
                  </w:tcBorders>
                  <w:noWrap w:val="0"/>
                  <w:vAlign w:val="center"/>
                </w:tcPr>
                <w:p w14:paraId="54BA93C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、SS</w:t>
                  </w:r>
                </w:p>
              </w:tc>
            </w:tr>
            <w:tr w14:paraId="10B62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44" w:type="pct"/>
                  <w:vMerge w:val="continue"/>
                  <w:tcBorders>
                    <w:tl2br w:val="nil"/>
                    <w:tr2bl w:val="nil"/>
                  </w:tcBorders>
                  <w:noWrap w:val="0"/>
                  <w:vAlign w:val="center"/>
                </w:tcPr>
                <w:p w14:paraId="4A54CEF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339" w:type="pct"/>
                  <w:vMerge w:val="continue"/>
                  <w:tcBorders>
                    <w:tl2br w:val="nil"/>
                    <w:tr2bl w:val="nil"/>
                  </w:tcBorders>
                  <w:noWrap w:val="0"/>
                  <w:vAlign w:val="center"/>
                </w:tcPr>
                <w:p w14:paraId="6FFB181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167" w:type="pct"/>
                  <w:tcBorders>
                    <w:tl2br w:val="nil"/>
                    <w:tr2bl w:val="nil"/>
                  </w:tcBorders>
                  <w:noWrap w:val="0"/>
                  <w:vAlign w:val="center"/>
                </w:tcPr>
                <w:p w14:paraId="5202546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s="Times New Roman"/>
                      <w:color w:val="auto"/>
                      <w:lang w:val="en-US" w:eastAsia="zh-CN"/>
                    </w:rPr>
                    <w:t>冷库除霜废水</w:t>
                  </w:r>
                </w:p>
              </w:tc>
              <w:tc>
                <w:tcPr>
                  <w:tcW w:w="1874" w:type="pct"/>
                  <w:tcBorders>
                    <w:tl2br w:val="nil"/>
                    <w:tr2bl w:val="nil"/>
                  </w:tcBorders>
                  <w:noWrap w:val="0"/>
                  <w:vAlign w:val="center"/>
                </w:tcPr>
                <w:p w14:paraId="2F8F416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vertAlign w:val="baseline"/>
                      <w:lang w:val="en-US" w:eastAsia="zh-CN"/>
                    </w:rPr>
                  </w:pPr>
                  <w:r>
                    <w:rPr>
                      <w:rFonts w:hint="eastAsia" w:cs="Times New Roman"/>
                      <w:color w:val="auto"/>
                      <w:vertAlign w:val="baseline"/>
                      <w:lang w:val="en-US" w:eastAsia="zh-CN"/>
                    </w:rPr>
                    <w:t>定期对冷库进行除霜过程产生</w:t>
                  </w:r>
                </w:p>
              </w:tc>
              <w:tc>
                <w:tcPr>
                  <w:tcW w:w="1174" w:type="pct"/>
                  <w:tcBorders>
                    <w:tl2br w:val="nil"/>
                    <w:tr2bl w:val="nil"/>
                  </w:tcBorders>
                  <w:noWrap w:val="0"/>
                  <w:vAlign w:val="center"/>
                </w:tcPr>
                <w:p w14:paraId="2B84D59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r>
            <w:tr w14:paraId="7693D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44" w:type="pct"/>
                  <w:vMerge w:val="continue"/>
                  <w:tcBorders>
                    <w:tl2br w:val="nil"/>
                    <w:tr2bl w:val="nil"/>
                  </w:tcBorders>
                  <w:noWrap w:val="0"/>
                  <w:vAlign w:val="center"/>
                </w:tcPr>
                <w:p w14:paraId="679FA2D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506" w:type="pct"/>
                  <w:gridSpan w:val="2"/>
                  <w:tcBorders>
                    <w:tl2br w:val="nil"/>
                    <w:tr2bl w:val="nil"/>
                  </w:tcBorders>
                  <w:noWrap w:val="0"/>
                  <w:vAlign w:val="center"/>
                </w:tcPr>
                <w:p w14:paraId="5F6DBA0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s="Times New Roman"/>
                      <w:color w:val="auto"/>
                      <w:lang w:val="en-US" w:eastAsia="zh-CN"/>
                    </w:rPr>
                    <w:t>纯水制备浓水</w:t>
                  </w:r>
                </w:p>
              </w:tc>
              <w:tc>
                <w:tcPr>
                  <w:tcW w:w="1874" w:type="pct"/>
                  <w:tcBorders>
                    <w:tl2br w:val="nil"/>
                    <w:tr2bl w:val="nil"/>
                  </w:tcBorders>
                  <w:shd w:val="clear" w:color="auto" w:fill="auto"/>
                  <w:noWrap w:val="0"/>
                  <w:vAlign w:val="center"/>
                </w:tcPr>
                <w:p w14:paraId="71AFAD8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纯水制备过程产生</w:t>
                  </w:r>
                </w:p>
              </w:tc>
              <w:tc>
                <w:tcPr>
                  <w:tcW w:w="1174" w:type="pct"/>
                  <w:tcBorders>
                    <w:tl2br w:val="nil"/>
                    <w:tr2bl w:val="nil"/>
                  </w:tcBorders>
                  <w:shd w:val="clear" w:color="auto" w:fill="auto"/>
                  <w:noWrap w:val="0"/>
                  <w:vAlign w:val="center"/>
                </w:tcPr>
                <w:p w14:paraId="154E85B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pH、</w:t>
                  </w:r>
                  <w:r>
                    <w:rPr>
                      <w:rFonts w:hint="eastAsia" w:cs="Times New Roman"/>
                      <w:color w:val="auto"/>
                      <w:lang w:val="en-US" w:eastAsia="zh-CN"/>
                    </w:rPr>
                    <w:t>COD</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w:t>
                  </w:r>
                  <w:r>
                    <w:rPr>
                      <w:rFonts w:hint="eastAsia" w:cs="Times New Roman"/>
                      <w:color w:val="auto"/>
                      <w:lang w:val="en-US" w:eastAsia="zh-CN"/>
                    </w:rPr>
                    <w:t>全盐量</w:t>
                  </w:r>
                </w:p>
              </w:tc>
            </w:tr>
            <w:tr w14:paraId="47F8E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44" w:type="pct"/>
                  <w:tcBorders>
                    <w:tl2br w:val="nil"/>
                    <w:tr2bl w:val="nil"/>
                  </w:tcBorders>
                  <w:noWrap w:val="0"/>
                  <w:vAlign w:val="center"/>
                </w:tcPr>
                <w:p w14:paraId="400D39A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噪声</w:t>
                  </w:r>
                </w:p>
              </w:tc>
              <w:tc>
                <w:tcPr>
                  <w:tcW w:w="4555" w:type="pct"/>
                  <w:gridSpan w:val="4"/>
                  <w:tcBorders>
                    <w:tl2br w:val="nil"/>
                    <w:tr2bl w:val="nil"/>
                  </w:tcBorders>
                  <w:noWrap w:val="0"/>
                  <w:vAlign w:val="center"/>
                </w:tcPr>
                <w:p w14:paraId="75E9EEB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olor w:val="auto"/>
                      <w:szCs w:val="21"/>
                    </w:rPr>
                    <w:t>各机械设备运行时产生的噪声</w:t>
                  </w:r>
                  <w:r>
                    <w:rPr>
                      <w:rFonts w:hint="eastAsia"/>
                      <w:color w:val="auto"/>
                      <w:szCs w:val="21"/>
                      <w:lang w:eastAsia="zh-CN"/>
                    </w:rPr>
                    <w:t>、</w:t>
                  </w:r>
                  <w:r>
                    <w:rPr>
                      <w:rFonts w:hint="default" w:ascii="Times New Roman" w:hAnsi="Times New Roman" w:cs="Times New Roman"/>
                      <w:color w:val="auto"/>
                      <w:lang w:val="en-US" w:eastAsia="zh-CN"/>
                    </w:rPr>
                    <w:t>车辆噪声</w:t>
                  </w:r>
                </w:p>
              </w:tc>
            </w:tr>
            <w:tr w14:paraId="4E1EF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4" w:type="pct"/>
                  <w:vMerge w:val="restart"/>
                  <w:tcBorders>
                    <w:tl2br w:val="nil"/>
                    <w:tr2bl w:val="nil"/>
                  </w:tcBorders>
                  <w:noWrap w:val="0"/>
                  <w:vAlign w:val="center"/>
                </w:tcPr>
                <w:p w14:paraId="292247E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固体废物</w:t>
                  </w:r>
                </w:p>
              </w:tc>
              <w:tc>
                <w:tcPr>
                  <w:tcW w:w="1506" w:type="pct"/>
                  <w:gridSpan w:val="2"/>
                  <w:tcBorders>
                    <w:tl2br w:val="nil"/>
                    <w:tr2bl w:val="nil"/>
                  </w:tcBorders>
                  <w:noWrap w:val="0"/>
                  <w:vAlign w:val="center"/>
                </w:tcPr>
                <w:p w14:paraId="49A990C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1874" w:type="pct"/>
                  <w:tcBorders>
                    <w:tl2br w:val="nil"/>
                    <w:tr2bl w:val="nil"/>
                  </w:tcBorders>
                  <w:noWrap w:val="0"/>
                  <w:vAlign w:val="center"/>
                </w:tcPr>
                <w:p w14:paraId="7083C49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s="Times New Roman"/>
                      <w:color w:val="auto"/>
                      <w:lang w:val="en-US" w:eastAsia="zh-CN"/>
                    </w:rPr>
                    <w:t>员工</w:t>
                  </w:r>
                  <w:r>
                    <w:rPr>
                      <w:rFonts w:hint="default" w:ascii="Times New Roman" w:hAnsi="Times New Roman" w:cs="Times New Roman"/>
                      <w:color w:val="auto"/>
                    </w:rPr>
                    <w:t>日常生活</w:t>
                  </w:r>
                  <w:r>
                    <w:rPr>
                      <w:rFonts w:hint="default" w:ascii="Times New Roman" w:hAnsi="Times New Roman" w:cs="Times New Roman"/>
                      <w:color w:val="auto"/>
                      <w:lang w:val="en-US" w:eastAsia="zh-CN"/>
                    </w:rPr>
                    <w:t>产生</w:t>
                  </w:r>
                </w:p>
              </w:tc>
              <w:tc>
                <w:tcPr>
                  <w:tcW w:w="1174" w:type="pct"/>
                  <w:tcBorders>
                    <w:tl2br w:val="nil"/>
                    <w:tr2bl w:val="nil"/>
                  </w:tcBorders>
                  <w:noWrap w:val="0"/>
                  <w:vAlign w:val="center"/>
                </w:tcPr>
                <w:p w14:paraId="3DCB531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s="Times New Roman"/>
                      <w:color w:val="auto"/>
                      <w:lang w:val="en-US" w:eastAsia="zh-CN"/>
                    </w:rPr>
                    <w:t>生活垃圾</w:t>
                  </w:r>
                </w:p>
              </w:tc>
            </w:tr>
            <w:tr w14:paraId="6C407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44" w:type="pct"/>
                  <w:vMerge w:val="continue"/>
                  <w:tcBorders>
                    <w:tl2br w:val="nil"/>
                    <w:tr2bl w:val="nil"/>
                  </w:tcBorders>
                  <w:noWrap w:val="0"/>
                  <w:vAlign w:val="center"/>
                </w:tcPr>
                <w:p w14:paraId="19DE61F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p>
              </w:tc>
              <w:tc>
                <w:tcPr>
                  <w:tcW w:w="1506" w:type="pct"/>
                  <w:gridSpan w:val="2"/>
                  <w:tcBorders>
                    <w:tl2br w:val="nil"/>
                    <w:tr2bl w:val="nil"/>
                  </w:tcBorders>
                  <w:noWrap w:val="0"/>
                  <w:vAlign w:val="center"/>
                </w:tcPr>
                <w:p w14:paraId="3032A106">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Style w:val="130"/>
                      <w:rFonts w:hint="default" w:eastAsia="宋体"/>
                      <w:color w:val="auto"/>
                      <w:szCs w:val="21"/>
                      <w:lang w:val="en-US" w:eastAsia="zh-CN"/>
                    </w:rPr>
                  </w:pPr>
                  <w:r>
                    <w:rPr>
                      <w:rFonts w:hint="eastAsia" w:cs="Times New Roman"/>
                      <w:color w:val="auto"/>
                      <w:vertAlign w:val="baseline"/>
                      <w:lang w:val="en-US" w:eastAsia="zh-CN"/>
                    </w:rPr>
                    <w:t>餐厨垃圾</w:t>
                  </w:r>
                </w:p>
              </w:tc>
              <w:tc>
                <w:tcPr>
                  <w:tcW w:w="1874" w:type="pct"/>
                  <w:tcBorders>
                    <w:tl2br w:val="nil"/>
                    <w:tr2bl w:val="nil"/>
                  </w:tcBorders>
                  <w:noWrap w:val="0"/>
                  <w:vAlign w:val="center"/>
                </w:tcPr>
                <w:p w14:paraId="13447731">
                  <w:pPr>
                    <w:keepNext w:val="0"/>
                    <w:keepLines w:val="0"/>
                    <w:widowControl/>
                    <w:suppressLineNumbers w:val="0"/>
                    <w:jc w:val="center"/>
                    <w:rPr>
                      <w:rFonts w:hint="default" w:ascii="Times New Roman" w:hAnsi="Times New Roman" w:cs="Times New Roman"/>
                      <w:color w:val="auto"/>
                      <w:lang w:val="en-US" w:eastAsia="zh-CN"/>
                    </w:rPr>
                  </w:pPr>
                  <w:r>
                    <w:rPr>
                      <w:rFonts w:hint="eastAsia" w:cs="Times New Roman"/>
                      <w:color w:val="auto"/>
                      <w:kern w:val="2"/>
                      <w:sz w:val="21"/>
                      <w:szCs w:val="21"/>
                      <w:lang w:val="en-US" w:eastAsia="zh-CN" w:bidi="ar-SA"/>
                    </w:rPr>
                    <w:t>食品制作</w:t>
                  </w:r>
                  <w:r>
                    <w:rPr>
                      <w:rFonts w:hint="eastAsia" w:ascii="Times New Roman" w:hAnsi="Times New Roman" w:eastAsia="宋体" w:cs="Times New Roman"/>
                      <w:color w:val="auto"/>
                      <w:kern w:val="2"/>
                      <w:sz w:val="21"/>
                      <w:szCs w:val="21"/>
                      <w:lang w:val="en-US" w:eastAsia="zh-CN" w:bidi="ar-SA"/>
                    </w:rPr>
                    <w:t>过程产生</w:t>
                  </w:r>
                </w:p>
              </w:tc>
              <w:tc>
                <w:tcPr>
                  <w:tcW w:w="1174" w:type="pct"/>
                  <w:vMerge w:val="restart"/>
                  <w:tcBorders>
                    <w:tl2br w:val="nil"/>
                    <w:tr2bl w:val="nil"/>
                  </w:tcBorders>
                  <w:noWrap w:val="0"/>
                  <w:vAlign w:val="center"/>
                </w:tcPr>
                <w:p w14:paraId="7633C0B9">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lang w:val="en-US" w:eastAsia="zh-CN"/>
                    </w:rPr>
                    <w:t>一般固废</w:t>
                  </w:r>
                </w:p>
              </w:tc>
            </w:tr>
            <w:tr w14:paraId="7ECB5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44" w:type="pct"/>
                  <w:vMerge w:val="continue"/>
                  <w:tcBorders>
                    <w:tl2br w:val="nil"/>
                    <w:tr2bl w:val="nil"/>
                  </w:tcBorders>
                  <w:noWrap w:val="0"/>
                  <w:vAlign w:val="center"/>
                </w:tcPr>
                <w:p w14:paraId="13CB3C7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p>
              </w:tc>
              <w:tc>
                <w:tcPr>
                  <w:tcW w:w="1506" w:type="pct"/>
                  <w:gridSpan w:val="2"/>
                  <w:tcBorders>
                    <w:tl2br w:val="nil"/>
                    <w:tr2bl w:val="nil"/>
                  </w:tcBorders>
                  <w:noWrap w:val="0"/>
                  <w:vAlign w:val="center"/>
                </w:tcPr>
                <w:p w14:paraId="37A1D05F">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废油脂</w:t>
                  </w:r>
                </w:p>
              </w:tc>
              <w:tc>
                <w:tcPr>
                  <w:tcW w:w="1874" w:type="pct"/>
                  <w:tcBorders>
                    <w:tl2br w:val="nil"/>
                    <w:tr2bl w:val="nil"/>
                  </w:tcBorders>
                  <w:noWrap w:val="0"/>
                  <w:vAlign w:val="center"/>
                </w:tcPr>
                <w:p w14:paraId="5C296A59">
                  <w:pPr>
                    <w:keepNext w:val="0"/>
                    <w:keepLines w:val="0"/>
                    <w:widowControl/>
                    <w:suppressLineNumbers w:val="0"/>
                    <w:jc w:val="center"/>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Cs w:val="21"/>
                      <w:lang w:val="en-US" w:eastAsia="zh-CN"/>
                    </w:rPr>
                    <w:t>隔油池处理废水过程和油烟净化器处理废气过程产生</w:t>
                  </w:r>
                </w:p>
              </w:tc>
              <w:tc>
                <w:tcPr>
                  <w:tcW w:w="1174" w:type="pct"/>
                  <w:vMerge w:val="continue"/>
                  <w:tcBorders>
                    <w:tl2br w:val="nil"/>
                    <w:tr2bl w:val="nil"/>
                  </w:tcBorders>
                  <w:noWrap w:val="0"/>
                  <w:vAlign w:val="center"/>
                </w:tcPr>
                <w:p w14:paraId="6917D15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p>
              </w:tc>
            </w:tr>
            <w:tr w14:paraId="04CA9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44" w:type="pct"/>
                  <w:vMerge w:val="continue"/>
                  <w:tcBorders>
                    <w:tl2br w:val="nil"/>
                    <w:tr2bl w:val="nil"/>
                  </w:tcBorders>
                  <w:noWrap w:val="0"/>
                  <w:vAlign w:val="center"/>
                </w:tcPr>
                <w:p w14:paraId="2931E57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p>
              </w:tc>
              <w:tc>
                <w:tcPr>
                  <w:tcW w:w="1506" w:type="pct"/>
                  <w:gridSpan w:val="2"/>
                  <w:tcBorders>
                    <w:tl2br w:val="nil"/>
                    <w:tr2bl w:val="nil"/>
                  </w:tcBorders>
                  <w:noWrap w:val="0"/>
                  <w:vAlign w:val="center"/>
                </w:tcPr>
                <w:p w14:paraId="5FF7916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Style w:val="130"/>
                      <w:rFonts w:hint="default" w:eastAsia="宋体"/>
                      <w:color w:val="auto"/>
                      <w:szCs w:val="21"/>
                      <w:lang w:val="en-US" w:eastAsia="zh-CN"/>
                    </w:rPr>
                  </w:pPr>
                  <w:r>
                    <w:rPr>
                      <w:rFonts w:hint="eastAsia"/>
                      <w:bCs/>
                      <w:color w:val="auto"/>
                      <w:highlight w:val="none"/>
                      <w:lang w:val="en-US" w:eastAsia="zh-CN"/>
                    </w:rPr>
                    <w:t>废包装材料</w:t>
                  </w:r>
                </w:p>
              </w:tc>
              <w:tc>
                <w:tcPr>
                  <w:tcW w:w="1874" w:type="pct"/>
                  <w:tcBorders>
                    <w:tl2br w:val="nil"/>
                    <w:tr2bl w:val="nil"/>
                  </w:tcBorders>
                  <w:noWrap w:val="0"/>
                  <w:vAlign w:val="center"/>
                </w:tcPr>
                <w:p w14:paraId="1E1A05D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ascii="Times New Roman" w:hAnsi="Times New Roman" w:eastAsia="宋体" w:cs="Times New Roman"/>
                      <w:color w:val="auto"/>
                      <w:kern w:val="2"/>
                      <w:sz w:val="21"/>
                      <w:szCs w:val="21"/>
                      <w:lang w:val="en-US" w:eastAsia="zh-CN" w:bidi="ar-SA"/>
                    </w:rPr>
                    <w:t>原料拆包和产品包装过程产生</w:t>
                  </w:r>
                </w:p>
              </w:tc>
              <w:tc>
                <w:tcPr>
                  <w:tcW w:w="1174" w:type="pct"/>
                  <w:vMerge w:val="continue"/>
                  <w:tcBorders>
                    <w:tl2br w:val="nil"/>
                    <w:tr2bl w:val="nil"/>
                  </w:tcBorders>
                  <w:noWrap w:val="0"/>
                  <w:vAlign w:val="center"/>
                </w:tcPr>
                <w:p w14:paraId="3F7560E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r>
            <w:tr w14:paraId="2C465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44" w:type="pct"/>
                  <w:vMerge w:val="continue"/>
                  <w:tcBorders>
                    <w:tl2br w:val="nil"/>
                    <w:tr2bl w:val="nil"/>
                  </w:tcBorders>
                  <w:noWrap w:val="0"/>
                  <w:vAlign w:val="center"/>
                </w:tcPr>
                <w:p w14:paraId="415F7F7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p>
              </w:tc>
              <w:tc>
                <w:tcPr>
                  <w:tcW w:w="1506" w:type="pct"/>
                  <w:gridSpan w:val="2"/>
                  <w:tcBorders>
                    <w:tl2br w:val="nil"/>
                    <w:tr2bl w:val="nil"/>
                  </w:tcBorders>
                  <w:shd w:val="clear" w:color="auto" w:fill="auto"/>
                  <w:noWrap w:val="0"/>
                  <w:vAlign w:val="center"/>
                </w:tcPr>
                <w:p w14:paraId="7BE864F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bCs/>
                      <w:color w:val="auto"/>
                      <w:highlight w:val="none"/>
                    </w:rPr>
                    <w:t>废滤芯和</w:t>
                  </w:r>
                  <w:r>
                    <w:rPr>
                      <w:rFonts w:hint="eastAsia" w:ascii="Times New Roman" w:hAnsi="Times New Roman" w:eastAsia="宋体" w:cs="Times New Roman"/>
                      <w:color w:val="auto"/>
                      <w:vertAlign w:val="baseline"/>
                      <w:lang w:val="en-US" w:eastAsia="zh-CN"/>
                    </w:rPr>
                    <w:t>废反渗透膜</w:t>
                  </w:r>
                </w:p>
              </w:tc>
              <w:tc>
                <w:tcPr>
                  <w:tcW w:w="1874" w:type="pct"/>
                  <w:tcBorders>
                    <w:tl2br w:val="nil"/>
                    <w:tr2bl w:val="nil"/>
                  </w:tcBorders>
                  <w:shd w:val="clear" w:color="auto" w:fill="auto"/>
                  <w:noWrap w:val="0"/>
                  <w:vAlign w:val="center"/>
                </w:tcPr>
                <w:p w14:paraId="15823B3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纯水机纯水制备过程产生</w:t>
                  </w:r>
                </w:p>
              </w:tc>
              <w:tc>
                <w:tcPr>
                  <w:tcW w:w="1174" w:type="pct"/>
                  <w:vMerge w:val="continue"/>
                  <w:tcBorders>
                    <w:tl2br w:val="nil"/>
                    <w:tr2bl w:val="nil"/>
                  </w:tcBorders>
                  <w:noWrap w:val="0"/>
                  <w:vAlign w:val="center"/>
                </w:tcPr>
                <w:p w14:paraId="7E5F98D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r>
            <w:tr w14:paraId="19801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44" w:type="pct"/>
                  <w:vMerge w:val="continue"/>
                  <w:tcBorders>
                    <w:tl2br w:val="nil"/>
                    <w:tr2bl w:val="nil"/>
                  </w:tcBorders>
                  <w:noWrap w:val="0"/>
                  <w:vAlign w:val="center"/>
                </w:tcPr>
                <w:p w14:paraId="3D84816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p>
              </w:tc>
              <w:tc>
                <w:tcPr>
                  <w:tcW w:w="1506" w:type="pct"/>
                  <w:gridSpan w:val="2"/>
                  <w:tcBorders>
                    <w:tl2br w:val="nil"/>
                    <w:tr2bl w:val="nil"/>
                  </w:tcBorders>
                  <w:noWrap w:val="0"/>
                  <w:vAlign w:val="center"/>
                </w:tcPr>
                <w:p w14:paraId="0D54576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bCs/>
                      <w:color w:val="auto"/>
                      <w:highlight w:val="none"/>
                      <w:lang w:val="en-US" w:eastAsia="zh-CN"/>
                    </w:rPr>
                  </w:pPr>
                  <w:r>
                    <w:rPr>
                      <w:rFonts w:hint="eastAsia"/>
                      <w:bCs/>
                      <w:color w:val="auto"/>
                      <w:highlight w:val="none"/>
                      <w:lang w:val="en-US" w:eastAsia="zh-CN"/>
                    </w:rPr>
                    <w:t>锅炉软水废树脂</w:t>
                  </w:r>
                </w:p>
              </w:tc>
              <w:tc>
                <w:tcPr>
                  <w:tcW w:w="1874" w:type="pct"/>
                  <w:tcBorders>
                    <w:tl2br w:val="nil"/>
                    <w:tr2bl w:val="nil"/>
                  </w:tcBorders>
                  <w:noWrap w:val="0"/>
                  <w:vAlign w:val="center"/>
                </w:tcPr>
                <w:p w14:paraId="545AAEA9">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软水制备过程产生</w:t>
                  </w:r>
                </w:p>
              </w:tc>
              <w:tc>
                <w:tcPr>
                  <w:tcW w:w="1174" w:type="pct"/>
                  <w:vMerge w:val="continue"/>
                  <w:tcBorders>
                    <w:tl2br w:val="nil"/>
                    <w:tr2bl w:val="nil"/>
                  </w:tcBorders>
                  <w:noWrap w:val="0"/>
                  <w:vAlign w:val="center"/>
                </w:tcPr>
                <w:p w14:paraId="4E780DF0">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r>
            <w:tr w14:paraId="16BC4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44" w:type="pct"/>
                  <w:vMerge w:val="continue"/>
                  <w:tcBorders>
                    <w:tl2br w:val="nil"/>
                    <w:tr2bl w:val="nil"/>
                  </w:tcBorders>
                  <w:noWrap w:val="0"/>
                  <w:vAlign w:val="center"/>
                </w:tcPr>
                <w:p w14:paraId="77EE51D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rPr>
                  </w:pPr>
                </w:p>
              </w:tc>
              <w:tc>
                <w:tcPr>
                  <w:tcW w:w="1506" w:type="pct"/>
                  <w:gridSpan w:val="2"/>
                  <w:tcBorders>
                    <w:tl2br w:val="nil"/>
                    <w:tr2bl w:val="nil"/>
                  </w:tcBorders>
                  <w:noWrap w:val="0"/>
                  <w:vAlign w:val="center"/>
                </w:tcPr>
                <w:p w14:paraId="008E45D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eastAsia="宋体"/>
                      <w:bCs/>
                      <w:color w:val="auto"/>
                      <w:highlight w:val="none"/>
                      <w:lang w:val="en-US" w:eastAsia="zh-CN"/>
                    </w:rPr>
                  </w:pPr>
                  <w:r>
                    <w:rPr>
                      <w:rFonts w:hint="eastAsia"/>
                      <w:bCs/>
                      <w:color w:val="auto"/>
                      <w:highlight w:val="none"/>
                      <w:lang w:val="en-US" w:eastAsia="zh-CN"/>
                    </w:rPr>
                    <w:t>沉淀池污泥</w:t>
                  </w:r>
                </w:p>
              </w:tc>
              <w:tc>
                <w:tcPr>
                  <w:tcW w:w="1874" w:type="pct"/>
                  <w:tcBorders>
                    <w:tl2br w:val="nil"/>
                    <w:tr2bl w:val="nil"/>
                  </w:tcBorders>
                  <w:noWrap w:val="0"/>
                  <w:vAlign w:val="center"/>
                </w:tcPr>
                <w:p w14:paraId="3DF5A4C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废水处理过程产生</w:t>
                  </w:r>
                </w:p>
              </w:tc>
              <w:tc>
                <w:tcPr>
                  <w:tcW w:w="1174" w:type="pct"/>
                  <w:vMerge w:val="continue"/>
                  <w:tcBorders>
                    <w:tl2br w:val="nil"/>
                    <w:tr2bl w:val="nil"/>
                  </w:tcBorders>
                  <w:noWrap w:val="0"/>
                  <w:vAlign w:val="center"/>
                </w:tcPr>
                <w:p w14:paraId="36A8ABC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r>
            <w:tr w14:paraId="17A0F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44" w:type="pct"/>
                  <w:vMerge w:val="continue"/>
                  <w:tcBorders>
                    <w:tl2br w:val="nil"/>
                    <w:tr2bl w:val="nil"/>
                  </w:tcBorders>
                  <w:noWrap w:val="0"/>
                  <w:vAlign w:val="center"/>
                </w:tcPr>
                <w:p w14:paraId="4F44F6B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506" w:type="pct"/>
                  <w:gridSpan w:val="2"/>
                  <w:tcBorders>
                    <w:tl2br w:val="nil"/>
                    <w:tr2bl w:val="nil"/>
                  </w:tcBorders>
                  <w:noWrap w:val="0"/>
                  <w:vAlign w:val="center"/>
                </w:tcPr>
                <w:p w14:paraId="004433B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color w:val="auto"/>
                      <w:szCs w:val="21"/>
                    </w:rPr>
                    <w:t>废机油</w:t>
                  </w:r>
                  <w:r>
                    <w:rPr>
                      <w:rFonts w:hint="eastAsia"/>
                      <w:color w:val="auto"/>
                      <w:szCs w:val="21"/>
                      <w:lang w:val="en-US" w:eastAsia="zh-CN"/>
                    </w:rPr>
                    <w:t>及废含油抹布</w:t>
                  </w:r>
                </w:p>
              </w:tc>
              <w:tc>
                <w:tcPr>
                  <w:tcW w:w="1874" w:type="pct"/>
                  <w:tcBorders>
                    <w:tl2br w:val="nil"/>
                    <w:tr2bl w:val="nil"/>
                  </w:tcBorders>
                  <w:noWrap w:val="0"/>
                  <w:vAlign w:val="center"/>
                </w:tcPr>
                <w:p w14:paraId="48F30F31">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auto"/>
                      <w:lang w:val="en-US" w:eastAsia="zh-CN"/>
                    </w:rPr>
                  </w:pPr>
                  <w:r>
                    <w:rPr>
                      <w:rStyle w:val="130"/>
                      <w:rFonts w:hint="eastAsia"/>
                      <w:color w:val="auto"/>
                      <w:szCs w:val="21"/>
                    </w:rPr>
                    <w:t>设备维修</w:t>
                  </w:r>
                </w:p>
              </w:tc>
              <w:tc>
                <w:tcPr>
                  <w:tcW w:w="1174" w:type="pct"/>
                  <w:vMerge w:val="restart"/>
                  <w:tcBorders>
                    <w:tl2br w:val="nil"/>
                    <w:tr2bl w:val="nil"/>
                  </w:tcBorders>
                  <w:noWrap w:val="0"/>
                  <w:vAlign w:val="center"/>
                </w:tcPr>
                <w:p w14:paraId="24CF91F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危险废物</w:t>
                  </w:r>
                </w:p>
              </w:tc>
            </w:tr>
            <w:tr w14:paraId="3AFCD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44" w:type="pct"/>
                  <w:vMerge w:val="continue"/>
                  <w:tcBorders>
                    <w:tl2br w:val="nil"/>
                    <w:tr2bl w:val="nil"/>
                  </w:tcBorders>
                  <w:noWrap w:val="0"/>
                  <w:vAlign w:val="center"/>
                </w:tcPr>
                <w:p w14:paraId="08C3392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1506" w:type="pct"/>
                  <w:gridSpan w:val="2"/>
                  <w:tcBorders>
                    <w:tl2br w:val="nil"/>
                    <w:tr2bl w:val="nil"/>
                  </w:tcBorders>
                  <w:noWrap w:val="0"/>
                  <w:vAlign w:val="center"/>
                </w:tcPr>
                <w:p w14:paraId="04D14EA8">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废紫外线灯管</w:t>
                  </w:r>
                </w:p>
              </w:tc>
              <w:tc>
                <w:tcPr>
                  <w:tcW w:w="1874" w:type="pct"/>
                  <w:tcBorders>
                    <w:tl2br w:val="nil"/>
                    <w:tr2bl w:val="nil"/>
                  </w:tcBorders>
                  <w:noWrap w:val="0"/>
                  <w:vAlign w:val="center"/>
                </w:tcPr>
                <w:p w14:paraId="7345A2C8">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紫外线消毒设备定期更换紫外线灯管时产生</w:t>
                  </w:r>
                </w:p>
              </w:tc>
              <w:tc>
                <w:tcPr>
                  <w:tcW w:w="1174" w:type="pct"/>
                  <w:vMerge w:val="continue"/>
                  <w:tcBorders>
                    <w:tl2br w:val="nil"/>
                    <w:tr2bl w:val="nil"/>
                  </w:tcBorders>
                  <w:noWrap w:val="0"/>
                  <w:vAlign w:val="center"/>
                </w:tcPr>
                <w:p w14:paraId="1942C86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p>
              </w:tc>
            </w:tr>
          </w:tbl>
          <w:p w14:paraId="1505FC96">
            <w:pPr>
              <w:pStyle w:val="10"/>
              <w:bidi w:val="0"/>
              <w:ind w:left="0" w:leftChars="0" w:firstLine="0" w:firstLineChars="0"/>
              <w:rPr>
                <w:rFonts w:hint="default" w:ascii="Times New Roman" w:hAnsi="Times New Roman" w:eastAsia="宋体" w:cs="Times New Roman"/>
                <w:color w:val="auto"/>
                <w:spacing w:val="0"/>
                <w:w w:val="100"/>
                <w:position w:val="0"/>
                <w:szCs w:val="24"/>
                <w:highlight w:val="none"/>
                <w:lang w:val="en-US" w:eastAsia="zh-CN"/>
              </w:rPr>
            </w:pPr>
          </w:p>
        </w:tc>
      </w:tr>
      <w:tr w14:paraId="7DA87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0" w:hRule="atLeast"/>
          <w:jc w:val="center"/>
        </w:trPr>
        <w:tc>
          <w:tcPr>
            <w:tcW w:w="570" w:type="dxa"/>
            <w:noWrap w:val="0"/>
            <w:vAlign w:val="center"/>
          </w:tcPr>
          <w:p w14:paraId="4B2686DF">
            <w:pPr>
              <w:pStyle w:val="29"/>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414" w:type="dxa"/>
            <w:noWrap w:val="0"/>
            <w:vAlign w:val="center"/>
          </w:tcPr>
          <w:p w14:paraId="611F5683">
            <w:pPr>
              <w:numPr>
                <w:ilvl w:val="0"/>
                <w:numId w:val="0"/>
              </w:numPr>
              <w:adjustRightInd w:val="0"/>
              <w:spacing w:line="360" w:lineRule="auto"/>
              <w:ind w:firstLine="482" w:firstLineChars="201"/>
              <w:textAlignment w:val="baseline"/>
              <w:rPr>
                <w:rFonts w:hint="eastAsia" w:cs="Times New Roman"/>
                <w:color w:val="000000"/>
                <w:sz w:val="24"/>
                <w:lang w:val="en-US" w:eastAsia="zh-CN"/>
              </w:rPr>
            </w:pPr>
            <w:r>
              <w:rPr>
                <w:rFonts w:hint="eastAsia" w:ascii="Times New Roman" w:hAnsi="Times New Roman" w:eastAsia="宋体" w:cs="Times New Roman"/>
                <w:color w:val="000000"/>
                <w:kern w:val="2"/>
                <w:sz w:val="24"/>
                <w:szCs w:val="24"/>
                <w:lang w:val="en-US" w:eastAsia="zh-CN" w:bidi="ar-SA"/>
              </w:rPr>
              <w:t>一、</w:t>
            </w:r>
            <w:r>
              <w:rPr>
                <w:rFonts w:hint="eastAsia" w:cs="Times New Roman"/>
                <w:color w:val="000000"/>
                <w:kern w:val="2"/>
                <w:sz w:val="24"/>
                <w:szCs w:val="24"/>
                <w:lang w:val="en-US" w:eastAsia="zh-CN" w:bidi="ar-SA"/>
              </w:rPr>
              <w:t>现有</w:t>
            </w:r>
            <w:r>
              <w:rPr>
                <w:rFonts w:hint="eastAsia" w:cs="Times New Roman"/>
                <w:color w:val="000000"/>
                <w:sz w:val="24"/>
                <w:lang w:val="en-US" w:eastAsia="zh-CN"/>
              </w:rPr>
              <w:t>项目环保手续履行情况</w:t>
            </w:r>
          </w:p>
          <w:p w14:paraId="1BA71B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s="Times New Roman"/>
                <w:color w:val="000000"/>
                <w:sz w:val="24"/>
                <w:szCs w:val="24"/>
                <w:highlight w:val="none"/>
                <w:lang w:val="en-US" w:eastAsia="zh-CN"/>
              </w:rPr>
              <w:t>目前企业已于2023年11月30日取得宁都县行政审批局关于《</w:t>
            </w:r>
            <w:r>
              <w:rPr>
                <w:rFonts w:hint="default" w:ascii="Times New Roman" w:hAnsi="Times New Roman" w:eastAsia="宋体" w:cs="Times New Roman"/>
                <w:color w:val="000000"/>
                <w:kern w:val="0"/>
                <w:sz w:val="24"/>
                <w:szCs w:val="24"/>
                <w:lang w:val="en-US" w:eastAsia="zh-CN" w:bidi="ar"/>
              </w:rPr>
              <w:t>赣州市晟阳餐饮公司年产10万吨宁都预制菜及工业化配餐服务项目</w:t>
            </w:r>
            <w:r>
              <w:rPr>
                <w:rFonts w:hint="eastAsia" w:cs="Times New Roman"/>
                <w:color w:val="000000"/>
                <w:sz w:val="24"/>
                <w:szCs w:val="24"/>
                <w:highlight w:val="none"/>
                <w:lang w:val="en-US" w:eastAsia="zh-CN"/>
              </w:rPr>
              <w:t>环境影响报告表》的批复</w:t>
            </w:r>
            <w:r>
              <w:rPr>
                <w:rFonts w:hint="eastAsia"/>
                <w:sz w:val="24"/>
                <w:szCs w:val="24"/>
                <w:lang w:val="en-US" w:eastAsia="zh-CN"/>
              </w:rPr>
              <w:t>(宁行审字</w:t>
            </w:r>
            <w:r>
              <w:rPr>
                <w:rFonts w:hint="default" w:ascii="Times New Roman" w:hAnsi="Times New Roman" w:eastAsia="宋体" w:cs="Times New Roman"/>
                <w:color w:val="000000"/>
                <w:kern w:val="0"/>
                <w:sz w:val="24"/>
                <w:szCs w:val="24"/>
                <w:lang w:val="en-US" w:eastAsia="zh-CN" w:bidi="ar"/>
              </w:rPr>
              <w:t>[20</w:t>
            </w:r>
            <w:r>
              <w:rPr>
                <w:rFonts w:hint="eastAsia" w:cs="Times New Roman"/>
                <w:color w:val="000000"/>
                <w:kern w:val="0"/>
                <w:sz w:val="24"/>
                <w:szCs w:val="24"/>
                <w:lang w:val="en-US" w:eastAsia="zh-CN" w:bidi="ar"/>
              </w:rPr>
              <w:t>23</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384号</w:t>
            </w:r>
            <w:r>
              <w:rPr>
                <w:rFonts w:hint="eastAsia"/>
                <w:sz w:val="24"/>
                <w:szCs w:val="24"/>
                <w:lang w:val="en-US" w:eastAsia="zh-CN"/>
              </w:rPr>
              <w:t>)</w:t>
            </w:r>
            <w:r>
              <w:rPr>
                <w:rFonts w:hint="eastAsia" w:ascii="Times New Roman" w:hAnsi="Times New Roman" w:cs="Times New Roman"/>
                <w:color w:val="000000"/>
                <w:sz w:val="24"/>
                <w:szCs w:val="24"/>
                <w:highlight w:val="none"/>
                <w:lang w:val="en-US" w:eastAsia="zh-CN"/>
              </w:rPr>
              <w:t>，</w:t>
            </w:r>
            <w:r>
              <w:rPr>
                <w:rFonts w:hint="eastAsia" w:cs="Times New Roman"/>
                <w:color w:val="000000"/>
                <w:sz w:val="24"/>
                <w:szCs w:val="24"/>
                <w:highlight w:val="none"/>
                <w:lang w:val="en-US" w:eastAsia="zh-CN"/>
              </w:rPr>
              <w:t>原有环评</w:t>
            </w:r>
            <w:r>
              <w:rPr>
                <w:rFonts w:hint="eastAsia"/>
                <w:sz w:val="24"/>
                <w:szCs w:val="24"/>
                <w:lang w:val="en-US" w:eastAsia="zh-CN"/>
              </w:rPr>
              <w:t>未进行环保竣工验收，现进行重大变动重新报批项目。</w:t>
            </w:r>
          </w:p>
          <w:p w14:paraId="6599C607">
            <w:pPr>
              <w:pStyle w:val="1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根据《污染影响类建设项目重大变动清单(试行)》(环办环评函(2020)688号):</w:t>
            </w:r>
            <w:r>
              <w:rPr>
                <w:rFonts w:hint="default" w:ascii="Times New Roman" w:hAnsi="Times New Roman" w:cs="Times New Roman"/>
                <w:color w:val="auto"/>
                <w:sz w:val="24"/>
                <w:szCs w:val="24"/>
              </w:rPr>
              <w:t>工艺</w:t>
            </w:r>
            <w:r>
              <w:rPr>
                <w:rFonts w:hint="eastAsia"/>
                <w:sz w:val="24"/>
                <w:szCs w:val="24"/>
                <w:lang w:val="en-US" w:eastAsia="zh-CN"/>
              </w:rPr>
              <w:t>：</w:t>
            </w:r>
            <w:r>
              <w:rPr>
                <w:rFonts w:hint="default" w:ascii="Times New Roman" w:hAnsi="Times New Roman" w:cs="Times New Roman"/>
                <w:color w:val="auto"/>
                <w:sz w:val="24"/>
                <w:szCs w:val="24"/>
                <w:lang w:val="en-US" w:eastAsia="zh-CN"/>
              </w:rPr>
              <w:t>6、新增产品品种或生产工艺(含主要生产装置、设备及配套设施)、主要原辅材料、燃料变化，导致以下情形之一：(4)其他污染物排放量增加10%及以上的。</w:t>
            </w:r>
            <w:r>
              <w:rPr>
                <w:rFonts w:hint="eastAsia" w:ascii="Times New Roman" w:hAnsi="Times New Roman"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项目主要燃料种类、数量均发生变化，由生物质颗粒燃料10t/a和天然气30.2万m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/a变更为天然气</w:t>
            </w:r>
            <w:r>
              <w:rPr>
                <w:rFonts w:hint="eastAsia" w:cs="Times New Roman"/>
                <w:color w:val="auto"/>
                <w:sz w:val="24"/>
                <w:szCs w:val="24"/>
                <w:lang w:val="en-US" w:eastAsia="zh-CN"/>
              </w:rPr>
              <w:t>233.28</w:t>
            </w:r>
            <w:r>
              <w:rPr>
                <w:rFonts w:hint="eastAsia" w:ascii="Times New Roman" w:hAnsi="Times New Roman" w:eastAsia="宋体" w:cs="Times New Roman"/>
                <w:color w:val="auto"/>
                <w:sz w:val="24"/>
                <w:szCs w:val="24"/>
                <w:lang w:val="en-US" w:eastAsia="zh-CN"/>
              </w:rPr>
              <w:t>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相关废气污染物排放量由</w:t>
            </w:r>
            <w:r>
              <w:rPr>
                <w:rFonts w:hint="eastAsia" w:ascii="Times New Roman" w:hAnsi="Times New Roman" w:eastAsia="宋体" w:cs="Times New Roman"/>
                <w:color w:val="auto"/>
                <w:sz w:val="24"/>
                <w:szCs w:val="24"/>
                <w:lang w:val="en-US" w:eastAsia="zh-CN"/>
              </w:rPr>
              <w:t>颗粒物</w:t>
            </w:r>
            <w:r>
              <w:rPr>
                <w:rFonts w:hint="eastAsia" w:cs="Times New Roman"/>
                <w:color w:val="auto"/>
                <w:sz w:val="24"/>
                <w:szCs w:val="24"/>
                <w:lang w:val="en-US" w:eastAsia="zh-CN"/>
              </w:rPr>
              <w:t>0.0215t</w:t>
            </w:r>
            <w:r>
              <w:rPr>
                <w:rFonts w:hint="eastAsia" w:ascii="Times New Roman" w:hAnsi="Times New Roman" w:eastAsia="宋体" w:cs="Times New Roman"/>
                <w:color w:val="auto"/>
                <w:sz w:val="24"/>
                <w:szCs w:val="24"/>
                <w:lang w:val="en-US" w:eastAsia="zh-CN"/>
              </w:rPr>
              <w:t>/a、二氧化硫</w:t>
            </w:r>
            <w:r>
              <w:rPr>
                <w:rFonts w:hint="eastAsia" w:cs="Times New Roman"/>
                <w:color w:val="auto"/>
                <w:sz w:val="24"/>
                <w:szCs w:val="24"/>
                <w:lang w:val="en-US" w:eastAsia="zh-CN"/>
              </w:rPr>
              <w:t>0.071t</w:t>
            </w:r>
            <w:r>
              <w:rPr>
                <w:rFonts w:hint="eastAsia" w:ascii="Times New Roman" w:hAnsi="Times New Roman" w:eastAsia="宋体" w:cs="Times New Roman"/>
                <w:color w:val="auto"/>
                <w:sz w:val="24"/>
                <w:szCs w:val="24"/>
                <w:lang w:val="en-US" w:eastAsia="zh-CN"/>
              </w:rPr>
              <w:t>/a、氮氧化物</w:t>
            </w:r>
            <w:r>
              <w:rPr>
                <w:rFonts w:hint="eastAsia" w:cs="Times New Roman"/>
                <w:color w:val="auto"/>
                <w:sz w:val="24"/>
                <w:szCs w:val="24"/>
                <w:lang w:val="en-US" w:eastAsia="zh-CN"/>
              </w:rPr>
              <w:t>0.0696t</w:t>
            </w:r>
            <w:r>
              <w:rPr>
                <w:rFonts w:hint="eastAsia"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增加为</w:t>
            </w:r>
            <w:r>
              <w:rPr>
                <w:rFonts w:hint="eastAsia" w:ascii="Times New Roman" w:hAnsi="Times New Roman" w:eastAsia="宋体" w:cs="Times New Roman"/>
                <w:color w:val="auto"/>
                <w:sz w:val="24"/>
                <w:szCs w:val="24"/>
                <w:lang w:val="en-US" w:eastAsia="zh-CN"/>
              </w:rPr>
              <w:t>颗粒物</w:t>
            </w:r>
            <w:r>
              <w:rPr>
                <w:rFonts w:hint="eastAsia" w:cs="Times New Roman"/>
                <w:color w:val="auto"/>
                <w:sz w:val="24"/>
                <w:szCs w:val="24"/>
                <w:lang w:val="en-US" w:eastAsia="zh-CN"/>
              </w:rPr>
              <w:t>0.6114t</w:t>
            </w:r>
            <w:r>
              <w:rPr>
                <w:rFonts w:hint="eastAsia" w:ascii="Times New Roman" w:hAnsi="Times New Roman" w:eastAsia="宋体" w:cs="Times New Roman"/>
                <w:color w:val="auto"/>
                <w:sz w:val="24"/>
                <w:szCs w:val="24"/>
                <w:lang w:val="en-US" w:eastAsia="zh-CN"/>
              </w:rPr>
              <w:t>/a、二氧化硫</w:t>
            </w:r>
            <w:r>
              <w:rPr>
                <w:rFonts w:hint="eastAsia" w:cs="Times New Roman"/>
                <w:color w:val="auto"/>
                <w:sz w:val="24"/>
                <w:szCs w:val="24"/>
                <w:lang w:val="en-US" w:eastAsia="zh-CN"/>
              </w:rPr>
              <w:t>0.806571t</w:t>
            </w:r>
            <w:r>
              <w:rPr>
                <w:rFonts w:hint="eastAsia" w:ascii="Times New Roman" w:hAnsi="Times New Roman" w:eastAsia="宋体" w:cs="Times New Roman"/>
                <w:color w:val="auto"/>
                <w:sz w:val="24"/>
                <w:szCs w:val="24"/>
                <w:lang w:val="en-US" w:eastAsia="zh-CN"/>
              </w:rPr>
              <w:t>/a、氮氧化物</w:t>
            </w:r>
            <w:r>
              <w:rPr>
                <w:rFonts w:hint="eastAsia" w:cs="Times New Roman"/>
                <w:color w:val="auto"/>
                <w:sz w:val="24"/>
                <w:szCs w:val="24"/>
                <w:lang w:val="en-US" w:eastAsia="zh-CN"/>
              </w:rPr>
              <w:t>1.7853t</w:t>
            </w:r>
            <w:r>
              <w:rPr>
                <w:rFonts w:hint="eastAsia"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导致颗粒物、二氧化硫、氮氧化物排放量增加10%以上</w:t>
            </w:r>
            <w:r>
              <w:rPr>
                <w:rFonts w:hint="eastAsia" w:ascii="Times New Roman" w:hAnsi="Times New Roman" w:cs="Times New Roman"/>
                <w:color w:val="auto"/>
                <w:sz w:val="24"/>
                <w:szCs w:val="24"/>
                <w:lang w:val="en-US" w:eastAsia="zh-CN"/>
              </w:rPr>
              <w:t>，</w:t>
            </w:r>
            <w:r>
              <w:rPr>
                <w:rFonts w:hint="eastAsia"/>
                <w:sz w:val="24"/>
                <w:szCs w:val="24"/>
                <w:lang w:val="en-US" w:eastAsia="zh-CN"/>
              </w:rPr>
              <w:t>属于重大变动项目，重新报批。</w:t>
            </w:r>
          </w:p>
          <w:p w14:paraId="5440E18C">
            <w:pPr>
              <w:pStyle w:val="124"/>
              <w:numPr>
                <w:ilvl w:val="0"/>
                <w:numId w:val="0"/>
              </w:numPr>
              <w:bidi w:val="0"/>
              <w:ind w:left="0" w:leftChars="0" w:firstLine="482" w:firstLineChars="201"/>
              <w:rPr>
                <w:rFonts w:hint="eastAsia"/>
                <w:color w:val="0000FF"/>
                <w:highlight w:val="none"/>
                <w:lang w:val="en-US" w:eastAsia="zh-CN"/>
              </w:rPr>
            </w:pPr>
            <w:r>
              <w:rPr>
                <w:rFonts w:hint="eastAsia" w:ascii="Times New Roman" w:hAnsi="Times New Roman" w:eastAsia="宋体" w:cs="Times New Roman"/>
                <w:color w:val="000000"/>
                <w:kern w:val="2"/>
                <w:sz w:val="24"/>
                <w:szCs w:val="24"/>
                <w:lang w:val="en-US" w:eastAsia="zh-CN" w:bidi="ar-SA"/>
              </w:rPr>
              <w:t>二、</w:t>
            </w:r>
            <w:r>
              <w:rPr>
                <w:rFonts w:hint="eastAsia" w:ascii="宋体" w:hAnsi="宋体" w:eastAsia="宋体"/>
                <w:sz w:val="24"/>
                <w:szCs w:val="24"/>
              </w:rPr>
              <w:t>现有项目存在的主要环境问题及实施的整改措施</w:t>
            </w:r>
          </w:p>
          <w:p w14:paraId="52DD49F8">
            <w:pPr>
              <w:pStyle w:val="124"/>
              <w:bidi w:val="0"/>
              <w:rPr>
                <w:rFonts w:hint="eastAsia"/>
                <w:color w:val="000000"/>
                <w:highlight w:val="none"/>
                <w:lang w:val="en-US" w:eastAsia="zh-CN"/>
              </w:rPr>
            </w:pPr>
            <w:r>
              <w:rPr>
                <w:rFonts w:hint="eastAsia"/>
                <w:color w:val="000000"/>
                <w:highlight w:val="none"/>
                <w:lang w:val="en-US" w:eastAsia="zh-CN"/>
              </w:rPr>
              <w:t>由于项目已建成，本评价根据现场踏勘情况列出发现的环保问题并提出整改措施，具体见下表。</w:t>
            </w:r>
          </w:p>
          <w:p w14:paraId="181964D9">
            <w:pPr>
              <w:pStyle w:val="125"/>
              <w:bidi w:val="0"/>
              <w:rPr>
                <w:rFonts w:hint="default"/>
                <w:lang w:val="en-US" w:eastAsia="zh-CN"/>
              </w:rPr>
            </w:pPr>
            <w:r>
              <w:rPr>
                <w:rFonts w:hint="eastAsia"/>
                <w:lang w:val="en-US" w:eastAsia="zh-CN"/>
              </w:rPr>
              <w:t>表2-8  现状环境问题及整改措施</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3432"/>
              <w:gridCol w:w="3411"/>
            </w:tblGrid>
            <w:tr w14:paraId="1E44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Align w:val="center"/>
                </w:tcPr>
                <w:p w14:paraId="60203310">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序号</w:t>
                  </w:r>
                </w:p>
              </w:tc>
              <w:tc>
                <w:tcPr>
                  <w:tcW w:w="3516" w:type="dxa"/>
                  <w:vAlign w:val="center"/>
                </w:tcPr>
                <w:p w14:paraId="39F8ADC4">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现状主要环境问题</w:t>
                  </w:r>
                </w:p>
              </w:tc>
              <w:tc>
                <w:tcPr>
                  <w:tcW w:w="3495" w:type="dxa"/>
                  <w:vAlign w:val="center"/>
                </w:tcPr>
                <w:p w14:paraId="7CF1FA41">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cs="Times New Roman"/>
                      <w:vertAlign w:val="baseline"/>
                      <w:lang w:val="en-US" w:eastAsia="zh-CN"/>
                    </w:rPr>
                    <w:t>整改措施</w:t>
                  </w:r>
                </w:p>
              </w:tc>
            </w:tr>
            <w:tr w14:paraId="1C83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9" w:type="dxa"/>
                  <w:vAlign w:val="center"/>
                </w:tcPr>
                <w:p w14:paraId="487BE224">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1</w:t>
                  </w:r>
                </w:p>
              </w:tc>
              <w:tc>
                <w:tcPr>
                  <w:tcW w:w="3516" w:type="dxa"/>
                  <w:vAlign w:val="center"/>
                </w:tcPr>
                <w:p w14:paraId="38FAF7DE">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现有污水处理站设备规模较小、设备处理效果不够好</w:t>
                  </w:r>
                </w:p>
              </w:tc>
              <w:tc>
                <w:tcPr>
                  <w:tcW w:w="3495" w:type="dxa"/>
                  <w:vAlign w:val="center"/>
                </w:tcPr>
                <w:p w14:paraId="69D8EE8A">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新建污水处理站（处理规模为</w:t>
                  </w:r>
                  <w:r>
                    <w:rPr>
                      <w:rFonts w:hint="default" w:ascii="Times New Roman" w:hAnsi="Times New Roman" w:cs="Times New Roman"/>
                      <w:vertAlign w:val="baseline"/>
                      <w:lang w:val="en-US" w:eastAsia="zh-CN"/>
                    </w:rPr>
                    <w:t>500</w:t>
                  </w:r>
                  <w:r>
                    <w:rPr>
                      <w:rFonts w:hint="eastAsia" w:ascii="Times New Roman" w:hAnsi="Times New Roman" w:cs="Times New Roman"/>
                      <w:vertAlign w:val="baseline"/>
                      <w:lang w:val="en-US" w:eastAsia="zh-CN"/>
                    </w:rPr>
                    <w:t>t</w:t>
                  </w:r>
                  <w:r>
                    <w:rPr>
                      <w:rFonts w:hint="default" w:ascii="Times New Roman" w:hAnsi="Times New Roman" w:cs="Times New Roman"/>
                      <w:vertAlign w:val="baseline"/>
                      <w:lang w:val="en-US" w:eastAsia="zh-CN"/>
                    </w:rPr>
                    <w:t>/d</w:t>
                  </w:r>
                  <w:r>
                    <w:rPr>
                      <w:rFonts w:hint="eastAsia"/>
                      <w:vertAlign w:val="baseline"/>
                      <w:lang w:val="en-US" w:eastAsia="zh-CN"/>
                    </w:rPr>
                    <w:t>），处理工</w:t>
                  </w:r>
                  <w:r>
                    <w:rPr>
                      <w:rFonts w:hint="default" w:ascii="Times New Roman" w:hAnsi="Times New Roman" w:cs="Times New Roman"/>
                      <w:vertAlign w:val="baseline"/>
                      <w:lang w:val="en-US" w:eastAsia="zh-CN"/>
                    </w:rPr>
                    <w:t>艺为格栅-隔油池-调节池-A/O工艺</w:t>
                  </w:r>
                  <w:r>
                    <w:rPr>
                      <w:rFonts w:hint="eastAsia" w:ascii="Times New Roman" w:hAnsi="Times New Roman" w:cs="Times New Roman"/>
                      <w:vertAlign w:val="baseline"/>
                      <w:lang w:val="en-US" w:eastAsia="zh-CN"/>
                    </w:rPr>
                    <w:t>一体化设备-混凝沉淀池</w:t>
                  </w:r>
                </w:p>
              </w:tc>
            </w:tr>
            <w:tr w14:paraId="054F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Align w:val="center"/>
                </w:tcPr>
                <w:p w14:paraId="5B605FA8">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2</w:t>
                  </w:r>
                </w:p>
              </w:tc>
              <w:tc>
                <w:tcPr>
                  <w:tcW w:w="3516" w:type="dxa"/>
                  <w:vAlign w:val="center"/>
                </w:tcPr>
                <w:p w14:paraId="52BCBE73">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标识牌缺失</w:t>
                  </w:r>
                </w:p>
              </w:tc>
              <w:tc>
                <w:tcPr>
                  <w:tcW w:w="3495" w:type="dxa"/>
                  <w:vAlign w:val="center"/>
                </w:tcPr>
                <w:p w14:paraId="304AC271">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完善标识牌</w:t>
                  </w:r>
                </w:p>
              </w:tc>
            </w:tr>
            <w:tr w14:paraId="3E89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Align w:val="center"/>
                </w:tcPr>
                <w:p w14:paraId="257C1DAA">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3</w:t>
                  </w:r>
                </w:p>
              </w:tc>
              <w:tc>
                <w:tcPr>
                  <w:tcW w:w="3516" w:type="dxa"/>
                  <w:vAlign w:val="center"/>
                </w:tcPr>
                <w:p w14:paraId="1DA94753">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vertAlign w:val="baseline"/>
                      <w:lang w:val="en-US" w:eastAsia="zh-CN"/>
                    </w:rPr>
                    <w:t>危废间建设不规范，未满足“三防”要求</w:t>
                  </w:r>
                </w:p>
              </w:tc>
              <w:tc>
                <w:tcPr>
                  <w:tcW w:w="3495" w:type="dxa"/>
                  <w:vAlign w:val="center"/>
                </w:tcPr>
                <w:p w14:paraId="76B6DBC9">
                  <w:pPr>
                    <w:pStyle w:val="15"/>
                    <w:keepNext w:val="0"/>
                    <w:keepLines w:val="0"/>
                    <w:pageBreakBefore w:val="0"/>
                    <w:widowControl w:val="0"/>
                    <w:kinsoku/>
                    <w:wordWrap/>
                    <w:overflowPunct/>
                    <w:topLinePunct w:val="0"/>
                    <w:autoSpaceDE/>
                    <w:autoSpaceDN/>
                    <w:bidi w:val="0"/>
                    <w:adjustRightInd w:val="0"/>
                    <w:snapToGrid/>
                    <w:spacing w:before="0" w:line="240" w:lineRule="auto"/>
                    <w:jc w:val="center"/>
                    <w:textAlignment w:val="baseline"/>
                    <w:rPr>
                      <w:rFonts w:hint="default"/>
                      <w:vertAlign w:val="baseline"/>
                      <w:lang w:val="en-US" w:eastAsia="zh-CN"/>
                    </w:rPr>
                  </w:pPr>
                  <w:r>
                    <w:rPr>
                      <w:rFonts w:hint="eastAsia"/>
                      <w:color w:val="auto"/>
                      <w:lang w:val="en-US" w:eastAsia="zh-CN"/>
                    </w:rPr>
                    <w:t>按照</w:t>
                  </w:r>
                  <w:r>
                    <w:rPr>
                      <w:rFonts w:hint="default"/>
                      <w:color w:val="auto"/>
                      <w:lang w:val="en-US" w:eastAsia="zh-CN"/>
                    </w:rPr>
                    <w:t>《危险废物贮存污染控制标准》</w:t>
                  </w:r>
                  <w:r>
                    <w:rPr>
                      <w:rFonts w:hint="default" w:ascii="Times New Roman" w:hAnsi="Times New Roman" w:cs="Times New Roman"/>
                      <w:color w:val="auto"/>
                      <w:lang w:val="en-US" w:eastAsia="zh-CN"/>
                    </w:rPr>
                    <w:t>（GB18597-2023）</w:t>
                  </w:r>
                  <w:r>
                    <w:rPr>
                      <w:rFonts w:hint="eastAsia"/>
                      <w:color w:val="auto"/>
                      <w:lang w:val="en-US" w:eastAsia="zh-CN"/>
                    </w:rPr>
                    <w:t>中的相关要求完善危险废物暂存间的建设，规范为危险废物贮存管理要求。</w:t>
                  </w:r>
                </w:p>
              </w:tc>
            </w:tr>
          </w:tbl>
          <w:p w14:paraId="158AC98A">
            <w:pPr>
              <w:pStyle w:val="124"/>
              <w:bidi w:val="0"/>
              <w:ind w:left="0" w:leftChars="0" w:firstLine="0" w:firstLineChars="0"/>
              <w:jc w:val="center"/>
              <w:rPr>
                <w:rFonts w:hint="default" w:ascii="Times New Roman" w:hAnsi="Times New Roman" w:eastAsia="宋体" w:cs="Times New Roman"/>
                <w:color w:val="auto"/>
                <w:sz w:val="24"/>
                <w:highlight w:val="none"/>
                <w:lang w:val="en-US" w:eastAsia="zh-CN"/>
              </w:rPr>
            </w:pPr>
          </w:p>
        </w:tc>
      </w:tr>
    </w:tbl>
    <w:p w14:paraId="7A29E6BE">
      <w:pPr>
        <w:pStyle w:val="29"/>
        <w:jc w:val="center"/>
        <w:rPr>
          <w:rFonts w:ascii="黑体" w:hAnsi="黑体"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FEA21BD">
      <w:pPr>
        <w:pStyle w:val="29"/>
        <w:adjustRightInd w:val="0"/>
        <w:snapToGrid w:val="0"/>
        <w:spacing w:before="0" w:beforeAutospacing="0" w:after="0" w:afterAutospacing="0" w:line="14" w:lineRule="auto"/>
        <w:jc w:val="center"/>
        <w:outlineLvl w:val="0"/>
        <w:rPr>
          <w:rFonts w:hint="eastAsia" w:ascii="黑体" w:hAnsi="黑体" w:eastAsia="黑体"/>
          <w:snapToGrid w:val="0"/>
          <w:color w:val="auto"/>
          <w:sz w:val="30"/>
          <w:szCs w:val="30"/>
          <w:highlight w:val="none"/>
        </w:rPr>
      </w:pPr>
    </w:p>
    <w:p w14:paraId="3B21B396">
      <w:pPr>
        <w:pStyle w:val="29"/>
        <w:jc w:val="center"/>
        <w:outlineLvl w:val="0"/>
        <w:rPr>
          <w:rFonts w:ascii="黑体" w:hAnsi="黑体" w:eastAsia="黑体"/>
          <w:b/>
          <w:bCs/>
          <w:snapToGrid w:val="0"/>
          <w:color w:val="auto"/>
          <w:sz w:val="30"/>
          <w:szCs w:val="30"/>
          <w:highlight w:val="none"/>
        </w:rPr>
      </w:pPr>
      <w:bookmarkStart w:id="4" w:name="_Toc25730"/>
      <w:r>
        <w:rPr>
          <w:rFonts w:hint="eastAsia" w:ascii="黑体" w:hAnsi="黑体" w:eastAsia="黑体"/>
          <w:b/>
          <w:bCs/>
          <w:snapToGrid w:val="0"/>
          <w:color w:val="auto"/>
          <w:sz w:val="30"/>
          <w:szCs w:val="30"/>
          <w:highlight w:val="none"/>
        </w:rPr>
        <w:t>三、区域环境质量现状、环境保护目标及评价标准</w:t>
      </w:r>
      <w:bookmarkEnd w:id="4"/>
    </w:p>
    <w:tbl>
      <w:tblPr>
        <w:tblStyle w:val="3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5C8060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608" w:type="dxa"/>
            <w:noWrap w:val="0"/>
            <w:vAlign w:val="center"/>
          </w:tcPr>
          <w:p w14:paraId="5462F345">
            <w:pPr>
              <w:adjustRightInd w:val="0"/>
              <w:snapToGrid w:val="0"/>
              <w:jc w:val="center"/>
              <w:rPr>
                <w:rFonts w:hint="default" w:ascii="Times New Roman" w:hAnsi="Times New Roman" w:eastAsia="宋体" w:cs="Times New Roman"/>
                <w:color w:val="auto"/>
                <w:kern w:val="0"/>
                <w:szCs w:val="21"/>
                <w:highlight w:val="none"/>
              </w:rPr>
            </w:pPr>
            <w:r>
              <w:rPr>
                <w:rFonts w:hint="default" w:ascii="宋体" w:hAnsi="宋体" w:eastAsia="宋体" w:cs="宋体"/>
                <w:color w:val="auto"/>
                <w:kern w:val="0"/>
                <w:sz w:val="24"/>
                <w:szCs w:val="24"/>
              </w:rPr>
              <w:t>区域环境质量现状</w:t>
            </w:r>
          </w:p>
        </w:tc>
        <w:tc>
          <w:tcPr>
            <w:tcW w:w="8382" w:type="dxa"/>
            <w:noWrap w:val="0"/>
            <w:vAlign w:val="top"/>
          </w:tcPr>
          <w:p w14:paraId="1C909BFD">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eastAsia="zh-CN"/>
              </w:rPr>
              <w:t>（</w:t>
            </w:r>
            <w:r>
              <w:rPr>
                <w:rFonts w:hint="eastAsia" w:ascii="Times New Roman" w:hAnsi="Times New Roman" w:eastAsia="宋体" w:cs="Times New Roman"/>
                <w:b/>
                <w:bCs w:val="0"/>
                <w:color w:val="auto"/>
                <w:sz w:val="24"/>
                <w:szCs w:val="24"/>
                <w:highlight w:val="none"/>
                <w:lang w:val="en-US" w:eastAsia="zh-CN"/>
              </w:rPr>
              <w:t>一</w:t>
            </w:r>
            <w:r>
              <w:rPr>
                <w:rFonts w:hint="eastAsia"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rPr>
              <w:t>环境质量现状</w:t>
            </w:r>
          </w:p>
          <w:p w14:paraId="3A2443E3">
            <w:pPr>
              <w:pStyle w:val="12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1、区域环境空气质量达标情况判定</w:t>
            </w:r>
          </w:p>
          <w:p w14:paraId="4C1779E4">
            <w:pPr>
              <w:pStyle w:val="1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根据《环境影响评价技术导则 大气环境》（HJ2.2-2018）第6.2.1.1小节：“项目所在区域达标判定，优先采用国家或地方生态环境主管部门公开发布的评价基准年环境质量公告或环境质量报告中的数据或结论”。</w:t>
            </w:r>
          </w:p>
          <w:p w14:paraId="369F518F">
            <w:pPr>
              <w:pStyle w:val="12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本评价大气环境质量引用江西省生态环境厅发布的《202</w:t>
            </w:r>
            <w:r>
              <w:rPr>
                <w:rFonts w:hint="eastAsia" w:cs="Times New Roman"/>
                <w:color w:val="auto"/>
                <w:lang w:val="en-US" w:eastAsia="zh-CN"/>
              </w:rPr>
              <w:t>3</w:t>
            </w:r>
            <w:r>
              <w:rPr>
                <w:rFonts w:hint="default" w:ascii="Times New Roman" w:hAnsi="Times New Roman" w:eastAsia="宋体" w:cs="Times New Roman"/>
                <w:color w:val="auto"/>
                <w:lang w:val="en-US" w:eastAsia="zh-CN"/>
              </w:rPr>
              <w:t>年江西省各县（市、区）六项污染物浓度年均值》中</w:t>
            </w:r>
            <w:r>
              <w:rPr>
                <w:rFonts w:hint="eastAsia" w:cs="Times New Roman"/>
                <w:color w:val="auto"/>
                <w:lang w:val="en-US" w:eastAsia="zh-CN"/>
              </w:rPr>
              <w:t>宁都县</w:t>
            </w:r>
            <w:r>
              <w:rPr>
                <w:rFonts w:hint="default" w:ascii="Times New Roman" w:hAnsi="Times New Roman" w:eastAsia="宋体" w:cs="Times New Roman"/>
                <w:color w:val="auto"/>
                <w:lang w:val="en-US" w:eastAsia="zh-CN"/>
              </w:rPr>
              <w:t>数据，具体数值及达标情况判定见表3-</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w:t>
            </w:r>
          </w:p>
          <w:p w14:paraId="4D02B280">
            <w:pPr>
              <w:pStyle w:val="12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表3-1</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区域环境空气质量评价表</w:t>
            </w:r>
          </w:p>
          <w:tbl>
            <w:tblPr>
              <w:tblStyle w:val="33"/>
              <w:tblW w:w="4993"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941"/>
              <w:gridCol w:w="2996"/>
              <w:gridCol w:w="1289"/>
              <w:gridCol w:w="1165"/>
              <w:gridCol w:w="951"/>
              <w:gridCol w:w="1035"/>
            </w:tblGrid>
            <w:tr w14:paraId="6C6C42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65" w:type="pct"/>
                  <w:tcBorders>
                    <w:tl2br w:val="nil"/>
                    <w:tr2bl w:val="nil"/>
                  </w:tcBorders>
                  <w:noWrap w:val="0"/>
                  <w:vAlign w:val="center"/>
                </w:tcPr>
                <w:p w14:paraId="19A80936">
                  <w:pPr>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w:t>
                  </w:r>
                </w:p>
              </w:tc>
              <w:tc>
                <w:tcPr>
                  <w:tcW w:w="1790" w:type="pct"/>
                  <w:tcBorders>
                    <w:tl2br w:val="nil"/>
                    <w:tr2bl w:val="nil"/>
                  </w:tcBorders>
                  <w:noWrap w:val="0"/>
                  <w:vAlign w:val="center"/>
                </w:tcPr>
                <w:p w14:paraId="7619F5ED">
                  <w:pPr>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年评价指标</w:t>
                  </w:r>
                </w:p>
              </w:tc>
              <w:tc>
                <w:tcPr>
                  <w:tcW w:w="772" w:type="pct"/>
                  <w:tcBorders>
                    <w:tl2br w:val="nil"/>
                    <w:tr2bl w:val="nil"/>
                  </w:tcBorders>
                  <w:noWrap w:val="0"/>
                  <w:vAlign w:val="center"/>
                </w:tcPr>
                <w:p w14:paraId="0E636715">
                  <w:pPr>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评价标准</w:t>
                  </w:r>
                </w:p>
                <w:p w14:paraId="1B88F0A6">
                  <w:pPr>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（µg/m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679" w:type="pct"/>
                  <w:tcBorders>
                    <w:tl2br w:val="nil"/>
                    <w:tr2bl w:val="nil"/>
                  </w:tcBorders>
                  <w:noWrap w:val="0"/>
                  <w:vAlign w:val="center"/>
                </w:tcPr>
                <w:p w14:paraId="05160C37">
                  <w:pPr>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现状浓度</w:t>
                  </w:r>
                </w:p>
                <w:p w14:paraId="42D39F00">
                  <w:pPr>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（µg/m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570" w:type="pct"/>
                  <w:tcBorders>
                    <w:tl2br w:val="nil"/>
                    <w:tr2bl w:val="nil"/>
                  </w:tcBorders>
                  <w:noWrap w:val="0"/>
                  <w:vAlign w:val="center"/>
                </w:tcPr>
                <w:p w14:paraId="63FA04A2">
                  <w:pPr>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eastAsia="zh-CN"/>
                    </w:rPr>
                    <w:t>占标率</w:t>
                  </w:r>
                  <w:r>
                    <w:rPr>
                      <w:rFonts w:hint="eastAsia" w:ascii="Times New Roman" w:hAnsi="Times New Roman" w:eastAsia="宋体" w:cs="Times New Roman"/>
                      <w:b/>
                      <w:bCs w:val="0"/>
                      <w:color w:val="auto"/>
                      <w:sz w:val="21"/>
                      <w:szCs w:val="21"/>
                      <w:lang w:val="en-US" w:eastAsia="zh-CN"/>
                    </w:rPr>
                    <w:t>%</w:t>
                  </w:r>
                </w:p>
              </w:tc>
              <w:tc>
                <w:tcPr>
                  <w:tcW w:w="620" w:type="pct"/>
                  <w:tcBorders>
                    <w:tl2br w:val="nil"/>
                    <w:tr2bl w:val="nil"/>
                  </w:tcBorders>
                  <w:noWrap w:val="0"/>
                  <w:vAlign w:val="center"/>
                </w:tcPr>
                <w:p w14:paraId="3098303B">
                  <w:pPr>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达标情况</w:t>
                  </w:r>
                </w:p>
              </w:tc>
            </w:tr>
            <w:tr w14:paraId="2D9857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65" w:type="pct"/>
                  <w:tcBorders>
                    <w:tl2br w:val="nil"/>
                    <w:tr2bl w:val="nil"/>
                  </w:tcBorders>
                  <w:noWrap w:val="0"/>
                  <w:vAlign w:val="center"/>
                </w:tcPr>
                <w:p w14:paraId="4B7D9B9C">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SO</w:t>
                  </w:r>
                  <w:r>
                    <w:rPr>
                      <w:rFonts w:hint="default" w:ascii="Times New Roman" w:hAnsi="Times New Roman" w:eastAsia="宋体" w:cs="Times New Roman"/>
                      <w:color w:val="auto"/>
                      <w:vertAlign w:val="subscript"/>
                      <w:lang w:val="en-US" w:eastAsia="zh-CN"/>
                    </w:rPr>
                    <w:t>2</w:t>
                  </w:r>
                </w:p>
              </w:tc>
              <w:tc>
                <w:tcPr>
                  <w:tcW w:w="1790" w:type="pct"/>
                  <w:tcBorders>
                    <w:tl2br w:val="nil"/>
                    <w:tr2bl w:val="nil"/>
                  </w:tcBorders>
                  <w:noWrap w:val="0"/>
                  <w:vAlign w:val="center"/>
                </w:tcPr>
                <w:p w14:paraId="0EEEE084">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年平均质量浓度</w:t>
                  </w:r>
                </w:p>
              </w:tc>
              <w:tc>
                <w:tcPr>
                  <w:tcW w:w="772" w:type="pct"/>
                  <w:tcBorders>
                    <w:tl2br w:val="nil"/>
                    <w:tr2bl w:val="nil"/>
                  </w:tcBorders>
                  <w:noWrap w:val="0"/>
                  <w:vAlign w:val="center"/>
                </w:tcPr>
                <w:p w14:paraId="4EBE64CA">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679" w:type="pct"/>
                  <w:tcBorders>
                    <w:tl2br w:val="nil"/>
                    <w:tr2bl w:val="nil"/>
                  </w:tcBorders>
                  <w:noWrap w:val="0"/>
                  <w:vAlign w:val="center"/>
                </w:tcPr>
                <w:p w14:paraId="4B406B62">
                  <w:pPr>
                    <w:pStyle w:val="127"/>
                    <w:bidi w:val="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4</w:t>
                  </w:r>
                </w:p>
              </w:tc>
              <w:tc>
                <w:tcPr>
                  <w:tcW w:w="951" w:type="dxa"/>
                  <w:tcBorders>
                    <w:tl2br w:val="nil"/>
                    <w:tr2bl w:val="nil"/>
                  </w:tcBorders>
                  <w:noWrap w:val="0"/>
                  <w:vAlign w:val="center"/>
                </w:tcPr>
                <w:p w14:paraId="4DCDA36F">
                  <w:pPr>
                    <w:pStyle w:val="127"/>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6.67 </w:t>
                  </w:r>
                </w:p>
              </w:tc>
              <w:tc>
                <w:tcPr>
                  <w:tcW w:w="620" w:type="pct"/>
                  <w:tcBorders>
                    <w:tl2br w:val="nil"/>
                    <w:tr2bl w:val="nil"/>
                  </w:tcBorders>
                  <w:noWrap w:val="0"/>
                  <w:vAlign w:val="center"/>
                </w:tcPr>
                <w:p w14:paraId="364D8DF5">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7AB504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65" w:type="pct"/>
                  <w:tcBorders>
                    <w:tl2br w:val="nil"/>
                    <w:tr2bl w:val="nil"/>
                  </w:tcBorders>
                  <w:noWrap w:val="0"/>
                  <w:vAlign w:val="center"/>
                </w:tcPr>
                <w:p w14:paraId="021DB7D5">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NO</w:t>
                  </w:r>
                  <w:r>
                    <w:rPr>
                      <w:rFonts w:hint="default" w:ascii="Times New Roman" w:hAnsi="Times New Roman" w:eastAsia="宋体" w:cs="Times New Roman"/>
                      <w:color w:val="auto"/>
                      <w:vertAlign w:val="subscript"/>
                      <w:lang w:val="en-US" w:eastAsia="zh-CN"/>
                    </w:rPr>
                    <w:t>2</w:t>
                  </w:r>
                </w:p>
              </w:tc>
              <w:tc>
                <w:tcPr>
                  <w:tcW w:w="1790" w:type="pct"/>
                  <w:tcBorders>
                    <w:tl2br w:val="nil"/>
                    <w:tr2bl w:val="nil"/>
                  </w:tcBorders>
                  <w:noWrap w:val="0"/>
                  <w:vAlign w:val="center"/>
                </w:tcPr>
                <w:p w14:paraId="4DD9B821">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年平均质量浓度</w:t>
                  </w:r>
                </w:p>
              </w:tc>
              <w:tc>
                <w:tcPr>
                  <w:tcW w:w="772" w:type="pct"/>
                  <w:tcBorders>
                    <w:tl2br w:val="nil"/>
                    <w:tr2bl w:val="nil"/>
                  </w:tcBorders>
                  <w:noWrap w:val="0"/>
                  <w:vAlign w:val="center"/>
                </w:tcPr>
                <w:p w14:paraId="52436875">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w:t>
                  </w:r>
                </w:p>
              </w:tc>
              <w:tc>
                <w:tcPr>
                  <w:tcW w:w="679" w:type="pct"/>
                  <w:tcBorders>
                    <w:tl2br w:val="nil"/>
                    <w:tr2bl w:val="nil"/>
                  </w:tcBorders>
                  <w:noWrap w:val="0"/>
                  <w:vAlign w:val="center"/>
                </w:tcPr>
                <w:p w14:paraId="7C174BB1">
                  <w:pPr>
                    <w:pStyle w:val="127"/>
                    <w:bidi w:val="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951" w:type="dxa"/>
                  <w:tcBorders>
                    <w:tl2br w:val="nil"/>
                    <w:tr2bl w:val="nil"/>
                  </w:tcBorders>
                  <w:noWrap w:val="0"/>
                  <w:vAlign w:val="center"/>
                </w:tcPr>
                <w:p w14:paraId="3406E1EC">
                  <w:pPr>
                    <w:pStyle w:val="127"/>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32.50 </w:t>
                  </w:r>
                </w:p>
              </w:tc>
              <w:tc>
                <w:tcPr>
                  <w:tcW w:w="620" w:type="pct"/>
                  <w:tcBorders>
                    <w:tl2br w:val="nil"/>
                    <w:tr2bl w:val="nil"/>
                  </w:tcBorders>
                  <w:noWrap w:val="0"/>
                  <w:vAlign w:val="center"/>
                </w:tcPr>
                <w:p w14:paraId="474E82D0">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0DD7DD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65" w:type="pct"/>
                  <w:tcBorders>
                    <w:tl2br w:val="nil"/>
                    <w:tr2bl w:val="nil"/>
                  </w:tcBorders>
                  <w:noWrap w:val="0"/>
                  <w:vAlign w:val="center"/>
                </w:tcPr>
                <w:p w14:paraId="29594A01">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PM</w:t>
                  </w:r>
                  <w:r>
                    <w:rPr>
                      <w:rFonts w:hint="default" w:ascii="Times New Roman" w:hAnsi="Times New Roman" w:eastAsia="宋体" w:cs="Times New Roman"/>
                      <w:color w:val="auto"/>
                      <w:vertAlign w:val="subscript"/>
                      <w:lang w:val="en-US" w:eastAsia="zh-CN"/>
                    </w:rPr>
                    <w:t>2.5</w:t>
                  </w:r>
                </w:p>
              </w:tc>
              <w:tc>
                <w:tcPr>
                  <w:tcW w:w="1790" w:type="pct"/>
                  <w:tcBorders>
                    <w:tl2br w:val="nil"/>
                    <w:tr2bl w:val="nil"/>
                  </w:tcBorders>
                  <w:noWrap w:val="0"/>
                  <w:vAlign w:val="center"/>
                </w:tcPr>
                <w:p w14:paraId="42D1B303">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年平均质量浓度</w:t>
                  </w:r>
                </w:p>
              </w:tc>
              <w:tc>
                <w:tcPr>
                  <w:tcW w:w="772" w:type="pct"/>
                  <w:tcBorders>
                    <w:tl2br w:val="nil"/>
                    <w:tr2bl w:val="nil"/>
                  </w:tcBorders>
                  <w:noWrap w:val="0"/>
                  <w:vAlign w:val="center"/>
                </w:tcPr>
                <w:p w14:paraId="6FAC4A17">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35</w:t>
                  </w:r>
                </w:p>
              </w:tc>
              <w:tc>
                <w:tcPr>
                  <w:tcW w:w="679" w:type="pct"/>
                  <w:tcBorders>
                    <w:tl2br w:val="nil"/>
                    <w:tr2bl w:val="nil"/>
                  </w:tcBorders>
                  <w:noWrap w:val="0"/>
                  <w:vAlign w:val="center"/>
                </w:tcPr>
                <w:p w14:paraId="4D8DBE66">
                  <w:pPr>
                    <w:pStyle w:val="127"/>
                    <w:bidi w:val="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16</w:t>
                  </w:r>
                </w:p>
              </w:tc>
              <w:tc>
                <w:tcPr>
                  <w:tcW w:w="951" w:type="dxa"/>
                  <w:tcBorders>
                    <w:tl2br w:val="nil"/>
                    <w:tr2bl w:val="nil"/>
                  </w:tcBorders>
                  <w:noWrap w:val="0"/>
                  <w:vAlign w:val="center"/>
                </w:tcPr>
                <w:p w14:paraId="17C81AB8">
                  <w:pPr>
                    <w:pStyle w:val="127"/>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45.71 </w:t>
                  </w:r>
                </w:p>
              </w:tc>
              <w:tc>
                <w:tcPr>
                  <w:tcW w:w="620" w:type="pct"/>
                  <w:tcBorders>
                    <w:tl2br w:val="nil"/>
                    <w:tr2bl w:val="nil"/>
                  </w:tcBorders>
                  <w:noWrap w:val="0"/>
                  <w:vAlign w:val="center"/>
                </w:tcPr>
                <w:p w14:paraId="4733B3CE">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5BBD12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65" w:type="pct"/>
                  <w:tcBorders>
                    <w:tl2br w:val="nil"/>
                    <w:tr2bl w:val="nil"/>
                  </w:tcBorders>
                  <w:noWrap w:val="0"/>
                  <w:vAlign w:val="center"/>
                </w:tcPr>
                <w:p w14:paraId="0C44E97D">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PM</w:t>
                  </w:r>
                  <w:r>
                    <w:rPr>
                      <w:rFonts w:hint="default" w:ascii="Times New Roman" w:hAnsi="Times New Roman" w:eastAsia="宋体" w:cs="Times New Roman"/>
                      <w:color w:val="auto"/>
                      <w:vertAlign w:val="subscript"/>
                      <w:lang w:val="en-US" w:eastAsia="zh-CN"/>
                    </w:rPr>
                    <w:t>10</w:t>
                  </w:r>
                </w:p>
              </w:tc>
              <w:tc>
                <w:tcPr>
                  <w:tcW w:w="1790" w:type="pct"/>
                  <w:tcBorders>
                    <w:tl2br w:val="nil"/>
                    <w:tr2bl w:val="nil"/>
                  </w:tcBorders>
                  <w:noWrap w:val="0"/>
                  <w:vAlign w:val="center"/>
                </w:tcPr>
                <w:p w14:paraId="452A3479">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年平均质量浓度</w:t>
                  </w:r>
                </w:p>
              </w:tc>
              <w:tc>
                <w:tcPr>
                  <w:tcW w:w="772" w:type="pct"/>
                  <w:tcBorders>
                    <w:tl2br w:val="nil"/>
                    <w:tr2bl w:val="nil"/>
                  </w:tcBorders>
                  <w:noWrap w:val="0"/>
                  <w:vAlign w:val="center"/>
                </w:tcPr>
                <w:p w14:paraId="6DDE5510">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70</w:t>
                  </w:r>
                </w:p>
              </w:tc>
              <w:tc>
                <w:tcPr>
                  <w:tcW w:w="679" w:type="pct"/>
                  <w:tcBorders>
                    <w:tl2br w:val="nil"/>
                    <w:tr2bl w:val="nil"/>
                  </w:tcBorders>
                  <w:noWrap w:val="0"/>
                  <w:vAlign w:val="center"/>
                </w:tcPr>
                <w:p w14:paraId="337AD428">
                  <w:pPr>
                    <w:pStyle w:val="127"/>
                    <w:bidi w:val="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37</w:t>
                  </w:r>
                </w:p>
              </w:tc>
              <w:tc>
                <w:tcPr>
                  <w:tcW w:w="951" w:type="dxa"/>
                  <w:tcBorders>
                    <w:tl2br w:val="nil"/>
                    <w:tr2bl w:val="nil"/>
                  </w:tcBorders>
                  <w:noWrap w:val="0"/>
                  <w:vAlign w:val="center"/>
                </w:tcPr>
                <w:p w14:paraId="3714F7DF">
                  <w:pPr>
                    <w:pStyle w:val="127"/>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52.86 </w:t>
                  </w:r>
                </w:p>
              </w:tc>
              <w:tc>
                <w:tcPr>
                  <w:tcW w:w="620" w:type="pct"/>
                  <w:tcBorders>
                    <w:tl2br w:val="nil"/>
                    <w:tr2bl w:val="nil"/>
                  </w:tcBorders>
                  <w:noWrap w:val="0"/>
                  <w:vAlign w:val="center"/>
                </w:tcPr>
                <w:p w14:paraId="3FA97DC3">
                  <w:pPr>
                    <w:pStyle w:val="127"/>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5FA7D6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65" w:type="pct"/>
                  <w:tcBorders>
                    <w:tl2br w:val="nil"/>
                    <w:tr2bl w:val="nil"/>
                  </w:tcBorders>
                  <w:noWrap w:val="0"/>
                  <w:vAlign w:val="center"/>
                </w:tcPr>
                <w:p w14:paraId="611E312C">
                  <w:pPr>
                    <w:pStyle w:val="12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CO</w:t>
                  </w:r>
                </w:p>
              </w:tc>
              <w:tc>
                <w:tcPr>
                  <w:tcW w:w="1790" w:type="pct"/>
                  <w:tcBorders>
                    <w:tl2br w:val="nil"/>
                    <w:tr2bl w:val="nil"/>
                  </w:tcBorders>
                  <w:noWrap w:val="0"/>
                  <w:vAlign w:val="center"/>
                </w:tcPr>
                <w:p w14:paraId="31937528">
                  <w:pPr>
                    <w:pStyle w:val="12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95%百分位数</w:t>
                  </w:r>
                  <w:r>
                    <w:rPr>
                      <w:rFonts w:hint="eastAsia" w:eastAsia="宋体" w:cs="Times New Roman"/>
                      <w:color w:val="auto"/>
                      <w:lang w:val="en-US" w:eastAsia="zh-CN"/>
                    </w:rPr>
                    <w:t>日均</w:t>
                  </w:r>
                  <w:r>
                    <w:rPr>
                      <w:rFonts w:hint="default" w:ascii="Times New Roman" w:hAnsi="Times New Roman" w:eastAsia="宋体" w:cs="Times New Roman"/>
                      <w:color w:val="auto"/>
                      <w:lang w:val="en-US" w:eastAsia="zh-CN"/>
                    </w:rPr>
                    <w:t>值</w:t>
                  </w:r>
                </w:p>
              </w:tc>
              <w:tc>
                <w:tcPr>
                  <w:tcW w:w="772" w:type="pct"/>
                  <w:tcBorders>
                    <w:tl2br w:val="nil"/>
                    <w:tr2bl w:val="nil"/>
                  </w:tcBorders>
                  <w:noWrap w:val="0"/>
                  <w:vAlign w:val="center"/>
                </w:tcPr>
                <w:p w14:paraId="21B3DBE5">
                  <w:pPr>
                    <w:pStyle w:val="12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4mg/m³</w:t>
                  </w:r>
                </w:p>
              </w:tc>
              <w:tc>
                <w:tcPr>
                  <w:tcW w:w="679" w:type="pct"/>
                  <w:tcBorders>
                    <w:tl2br w:val="nil"/>
                    <w:tr2bl w:val="nil"/>
                  </w:tcBorders>
                  <w:noWrap w:val="0"/>
                  <w:vAlign w:val="center"/>
                </w:tcPr>
                <w:p w14:paraId="34CCD446">
                  <w:pPr>
                    <w:pStyle w:val="127"/>
                    <w:bidi w:val="0"/>
                    <w:rPr>
                      <w:rFonts w:hint="default" w:ascii="Times New Roman" w:hAnsi="Times New Roman" w:eastAsia="宋体" w:cs="Times New Roman"/>
                      <w:color w:val="auto"/>
                      <w:lang w:val="en-US" w:eastAsia="zh-CN"/>
                    </w:rPr>
                  </w:pPr>
                  <w:r>
                    <w:rPr>
                      <w:rFonts w:hint="eastAsia" w:cs="Times New Roman"/>
                      <w:color w:val="auto"/>
                      <w:lang w:val="en-US" w:eastAsia="zh-CN"/>
                    </w:rPr>
                    <w:t>1.2</w:t>
                  </w:r>
                  <w:r>
                    <w:rPr>
                      <w:rFonts w:hint="default" w:ascii="Times New Roman" w:hAnsi="Times New Roman" w:eastAsia="宋体" w:cs="Times New Roman"/>
                      <w:color w:val="auto"/>
                      <w:lang w:val="en-US" w:eastAsia="zh-CN"/>
                    </w:rPr>
                    <w:t>mg/m³</w:t>
                  </w:r>
                </w:p>
              </w:tc>
              <w:tc>
                <w:tcPr>
                  <w:tcW w:w="951" w:type="dxa"/>
                  <w:tcBorders>
                    <w:tl2br w:val="nil"/>
                    <w:tr2bl w:val="nil"/>
                  </w:tcBorders>
                  <w:noWrap w:val="0"/>
                  <w:vAlign w:val="center"/>
                </w:tcPr>
                <w:p w14:paraId="27622D53">
                  <w:pPr>
                    <w:pStyle w:val="127"/>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30.00 </w:t>
                  </w:r>
                </w:p>
              </w:tc>
              <w:tc>
                <w:tcPr>
                  <w:tcW w:w="620" w:type="pct"/>
                  <w:tcBorders>
                    <w:tl2br w:val="nil"/>
                    <w:tr2bl w:val="nil"/>
                  </w:tcBorders>
                  <w:noWrap w:val="0"/>
                  <w:vAlign w:val="center"/>
                </w:tcPr>
                <w:p w14:paraId="2FCD8097">
                  <w:pPr>
                    <w:pStyle w:val="12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1E7C00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65" w:type="pct"/>
                  <w:tcBorders>
                    <w:tl2br w:val="nil"/>
                    <w:tr2bl w:val="nil"/>
                  </w:tcBorders>
                  <w:noWrap w:val="0"/>
                  <w:vAlign w:val="center"/>
                </w:tcPr>
                <w:p w14:paraId="3839EFE6">
                  <w:pPr>
                    <w:pStyle w:val="12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O</w:t>
                  </w:r>
                  <w:r>
                    <w:rPr>
                      <w:rFonts w:hint="default" w:ascii="Times New Roman" w:hAnsi="Times New Roman" w:eastAsia="宋体" w:cs="Times New Roman"/>
                      <w:color w:val="auto"/>
                      <w:vertAlign w:val="subscript"/>
                      <w:lang w:val="en-US" w:eastAsia="zh-CN"/>
                    </w:rPr>
                    <w:t>3</w:t>
                  </w:r>
                </w:p>
              </w:tc>
              <w:tc>
                <w:tcPr>
                  <w:tcW w:w="1790" w:type="pct"/>
                  <w:tcBorders>
                    <w:tl2br w:val="nil"/>
                    <w:tr2bl w:val="nil"/>
                  </w:tcBorders>
                  <w:noWrap w:val="0"/>
                  <w:vAlign w:val="center"/>
                </w:tcPr>
                <w:p w14:paraId="650546DC">
                  <w:pPr>
                    <w:pStyle w:val="12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90%百分位数日最大8小时值</w:t>
                  </w:r>
                </w:p>
              </w:tc>
              <w:tc>
                <w:tcPr>
                  <w:tcW w:w="772" w:type="pct"/>
                  <w:tcBorders>
                    <w:tl2br w:val="nil"/>
                    <w:tr2bl w:val="nil"/>
                  </w:tcBorders>
                  <w:noWrap w:val="0"/>
                  <w:vAlign w:val="center"/>
                </w:tcPr>
                <w:p w14:paraId="7FE68903">
                  <w:pPr>
                    <w:pStyle w:val="12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160</w:t>
                  </w:r>
                </w:p>
              </w:tc>
              <w:tc>
                <w:tcPr>
                  <w:tcW w:w="679" w:type="pct"/>
                  <w:tcBorders>
                    <w:tl2br w:val="nil"/>
                    <w:tr2bl w:val="nil"/>
                  </w:tcBorders>
                  <w:noWrap w:val="0"/>
                  <w:vAlign w:val="center"/>
                </w:tcPr>
                <w:p w14:paraId="2E4571CB">
                  <w:pPr>
                    <w:pStyle w:val="127"/>
                    <w:bidi w:val="0"/>
                    <w:rPr>
                      <w:rFonts w:hint="default" w:ascii="Times New Roman" w:hAnsi="Times New Roman" w:eastAsia="宋体" w:cs="Times New Roman"/>
                      <w:color w:val="auto"/>
                      <w:lang w:val="en-US" w:eastAsia="zh-CN"/>
                    </w:rPr>
                  </w:pPr>
                  <w:r>
                    <w:rPr>
                      <w:rFonts w:hint="eastAsia" w:cs="Times New Roman"/>
                      <w:color w:val="auto"/>
                      <w:lang w:val="en-US" w:eastAsia="zh-CN"/>
                    </w:rPr>
                    <w:t>110</w:t>
                  </w:r>
                </w:p>
              </w:tc>
              <w:tc>
                <w:tcPr>
                  <w:tcW w:w="951" w:type="dxa"/>
                  <w:tcBorders>
                    <w:tl2br w:val="nil"/>
                    <w:tr2bl w:val="nil"/>
                  </w:tcBorders>
                  <w:noWrap w:val="0"/>
                  <w:vAlign w:val="center"/>
                </w:tcPr>
                <w:p w14:paraId="0BD17108">
                  <w:pPr>
                    <w:pStyle w:val="127"/>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68.75 </w:t>
                  </w:r>
                </w:p>
              </w:tc>
              <w:tc>
                <w:tcPr>
                  <w:tcW w:w="620" w:type="pct"/>
                  <w:tcBorders>
                    <w:tl2br w:val="nil"/>
                    <w:tr2bl w:val="nil"/>
                  </w:tcBorders>
                  <w:noWrap w:val="0"/>
                  <w:vAlign w:val="center"/>
                </w:tcPr>
                <w:p w14:paraId="2543C159">
                  <w:pPr>
                    <w:pStyle w:val="12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bl>
          <w:p w14:paraId="7C7D9EA9">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color w:val="auto"/>
                <w:lang w:eastAsia="zh-CN"/>
              </w:rPr>
            </w:pPr>
            <w:r>
              <w:rPr>
                <w:rFonts w:hint="eastAsia"/>
                <w:color w:val="auto"/>
              </w:rPr>
              <w:t>根据上表可知，SO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2.5</w:t>
            </w:r>
            <w:r>
              <w:rPr>
                <w:rFonts w:hint="eastAsia"/>
                <w:color w:val="auto"/>
              </w:rPr>
              <w:t>、PM</w:t>
            </w:r>
            <w:r>
              <w:rPr>
                <w:rFonts w:hint="eastAsia"/>
                <w:color w:val="auto"/>
                <w:vertAlign w:val="subscript"/>
              </w:rPr>
              <w:t>10</w:t>
            </w:r>
            <w:r>
              <w:rPr>
                <w:rFonts w:hint="eastAsia"/>
                <w:color w:val="auto"/>
              </w:rPr>
              <w:t>、CO、O</w:t>
            </w:r>
            <w:r>
              <w:rPr>
                <w:rFonts w:hint="eastAsia"/>
                <w:color w:val="auto"/>
                <w:vertAlign w:val="subscript"/>
              </w:rPr>
              <w:t>3</w:t>
            </w:r>
            <w:r>
              <w:rPr>
                <w:rFonts w:hint="eastAsia"/>
                <w:color w:val="auto"/>
              </w:rPr>
              <w:t>监测数据均可达到《环境空气质量标准》（GB3095-2012）及其修改单中的二级标准要求</w:t>
            </w:r>
            <w:r>
              <w:rPr>
                <w:rFonts w:hint="eastAsia"/>
                <w:color w:val="auto"/>
                <w:lang w:eastAsia="zh-CN"/>
              </w:rPr>
              <w:t>。</w:t>
            </w:r>
          </w:p>
          <w:p w14:paraId="50607021">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（2）</w:t>
            </w:r>
            <w:r>
              <w:rPr>
                <w:rFonts w:hint="eastAsia"/>
                <w:color w:val="auto"/>
                <w:highlight w:val="none"/>
                <w:lang w:val="en-US" w:eastAsia="zh-CN"/>
              </w:rPr>
              <w:t>特征污染物补充监测及评价</w:t>
            </w:r>
          </w:p>
          <w:p w14:paraId="22C3D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本项目特征因子为</w:t>
            </w:r>
            <w:r>
              <w:rPr>
                <w:rFonts w:hint="eastAsia" w:cs="Times New Roman"/>
                <w:color w:val="auto"/>
                <w:sz w:val="24"/>
                <w:highlight w:val="none"/>
                <w:lang w:val="en-US" w:eastAsia="zh-CN"/>
              </w:rPr>
              <w:t>颗粒物、氮氧化物、硫化氢和氨</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根据《环境影响评价技术导则 大气环境》（HJ2.2-2018）需调查评价范围内有环境质量标准的评价因子的环境质量监测数据或进行补充监测。</w:t>
            </w:r>
          </w:p>
          <w:p w14:paraId="1613C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颗粒物和氮氧化物</w:t>
            </w:r>
            <w:r>
              <w:rPr>
                <w:rFonts w:hint="default" w:ascii="Times New Roman" w:hAnsi="Times New Roman" w:eastAsia="宋体" w:cs="Times New Roman"/>
                <w:color w:val="auto"/>
                <w:sz w:val="24"/>
                <w:highlight w:val="none"/>
                <w:lang w:val="en-US" w:eastAsia="zh-CN"/>
              </w:rPr>
              <w:t>现状数据引用</w:t>
            </w:r>
            <w:r>
              <w:rPr>
                <w:rFonts w:hint="eastAsia" w:ascii="Times New Roman" w:hAnsi="Times New Roman" w:eastAsia="宋体" w:cs="Times New Roman"/>
                <w:color w:val="auto"/>
                <w:sz w:val="24"/>
                <w:highlight w:val="none"/>
                <w:lang w:val="en-US" w:eastAsia="zh-CN"/>
              </w:rPr>
              <w:t>《竣昌科技有限公司年产</w:t>
            </w:r>
            <w:r>
              <w:rPr>
                <w:rFonts w:hint="default" w:ascii="Times New Roman" w:hAnsi="Times New Roman" w:eastAsia="宋体" w:cs="Times New Roman"/>
                <w:color w:val="auto"/>
                <w:sz w:val="24"/>
                <w:highlight w:val="none"/>
                <w:lang w:val="en-US" w:eastAsia="zh-CN"/>
              </w:rPr>
              <w:t>8000</w:t>
            </w:r>
            <w:r>
              <w:rPr>
                <w:rFonts w:hint="eastAsia" w:ascii="Times New Roman" w:hAnsi="Times New Roman" w:eastAsia="宋体" w:cs="Times New Roman"/>
                <w:color w:val="auto"/>
                <w:sz w:val="24"/>
                <w:highlight w:val="none"/>
                <w:lang w:val="en-US" w:eastAsia="zh-CN"/>
              </w:rPr>
              <w:t>万件新能源汽车及光伏结构件项目环评检测报告》（江西博华环境检测科技有限公司）中</w:t>
            </w:r>
            <w:r>
              <w:rPr>
                <w:rFonts w:hint="default" w:ascii="Times New Roman" w:hAnsi="Times New Roman" w:eastAsia="宋体" w:cs="Times New Roman"/>
                <w:color w:val="auto"/>
                <w:sz w:val="24"/>
                <w:highlight w:val="none"/>
                <w:lang w:val="en-US" w:eastAsia="zh-CN"/>
              </w:rPr>
              <w:t>2022</w:t>
            </w:r>
            <w:r>
              <w:rPr>
                <w:rFonts w:hint="eastAsia" w:ascii="Times New Roman" w:hAnsi="Times New Roman" w:eastAsia="宋体"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18</w:t>
            </w:r>
            <w:r>
              <w:rPr>
                <w:rFonts w:hint="eastAsia" w:ascii="Times New Roman" w:hAnsi="Times New Roman" w:eastAsia="宋体" w:cs="Times New Roman"/>
                <w:color w:val="auto"/>
                <w:sz w:val="24"/>
                <w:highlight w:val="none"/>
                <w:lang w:val="en-US" w:eastAsia="zh-CN"/>
              </w:rPr>
              <w:t>日</w:t>
            </w:r>
            <w:r>
              <w:rPr>
                <w:rFonts w:hint="default" w:ascii="Times New Roman" w:hAnsi="Times New Roman" w:eastAsia="宋体" w:cs="Times New Roman"/>
                <w:color w:val="auto"/>
                <w:sz w:val="24"/>
                <w:highlight w:val="none"/>
                <w:lang w:val="en-US" w:eastAsia="zh-CN"/>
              </w:rPr>
              <w:t>~20</w:t>
            </w:r>
            <w:r>
              <w:rPr>
                <w:rFonts w:hint="eastAsia" w:ascii="Times New Roman" w:hAnsi="Times New Roman" w:eastAsia="宋体" w:cs="Times New Roman"/>
                <w:color w:val="auto"/>
                <w:sz w:val="24"/>
                <w:highlight w:val="none"/>
                <w:lang w:val="en-US" w:eastAsia="zh-CN"/>
              </w:rPr>
              <w:t>日“</w:t>
            </w:r>
            <w:r>
              <w:rPr>
                <w:rFonts w:hint="default" w:ascii="Times New Roman" w:hAnsi="Times New Roman" w:eastAsia="宋体" w:cs="Times New Roman"/>
                <w:color w:val="auto"/>
                <w:sz w:val="24"/>
                <w:highlight w:val="none"/>
                <w:lang w:val="en-US" w:eastAsia="zh-CN"/>
              </w:rPr>
              <w:t>A1</w:t>
            </w:r>
            <w:r>
              <w:rPr>
                <w:rFonts w:hint="eastAsia" w:ascii="Times New Roman" w:hAnsi="Times New Roman" w:eastAsia="宋体" w:cs="Times New Roman"/>
                <w:color w:val="auto"/>
                <w:sz w:val="24"/>
                <w:highlight w:val="none"/>
                <w:lang w:val="en-US" w:eastAsia="zh-CN"/>
              </w:rPr>
              <w:t>选址处下风向”监测点位的</w:t>
            </w:r>
            <w:r>
              <w:rPr>
                <w:rFonts w:hint="eastAsia" w:cs="Times New Roman"/>
                <w:color w:val="auto"/>
                <w:sz w:val="24"/>
                <w:highlight w:val="none"/>
                <w:lang w:val="en-US" w:eastAsia="zh-CN"/>
              </w:rPr>
              <w:t>TSP和氮氧化物</w:t>
            </w:r>
            <w:r>
              <w:rPr>
                <w:rFonts w:hint="eastAsia" w:ascii="Times New Roman" w:hAnsi="Times New Roman" w:eastAsia="宋体" w:cs="Times New Roman"/>
                <w:color w:val="auto"/>
                <w:sz w:val="24"/>
                <w:highlight w:val="none"/>
                <w:lang w:val="en-US" w:eastAsia="zh-CN"/>
              </w:rPr>
              <w:t>监测数据，监测点位</w:t>
            </w:r>
            <w:r>
              <w:rPr>
                <w:rFonts w:hint="eastAsia" w:cs="Times New Roman"/>
                <w:color w:val="auto"/>
                <w:sz w:val="24"/>
                <w:highlight w:val="none"/>
                <w:lang w:val="en-US" w:eastAsia="zh-CN"/>
              </w:rPr>
              <w:t>地理坐标为</w:t>
            </w:r>
            <w:r>
              <w:rPr>
                <w:rFonts w:hint="default" w:ascii="Times New Roman" w:hAnsi="Times New Roman" w:eastAsia="宋体" w:cs="Times New Roman"/>
                <w:color w:val="000000"/>
                <w:sz w:val="24"/>
                <w:szCs w:val="24"/>
                <w:highlight w:val="none"/>
              </w:rPr>
              <w:t>E11</w:t>
            </w:r>
            <w:r>
              <w:rPr>
                <w:rFonts w:hint="default"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59</w:t>
            </w:r>
            <w:r>
              <w:rPr>
                <w:rFonts w:hint="default" w:ascii="Times New Roman" w:hAnsi="Times New Roman" w:eastAsia="宋体" w:cs="Times New Roman"/>
                <w:color w:val="000000"/>
                <w:sz w:val="24"/>
                <w:szCs w:val="24"/>
                <w:highlight w:val="none"/>
              </w:rPr>
              <w:t>′48.064″</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N</w:t>
            </w:r>
            <w:r>
              <w:rPr>
                <w:rFonts w:hint="default" w:ascii="Times New Roman" w:hAnsi="Times New Roman" w:eastAsia="宋体" w:cs="Times New Roman"/>
                <w:color w:val="000000"/>
                <w:sz w:val="24"/>
                <w:szCs w:val="24"/>
                <w:highlight w:val="none"/>
              </w:rPr>
              <w:t>2</w:t>
            </w:r>
            <w:r>
              <w:rPr>
                <w:rFonts w:hint="default" w:ascii="Times New Roman" w:hAnsi="Times New Roman" w:eastAsia="宋体" w:cs="Times New Roman"/>
                <w:color w:val="000000"/>
                <w:sz w:val="24"/>
                <w:szCs w:val="24"/>
                <w:highlight w:val="none"/>
                <w:lang w:val="en-US" w:eastAsia="zh-CN"/>
              </w:rPr>
              <w:t>6</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24</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27.543</w:t>
            </w:r>
            <w:r>
              <w:rPr>
                <w:rFonts w:hint="default" w:ascii="Times New Roman" w:hAnsi="Times New Roman" w:eastAsia="宋体" w:cs="Times New Roman"/>
                <w:color w:val="000000"/>
                <w:sz w:val="24"/>
                <w:szCs w:val="24"/>
                <w:highlight w:val="none"/>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位于本项目东侧约</w:t>
            </w:r>
            <w:r>
              <w:rPr>
                <w:rFonts w:hint="eastAsia" w:cs="Times New Roman"/>
                <w:color w:val="auto"/>
                <w:sz w:val="24"/>
                <w:highlight w:val="none"/>
                <w:lang w:val="en-US" w:eastAsia="zh-CN"/>
              </w:rPr>
              <w:t>673</w:t>
            </w:r>
            <w:r>
              <w:rPr>
                <w:rFonts w:hint="default"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lang w:val="en-US" w:eastAsia="zh-CN"/>
              </w:rPr>
              <w:t>处，位于本项目选址周边</w:t>
            </w:r>
            <w:r>
              <w:rPr>
                <w:rFonts w:hint="default"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千米范围内，且监测数据为近三年内，符合编制技术指南的要求，因此引用的环境质量现状监测数据是合理的。</w:t>
            </w:r>
            <w:r>
              <w:rPr>
                <w:rFonts w:hint="default" w:ascii="Times New Roman" w:hAnsi="Times New Roman" w:eastAsia="宋体" w:cs="Times New Roman"/>
                <w:color w:val="auto"/>
                <w:sz w:val="24"/>
                <w:highlight w:val="none"/>
                <w:lang w:val="en-US" w:eastAsia="zh-CN"/>
              </w:rPr>
              <w:t>具体监测数据情况见下表。</w:t>
            </w:r>
          </w:p>
          <w:p w14:paraId="67C152E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cs="Times New Roman"/>
                <w:color w:val="auto"/>
                <w:sz w:val="24"/>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环境空气监测统计结果</w:t>
            </w:r>
          </w:p>
          <w:tbl>
            <w:tblPr>
              <w:tblStyle w:val="34"/>
              <w:tblW w:w="83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196"/>
              <w:gridCol w:w="1197"/>
              <w:gridCol w:w="1199"/>
              <w:gridCol w:w="1199"/>
              <w:gridCol w:w="1198"/>
              <w:gridCol w:w="1198"/>
            </w:tblGrid>
            <w:tr w14:paraId="7405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14:paraId="7DA909E6">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b w:val="0"/>
                      <w:bCs w:val="0"/>
                      <w:color w:val="auto"/>
                      <w:sz w:val="21"/>
                      <w:szCs w:val="21"/>
                      <w:lang w:val="en-US" w:eastAsia="zh-CN"/>
                    </w:rPr>
                    <w:t>采样日期</w:t>
                  </w:r>
                </w:p>
              </w:tc>
              <w:tc>
                <w:tcPr>
                  <w:tcW w:w="1196" w:type="dxa"/>
                  <w:vAlign w:val="center"/>
                </w:tcPr>
                <w:p w14:paraId="45456826">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b w:val="0"/>
                      <w:bCs w:val="0"/>
                      <w:color w:val="auto"/>
                      <w:sz w:val="21"/>
                      <w:szCs w:val="21"/>
                      <w:lang w:val="en-US" w:eastAsia="zh-CN"/>
                    </w:rPr>
                    <w:t>污染物</w:t>
                  </w:r>
                </w:p>
              </w:tc>
              <w:tc>
                <w:tcPr>
                  <w:tcW w:w="1197" w:type="dxa"/>
                  <w:vAlign w:val="center"/>
                </w:tcPr>
                <w:p w14:paraId="286E0D56">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b w:val="0"/>
                      <w:bCs w:val="0"/>
                      <w:color w:val="auto"/>
                      <w:sz w:val="21"/>
                      <w:szCs w:val="21"/>
                    </w:rPr>
                    <w:t>评价指标</w:t>
                  </w:r>
                </w:p>
              </w:tc>
              <w:tc>
                <w:tcPr>
                  <w:tcW w:w="1199" w:type="dxa"/>
                  <w:vAlign w:val="center"/>
                </w:tcPr>
                <w:p w14:paraId="17B0495A">
                  <w:pPr>
                    <w:pStyle w:val="139"/>
                    <w:keepLines w:val="0"/>
                    <w:pageBreakBefore w:val="0"/>
                    <w:kinsoku/>
                    <w:wordWrap/>
                    <w:overflowPunct/>
                    <w:topLinePunct w:val="0"/>
                    <w:autoSpaceDE/>
                    <w:autoSpaceDN/>
                    <w:bidi w:val="0"/>
                    <w:adjustRightInd/>
                    <w:snapToGrid w:val="0"/>
                    <w:spacing w:before="0" w:beforeLines="0" w:after="0" w:line="240" w:lineRule="auto"/>
                    <w:jc w:val="center"/>
                    <w:textAlignment w:val="auto"/>
                    <w:rPr>
                      <w:b w:val="0"/>
                      <w:bCs w:val="0"/>
                      <w:color w:val="auto"/>
                      <w:sz w:val="21"/>
                      <w:szCs w:val="21"/>
                    </w:rPr>
                  </w:pPr>
                  <w:r>
                    <w:rPr>
                      <w:rFonts w:hint="eastAsia"/>
                      <w:b w:val="0"/>
                      <w:bCs w:val="0"/>
                      <w:color w:val="auto"/>
                      <w:sz w:val="21"/>
                      <w:szCs w:val="21"/>
                    </w:rPr>
                    <w:t>现状浓度</w:t>
                  </w:r>
                </w:p>
                <w:p w14:paraId="067433AC">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b w:val="0"/>
                      <w:bCs w:val="0"/>
                      <w:color w:val="auto"/>
                      <w:sz w:val="21"/>
                      <w:szCs w:val="21"/>
                    </w:rPr>
                    <w:t>（</w:t>
                  </w:r>
                  <w:r>
                    <w:rPr>
                      <w:b w:val="0"/>
                      <w:bCs w:val="0"/>
                      <w:color w:val="auto"/>
                      <w:sz w:val="21"/>
                      <w:szCs w:val="21"/>
                    </w:rPr>
                    <w:t>μ</w:t>
                  </w:r>
                  <w:r>
                    <w:rPr>
                      <w:rFonts w:hint="eastAsia"/>
                      <w:b w:val="0"/>
                      <w:bCs w:val="0"/>
                      <w:color w:val="auto"/>
                      <w:sz w:val="21"/>
                      <w:szCs w:val="21"/>
                    </w:rPr>
                    <w:t>g</w:t>
                  </w:r>
                  <w:r>
                    <w:rPr>
                      <w:b w:val="0"/>
                      <w:bCs w:val="0"/>
                      <w:color w:val="auto"/>
                      <w:sz w:val="21"/>
                      <w:szCs w:val="21"/>
                    </w:rPr>
                    <w:t>/m</w:t>
                  </w:r>
                  <w:r>
                    <w:rPr>
                      <w:b w:val="0"/>
                      <w:bCs w:val="0"/>
                      <w:color w:val="auto"/>
                      <w:sz w:val="21"/>
                      <w:szCs w:val="21"/>
                      <w:vertAlign w:val="superscript"/>
                    </w:rPr>
                    <w:t>3</w:t>
                  </w:r>
                  <w:r>
                    <w:rPr>
                      <w:rFonts w:hint="eastAsia"/>
                      <w:b w:val="0"/>
                      <w:bCs w:val="0"/>
                      <w:color w:val="auto"/>
                      <w:sz w:val="21"/>
                      <w:szCs w:val="21"/>
                    </w:rPr>
                    <w:t>）</w:t>
                  </w:r>
                </w:p>
              </w:tc>
              <w:tc>
                <w:tcPr>
                  <w:tcW w:w="1199" w:type="dxa"/>
                  <w:vAlign w:val="center"/>
                </w:tcPr>
                <w:p w14:paraId="0B49BFF8">
                  <w:pPr>
                    <w:pStyle w:val="139"/>
                    <w:keepLines w:val="0"/>
                    <w:pageBreakBefore w:val="0"/>
                    <w:kinsoku/>
                    <w:wordWrap/>
                    <w:overflowPunct/>
                    <w:topLinePunct w:val="0"/>
                    <w:autoSpaceDE/>
                    <w:autoSpaceDN/>
                    <w:bidi w:val="0"/>
                    <w:adjustRightInd/>
                    <w:snapToGrid w:val="0"/>
                    <w:spacing w:before="0" w:beforeLines="0" w:after="0" w:line="240" w:lineRule="auto"/>
                    <w:jc w:val="center"/>
                    <w:textAlignment w:val="auto"/>
                    <w:rPr>
                      <w:b w:val="0"/>
                      <w:bCs w:val="0"/>
                      <w:color w:val="auto"/>
                      <w:sz w:val="21"/>
                      <w:szCs w:val="21"/>
                    </w:rPr>
                  </w:pPr>
                  <w:r>
                    <w:rPr>
                      <w:rFonts w:hint="eastAsia"/>
                      <w:b w:val="0"/>
                      <w:bCs w:val="0"/>
                      <w:color w:val="auto"/>
                      <w:sz w:val="21"/>
                      <w:szCs w:val="21"/>
                    </w:rPr>
                    <w:t>标准限值</w:t>
                  </w:r>
                </w:p>
                <w:p w14:paraId="3D926242">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b w:val="0"/>
                      <w:bCs w:val="0"/>
                      <w:color w:val="auto"/>
                      <w:sz w:val="21"/>
                      <w:szCs w:val="21"/>
                    </w:rPr>
                    <w:t>（</w:t>
                  </w:r>
                  <w:r>
                    <w:rPr>
                      <w:b w:val="0"/>
                      <w:bCs w:val="0"/>
                      <w:color w:val="auto"/>
                      <w:sz w:val="21"/>
                      <w:szCs w:val="21"/>
                    </w:rPr>
                    <w:t>μ</w:t>
                  </w:r>
                  <w:r>
                    <w:rPr>
                      <w:rFonts w:hint="eastAsia"/>
                      <w:b w:val="0"/>
                      <w:bCs w:val="0"/>
                      <w:color w:val="auto"/>
                      <w:sz w:val="21"/>
                      <w:szCs w:val="21"/>
                    </w:rPr>
                    <w:t>g</w:t>
                  </w:r>
                  <w:r>
                    <w:rPr>
                      <w:b w:val="0"/>
                      <w:bCs w:val="0"/>
                      <w:color w:val="auto"/>
                      <w:sz w:val="21"/>
                      <w:szCs w:val="21"/>
                    </w:rPr>
                    <w:t>/m</w:t>
                  </w:r>
                  <w:r>
                    <w:rPr>
                      <w:b w:val="0"/>
                      <w:bCs w:val="0"/>
                      <w:color w:val="auto"/>
                      <w:sz w:val="21"/>
                      <w:szCs w:val="21"/>
                      <w:vertAlign w:val="superscript"/>
                    </w:rPr>
                    <w:t>3</w:t>
                  </w:r>
                  <w:r>
                    <w:rPr>
                      <w:rFonts w:hint="eastAsia"/>
                      <w:b w:val="0"/>
                      <w:bCs w:val="0"/>
                      <w:color w:val="auto"/>
                      <w:sz w:val="21"/>
                      <w:szCs w:val="21"/>
                    </w:rPr>
                    <w:t>）</w:t>
                  </w:r>
                </w:p>
              </w:tc>
              <w:tc>
                <w:tcPr>
                  <w:tcW w:w="1198" w:type="dxa"/>
                  <w:vAlign w:val="center"/>
                </w:tcPr>
                <w:p w14:paraId="5880C585">
                  <w:pPr>
                    <w:pStyle w:val="139"/>
                    <w:keepLines w:val="0"/>
                    <w:pageBreakBefore w:val="0"/>
                    <w:kinsoku/>
                    <w:wordWrap/>
                    <w:overflowPunct/>
                    <w:topLinePunct w:val="0"/>
                    <w:autoSpaceDE/>
                    <w:autoSpaceDN/>
                    <w:bidi w:val="0"/>
                    <w:adjustRightInd/>
                    <w:snapToGrid w:val="0"/>
                    <w:spacing w:before="0" w:beforeLines="0" w:after="0" w:line="240" w:lineRule="auto"/>
                    <w:jc w:val="center"/>
                    <w:textAlignment w:val="auto"/>
                    <w:rPr>
                      <w:b w:val="0"/>
                      <w:bCs w:val="0"/>
                      <w:color w:val="auto"/>
                      <w:sz w:val="21"/>
                      <w:szCs w:val="21"/>
                    </w:rPr>
                  </w:pPr>
                  <w:r>
                    <w:rPr>
                      <w:rFonts w:hint="eastAsia"/>
                      <w:b w:val="0"/>
                      <w:bCs w:val="0"/>
                      <w:color w:val="auto"/>
                      <w:sz w:val="21"/>
                      <w:szCs w:val="21"/>
                    </w:rPr>
                    <w:t>占标率</w:t>
                  </w:r>
                </w:p>
                <w:p w14:paraId="73E6F8DB">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b w:val="0"/>
                      <w:bCs w:val="0"/>
                      <w:color w:val="auto"/>
                      <w:sz w:val="21"/>
                      <w:szCs w:val="21"/>
                    </w:rPr>
                    <w:t>（%）</w:t>
                  </w:r>
                </w:p>
              </w:tc>
              <w:tc>
                <w:tcPr>
                  <w:tcW w:w="1198" w:type="dxa"/>
                  <w:vAlign w:val="center"/>
                </w:tcPr>
                <w:p w14:paraId="24A8A179">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b w:val="0"/>
                      <w:bCs w:val="0"/>
                      <w:color w:val="auto"/>
                      <w:sz w:val="21"/>
                      <w:szCs w:val="21"/>
                    </w:rPr>
                    <w:t>达标情况</w:t>
                  </w:r>
                </w:p>
              </w:tc>
            </w:tr>
            <w:tr w14:paraId="1B55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14:paraId="034370F0">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b w:val="0"/>
                      <w:bCs w:val="0"/>
                      <w:color w:val="auto"/>
                      <w:sz w:val="21"/>
                      <w:szCs w:val="21"/>
                      <w:lang w:val="en-US" w:eastAsia="zh-CN"/>
                    </w:rPr>
                    <w:t>2022.10.18</w:t>
                  </w:r>
                </w:p>
              </w:tc>
              <w:tc>
                <w:tcPr>
                  <w:tcW w:w="1196" w:type="dxa"/>
                  <w:vMerge w:val="restart"/>
                  <w:vAlign w:val="center"/>
                </w:tcPr>
                <w:p w14:paraId="4F8FC6AA">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cs="Times New Roman"/>
                      <w:color w:val="auto"/>
                      <w:sz w:val="21"/>
                      <w:szCs w:val="21"/>
                      <w:highlight w:val="none"/>
                      <w:lang w:val="en-US" w:eastAsia="zh-CN"/>
                    </w:rPr>
                    <w:t>TSP</w:t>
                  </w:r>
                </w:p>
              </w:tc>
              <w:tc>
                <w:tcPr>
                  <w:tcW w:w="1197" w:type="dxa"/>
                  <w:vAlign w:val="center"/>
                </w:tcPr>
                <w:p w14:paraId="35B3BB19">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cs="宋体"/>
                      <w:b w:val="0"/>
                      <w:bCs w:val="0"/>
                      <w:color w:val="auto"/>
                      <w:sz w:val="21"/>
                      <w:szCs w:val="21"/>
                      <w:lang w:val="en-US" w:eastAsia="zh-CN"/>
                    </w:rPr>
                    <w:t>24h平</w:t>
                  </w:r>
                  <w:r>
                    <w:rPr>
                      <w:rFonts w:hint="eastAsia" w:ascii="Times New Roman" w:hAnsi="Times New Roman" w:eastAsia="宋体" w:cs="宋体"/>
                      <w:b w:val="0"/>
                      <w:bCs w:val="0"/>
                      <w:color w:val="auto"/>
                      <w:sz w:val="21"/>
                      <w:szCs w:val="21"/>
                      <w:lang w:val="en-US" w:eastAsia="zh-CN"/>
                    </w:rPr>
                    <w:t>均</w:t>
                  </w:r>
                </w:p>
              </w:tc>
              <w:tc>
                <w:tcPr>
                  <w:tcW w:w="1199" w:type="dxa"/>
                  <w:vAlign w:val="center"/>
                </w:tcPr>
                <w:p w14:paraId="0D501CA9">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cs="宋体"/>
                      <w:b w:val="0"/>
                      <w:bCs w:val="0"/>
                      <w:color w:val="auto"/>
                      <w:sz w:val="21"/>
                      <w:szCs w:val="21"/>
                      <w:lang w:val="en-US" w:eastAsia="zh-CN"/>
                    </w:rPr>
                    <w:t>106</w:t>
                  </w:r>
                </w:p>
              </w:tc>
              <w:tc>
                <w:tcPr>
                  <w:tcW w:w="1199" w:type="dxa"/>
                  <w:vAlign w:val="center"/>
                </w:tcPr>
                <w:p w14:paraId="0D80F3DC">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cs="宋体"/>
                      <w:b w:val="0"/>
                      <w:bCs w:val="0"/>
                      <w:color w:val="auto"/>
                      <w:sz w:val="21"/>
                      <w:szCs w:val="21"/>
                      <w:lang w:val="en-US" w:eastAsia="zh-CN"/>
                    </w:rPr>
                    <w:t>300</w:t>
                  </w:r>
                </w:p>
              </w:tc>
              <w:tc>
                <w:tcPr>
                  <w:tcW w:w="1198" w:type="dxa"/>
                  <w:vAlign w:val="center"/>
                </w:tcPr>
                <w:p w14:paraId="25EEECE4">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cs="宋体"/>
                      <w:b w:val="0"/>
                      <w:bCs w:val="0"/>
                      <w:color w:val="auto"/>
                      <w:sz w:val="21"/>
                      <w:szCs w:val="21"/>
                      <w:lang w:val="en-US" w:eastAsia="zh-CN"/>
                    </w:rPr>
                  </w:pPr>
                  <w:r>
                    <w:rPr>
                      <w:rFonts w:hint="eastAsia" w:cs="宋体"/>
                      <w:b w:val="0"/>
                      <w:bCs w:val="0"/>
                      <w:color w:val="auto"/>
                      <w:sz w:val="21"/>
                      <w:szCs w:val="21"/>
                      <w:lang w:val="en-US" w:eastAsia="zh-CN"/>
                    </w:rPr>
                    <w:t xml:space="preserve">35.33 </w:t>
                  </w:r>
                </w:p>
              </w:tc>
              <w:tc>
                <w:tcPr>
                  <w:tcW w:w="1198" w:type="dxa"/>
                  <w:vAlign w:val="center"/>
                </w:tcPr>
                <w:p w14:paraId="4D688EA7">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eastAsia="宋体" w:cs="宋体"/>
                      <w:b w:val="0"/>
                      <w:bCs w:val="0"/>
                      <w:color w:val="auto"/>
                      <w:sz w:val="21"/>
                      <w:szCs w:val="21"/>
                      <w:lang w:val="en-US" w:eastAsia="zh-CN"/>
                    </w:rPr>
                    <w:t>达标</w:t>
                  </w:r>
                </w:p>
              </w:tc>
            </w:tr>
            <w:tr w14:paraId="550E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14:paraId="21A87305">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b w:val="0"/>
                      <w:bCs w:val="0"/>
                      <w:color w:val="auto"/>
                      <w:sz w:val="21"/>
                      <w:szCs w:val="21"/>
                      <w:lang w:val="en-US" w:eastAsia="zh-CN"/>
                    </w:rPr>
                    <w:t>2022.10.19</w:t>
                  </w:r>
                </w:p>
              </w:tc>
              <w:tc>
                <w:tcPr>
                  <w:tcW w:w="1196" w:type="dxa"/>
                  <w:vMerge w:val="continue"/>
                  <w:vAlign w:val="center"/>
                </w:tcPr>
                <w:p w14:paraId="42C549EE">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p>
              </w:tc>
              <w:tc>
                <w:tcPr>
                  <w:tcW w:w="1197" w:type="dxa"/>
                  <w:vAlign w:val="center"/>
                </w:tcPr>
                <w:p w14:paraId="79EDB873">
                  <w:pPr>
                    <w:keepLines w:val="0"/>
                    <w:pageBreakBefore w:val="0"/>
                    <w:kinsoku/>
                    <w:wordWrap/>
                    <w:overflowPunct/>
                    <w:topLinePunct w:val="0"/>
                    <w:autoSpaceDE/>
                    <w:autoSpaceDN/>
                    <w:bidi w:val="0"/>
                    <w:adjustRightInd/>
                    <w:snapToGrid w:val="0"/>
                    <w:spacing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cs="宋体"/>
                      <w:b w:val="0"/>
                      <w:bCs w:val="0"/>
                      <w:color w:val="auto"/>
                      <w:sz w:val="21"/>
                      <w:szCs w:val="21"/>
                      <w:lang w:val="en-US" w:eastAsia="zh-CN"/>
                    </w:rPr>
                    <w:t>24h平</w:t>
                  </w:r>
                  <w:r>
                    <w:rPr>
                      <w:rFonts w:hint="eastAsia" w:ascii="Times New Roman" w:hAnsi="Times New Roman" w:eastAsia="宋体" w:cs="宋体"/>
                      <w:b w:val="0"/>
                      <w:bCs w:val="0"/>
                      <w:color w:val="auto"/>
                      <w:sz w:val="21"/>
                      <w:szCs w:val="21"/>
                      <w:lang w:val="en-US" w:eastAsia="zh-CN"/>
                    </w:rPr>
                    <w:t>均</w:t>
                  </w:r>
                </w:p>
              </w:tc>
              <w:tc>
                <w:tcPr>
                  <w:tcW w:w="1199" w:type="dxa"/>
                  <w:vAlign w:val="center"/>
                </w:tcPr>
                <w:p w14:paraId="06293571">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cs="宋体"/>
                      <w:b w:val="0"/>
                      <w:bCs w:val="0"/>
                      <w:color w:val="auto"/>
                      <w:sz w:val="21"/>
                      <w:szCs w:val="21"/>
                      <w:lang w:val="en-US" w:eastAsia="zh-CN"/>
                    </w:rPr>
                    <w:t>100</w:t>
                  </w:r>
                </w:p>
              </w:tc>
              <w:tc>
                <w:tcPr>
                  <w:tcW w:w="1199" w:type="dxa"/>
                  <w:vAlign w:val="center"/>
                </w:tcPr>
                <w:p w14:paraId="6F6981E1">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cs="宋体"/>
                      <w:b w:val="0"/>
                      <w:bCs w:val="0"/>
                      <w:color w:val="auto"/>
                      <w:sz w:val="21"/>
                      <w:szCs w:val="21"/>
                      <w:lang w:val="en-US" w:eastAsia="zh-CN"/>
                    </w:rPr>
                    <w:t>300</w:t>
                  </w:r>
                </w:p>
              </w:tc>
              <w:tc>
                <w:tcPr>
                  <w:tcW w:w="1198" w:type="dxa"/>
                  <w:vAlign w:val="center"/>
                </w:tcPr>
                <w:p w14:paraId="1474FE0B">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cs="宋体"/>
                      <w:b w:val="0"/>
                      <w:bCs w:val="0"/>
                      <w:color w:val="auto"/>
                      <w:sz w:val="21"/>
                      <w:szCs w:val="21"/>
                      <w:lang w:val="en-US" w:eastAsia="zh-CN"/>
                    </w:rPr>
                  </w:pPr>
                  <w:r>
                    <w:rPr>
                      <w:rFonts w:hint="eastAsia" w:cs="宋体"/>
                      <w:b w:val="0"/>
                      <w:bCs w:val="0"/>
                      <w:color w:val="auto"/>
                      <w:sz w:val="21"/>
                      <w:szCs w:val="21"/>
                      <w:lang w:val="en-US" w:eastAsia="zh-CN"/>
                    </w:rPr>
                    <w:t xml:space="preserve">33.33 </w:t>
                  </w:r>
                </w:p>
              </w:tc>
              <w:tc>
                <w:tcPr>
                  <w:tcW w:w="1198" w:type="dxa"/>
                  <w:vAlign w:val="center"/>
                </w:tcPr>
                <w:p w14:paraId="44D8B362">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eastAsia="宋体" w:cs="宋体"/>
                      <w:b w:val="0"/>
                      <w:bCs w:val="0"/>
                      <w:color w:val="auto"/>
                      <w:sz w:val="21"/>
                      <w:szCs w:val="21"/>
                      <w:lang w:val="en-US" w:eastAsia="zh-CN"/>
                    </w:rPr>
                    <w:t>达标</w:t>
                  </w:r>
                </w:p>
              </w:tc>
            </w:tr>
            <w:tr w14:paraId="100D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14:paraId="4808B13A">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b w:val="0"/>
                      <w:bCs w:val="0"/>
                      <w:color w:val="auto"/>
                      <w:sz w:val="21"/>
                      <w:szCs w:val="21"/>
                      <w:lang w:val="en-US" w:eastAsia="zh-CN"/>
                    </w:rPr>
                    <w:t>2022.10.20</w:t>
                  </w:r>
                </w:p>
              </w:tc>
              <w:tc>
                <w:tcPr>
                  <w:tcW w:w="1196" w:type="dxa"/>
                  <w:vMerge w:val="continue"/>
                  <w:vAlign w:val="center"/>
                </w:tcPr>
                <w:p w14:paraId="1FF891D9">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p>
              </w:tc>
              <w:tc>
                <w:tcPr>
                  <w:tcW w:w="1197" w:type="dxa"/>
                  <w:vAlign w:val="center"/>
                </w:tcPr>
                <w:p w14:paraId="2746D17B">
                  <w:pPr>
                    <w:keepLines w:val="0"/>
                    <w:pageBreakBefore w:val="0"/>
                    <w:kinsoku/>
                    <w:wordWrap/>
                    <w:overflowPunct/>
                    <w:topLinePunct w:val="0"/>
                    <w:autoSpaceDE/>
                    <w:autoSpaceDN/>
                    <w:bidi w:val="0"/>
                    <w:adjustRightInd/>
                    <w:snapToGrid w:val="0"/>
                    <w:spacing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cs="宋体"/>
                      <w:b w:val="0"/>
                      <w:bCs w:val="0"/>
                      <w:color w:val="auto"/>
                      <w:sz w:val="21"/>
                      <w:szCs w:val="21"/>
                      <w:lang w:val="en-US" w:eastAsia="zh-CN"/>
                    </w:rPr>
                    <w:t>24h平</w:t>
                  </w:r>
                  <w:r>
                    <w:rPr>
                      <w:rFonts w:hint="eastAsia" w:ascii="Times New Roman" w:hAnsi="Times New Roman" w:eastAsia="宋体" w:cs="宋体"/>
                      <w:b w:val="0"/>
                      <w:bCs w:val="0"/>
                      <w:color w:val="auto"/>
                      <w:sz w:val="21"/>
                      <w:szCs w:val="21"/>
                      <w:lang w:val="en-US" w:eastAsia="zh-CN"/>
                    </w:rPr>
                    <w:t>均</w:t>
                  </w:r>
                </w:p>
              </w:tc>
              <w:tc>
                <w:tcPr>
                  <w:tcW w:w="1199" w:type="dxa"/>
                  <w:vAlign w:val="center"/>
                </w:tcPr>
                <w:p w14:paraId="2B43A2EE">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cs="宋体"/>
                      <w:b w:val="0"/>
                      <w:bCs w:val="0"/>
                      <w:color w:val="auto"/>
                      <w:sz w:val="21"/>
                      <w:szCs w:val="21"/>
                      <w:lang w:val="en-US" w:eastAsia="zh-CN"/>
                    </w:rPr>
                    <w:t>103</w:t>
                  </w:r>
                </w:p>
              </w:tc>
              <w:tc>
                <w:tcPr>
                  <w:tcW w:w="1199" w:type="dxa"/>
                  <w:vAlign w:val="center"/>
                </w:tcPr>
                <w:p w14:paraId="19D4A8F8">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eastAsia" w:cs="宋体"/>
                      <w:b w:val="0"/>
                      <w:bCs w:val="0"/>
                      <w:color w:val="auto"/>
                      <w:sz w:val="21"/>
                      <w:szCs w:val="21"/>
                      <w:lang w:val="en-US" w:eastAsia="zh-CN"/>
                    </w:rPr>
                    <w:t>300</w:t>
                  </w:r>
                </w:p>
              </w:tc>
              <w:tc>
                <w:tcPr>
                  <w:tcW w:w="1198" w:type="dxa"/>
                  <w:vAlign w:val="center"/>
                </w:tcPr>
                <w:p w14:paraId="3FD61B98">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cs="宋体"/>
                      <w:b w:val="0"/>
                      <w:bCs w:val="0"/>
                      <w:color w:val="auto"/>
                      <w:sz w:val="21"/>
                      <w:szCs w:val="21"/>
                      <w:lang w:val="en-US" w:eastAsia="zh-CN"/>
                    </w:rPr>
                  </w:pPr>
                  <w:r>
                    <w:rPr>
                      <w:rFonts w:hint="eastAsia" w:cs="宋体"/>
                      <w:b w:val="0"/>
                      <w:bCs w:val="0"/>
                      <w:color w:val="auto"/>
                      <w:sz w:val="21"/>
                      <w:szCs w:val="21"/>
                      <w:lang w:val="en-US" w:eastAsia="zh-CN"/>
                    </w:rPr>
                    <w:t xml:space="preserve">34.33 </w:t>
                  </w:r>
                </w:p>
              </w:tc>
              <w:tc>
                <w:tcPr>
                  <w:tcW w:w="1198" w:type="dxa"/>
                  <w:vAlign w:val="center"/>
                </w:tcPr>
                <w:p w14:paraId="2D77C56E">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eastAsia="宋体" w:cs="宋体"/>
                      <w:b w:val="0"/>
                      <w:bCs w:val="0"/>
                      <w:color w:val="auto"/>
                      <w:sz w:val="21"/>
                      <w:szCs w:val="21"/>
                      <w:lang w:val="en-US" w:eastAsia="zh-CN"/>
                    </w:rPr>
                    <w:t>达标</w:t>
                  </w:r>
                </w:p>
              </w:tc>
            </w:tr>
            <w:tr w14:paraId="5BE8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shd w:val="clear" w:color="auto" w:fill="auto"/>
                  <w:vAlign w:val="center"/>
                </w:tcPr>
                <w:p w14:paraId="3C5BD01B">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b w:val="0"/>
                      <w:color w:val="auto"/>
                      <w:kern w:val="2"/>
                      <w:sz w:val="21"/>
                      <w:szCs w:val="21"/>
                      <w:highlight w:val="none"/>
                      <w:vertAlign w:val="baseline"/>
                      <w:lang w:val="en-US" w:eastAsia="zh-CN" w:bidi="ar-SA"/>
                    </w:rPr>
                  </w:pPr>
                  <w:r>
                    <w:rPr>
                      <w:rFonts w:hint="eastAsia"/>
                      <w:b w:val="0"/>
                      <w:bCs w:val="0"/>
                      <w:color w:val="auto"/>
                      <w:sz w:val="21"/>
                      <w:szCs w:val="21"/>
                      <w:lang w:val="en-US" w:eastAsia="zh-CN"/>
                    </w:rPr>
                    <w:t>2022.10.18</w:t>
                  </w:r>
                </w:p>
              </w:tc>
              <w:tc>
                <w:tcPr>
                  <w:tcW w:w="1196" w:type="dxa"/>
                  <w:vMerge w:val="restart"/>
                  <w:shd w:val="clear" w:color="auto" w:fill="auto"/>
                  <w:vAlign w:val="center"/>
                </w:tcPr>
                <w:p w14:paraId="0D091170">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氮氧化物</w:t>
                  </w:r>
                </w:p>
                <w:p w14:paraId="25A13CB4">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p>
              </w:tc>
              <w:tc>
                <w:tcPr>
                  <w:tcW w:w="1197" w:type="dxa"/>
                  <w:shd w:val="clear" w:color="auto" w:fill="auto"/>
                  <w:vAlign w:val="center"/>
                </w:tcPr>
                <w:p w14:paraId="2B1A1A93">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b w:val="0"/>
                      <w:color w:val="auto"/>
                      <w:kern w:val="2"/>
                      <w:sz w:val="21"/>
                      <w:szCs w:val="21"/>
                      <w:highlight w:val="none"/>
                      <w:vertAlign w:val="baseline"/>
                      <w:lang w:val="en-US" w:eastAsia="zh-CN" w:bidi="ar-SA"/>
                    </w:rPr>
                  </w:pPr>
                  <w:r>
                    <w:rPr>
                      <w:rFonts w:hint="eastAsia" w:cs="宋体"/>
                      <w:b w:val="0"/>
                      <w:bCs w:val="0"/>
                      <w:color w:val="auto"/>
                      <w:sz w:val="21"/>
                      <w:szCs w:val="21"/>
                      <w:lang w:val="en-US" w:eastAsia="zh-CN"/>
                    </w:rPr>
                    <w:t>1h平</w:t>
                  </w:r>
                  <w:r>
                    <w:rPr>
                      <w:rFonts w:hint="eastAsia" w:ascii="Times New Roman" w:hAnsi="Times New Roman" w:eastAsia="宋体" w:cs="宋体"/>
                      <w:b w:val="0"/>
                      <w:bCs w:val="0"/>
                      <w:color w:val="auto"/>
                      <w:sz w:val="21"/>
                      <w:szCs w:val="21"/>
                      <w:lang w:val="en-US" w:eastAsia="zh-CN"/>
                    </w:rPr>
                    <w:t>均</w:t>
                  </w:r>
                </w:p>
              </w:tc>
              <w:tc>
                <w:tcPr>
                  <w:tcW w:w="1199" w:type="dxa"/>
                  <w:shd w:val="clear" w:color="auto" w:fill="auto"/>
                  <w:vAlign w:val="center"/>
                </w:tcPr>
                <w:p w14:paraId="2383AC89">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vertAlign w:val="baseline"/>
                      <w:lang w:val="en-US" w:eastAsia="zh-CN" w:bidi="ar-SA"/>
                    </w:rPr>
                  </w:pPr>
                  <w:r>
                    <w:rPr>
                      <w:rFonts w:hint="eastAsia" w:cs="宋体"/>
                      <w:b w:val="0"/>
                      <w:bCs w:val="0"/>
                      <w:color w:val="auto"/>
                      <w:sz w:val="21"/>
                      <w:szCs w:val="21"/>
                      <w:lang w:val="en-US" w:eastAsia="zh-CN"/>
                    </w:rPr>
                    <w:t>51</w:t>
                  </w:r>
                </w:p>
              </w:tc>
              <w:tc>
                <w:tcPr>
                  <w:tcW w:w="1199" w:type="dxa"/>
                  <w:shd w:val="clear" w:color="auto" w:fill="auto"/>
                  <w:vAlign w:val="center"/>
                </w:tcPr>
                <w:p w14:paraId="3CF59E69">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b w:val="0"/>
                      <w:color w:val="auto"/>
                      <w:kern w:val="2"/>
                      <w:sz w:val="21"/>
                      <w:szCs w:val="21"/>
                      <w:highlight w:val="none"/>
                      <w:vertAlign w:val="baseline"/>
                      <w:lang w:val="en-US" w:eastAsia="zh-CN" w:bidi="ar-SA"/>
                    </w:rPr>
                  </w:pPr>
                  <w:r>
                    <w:rPr>
                      <w:rFonts w:hint="eastAsia" w:cs="宋体"/>
                      <w:b w:val="0"/>
                      <w:bCs w:val="0"/>
                      <w:color w:val="auto"/>
                      <w:sz w:val="21"/>
                      <w:szCs w:val="21"/>
                      <w:lang w:val="en-US" w:eastAsia="zh-CN"/>
                    </w:rPr>
                    <w:t>250</w:t>
                  </w:r>
                </w:p>
              </w:tc>
              <w:tc>
                <w:tcPr>
                  <w:tcW w:w="1198" w:type="dxa"/>
                  <w:shd w:val="clear" w:color="auto" w:fill="auto"/>
                  <w:vAlign w:val="center"/>
                </w:tcPr>
                <w:p w14:paraId="7102AD4D">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cs="宋体"/>
                      <w:b w:val="0"/>
                      <w:bCs w:val="0"/>
                      <w:color w:val="auto"/>
                      <w:sz w:val="21"/>
                      <w:szCs w:val="21"/>
                      <w:lang w:val="en-US" w:eastAsia="zh-CN"/>
                    </w:rPr>
                  </w:pPr>
                  <w:r>
                    <w:rPr>
                      <w:rFonts w:hint="eastAsia" w:cs="宋体"/>
                      <w:b w:val="0"/>
                      <w:bCs w:val="0"/>
                      <w:color w:val="auto"/>
                      <w:sz w:val="21"/>
                      <w:szCs w:val="21"/>
                      <w:lang w:val="en-US" w:eastAsia="zh-CN"/>
                    </w:rPr>
                    <w:t xml:space="preserve">20.40 </w:t>
                  </w:r>
                </w:p>
              </w:tc>
              <w:tc>
                <w:tcPr>
                  <w:tcW w:w="1198" w:type="dxa"/>
                  <w:shd w:val="clear" w:color="auto" w:fill="auto"/>
                  <w:vAlign w:val="center"/>
                </w:tcPr>
                <w:p w14:paraId="49ABB876">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b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lang w:val="en-US" w:eastAsia="zh-CN"/>
                    </w:rPr>
                    <w:t>达标</w:t>
                  </w:r>
                </w:p>
              </w:tc>
            </w:tr>
            <w:tr w14:paraId="6870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shd w:val="clear" w:color="auto" w:fill="auto"/>
                  <w:vAlign w:val="center"/>
                </w:tcPr>
                <w:p w14:paraId="365F616D">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b w:val="0"/>
                      <w:color w:val="auto"/>
                      <w:kern w:val="2"/>
                      <w:sz w:val="21"/>
                      <w:szCs w:val="21"/>
                      <w:highlight w:val="none"/>
                      <w:vertAlign w:val="baseline"/>
                      <w:lang w:val="en-US" w:eastAsia="zh-CN" w:bidi="ar-SA"/>
                    </w:rPr>
                  </w:pPr>
                  <w:r>
                    <w:rPr>
                      <w:rFonts w:hint="eastAsia"/>
                      <w:b w:val="0"/>
                      <w:bCs w:val="0"/>
                      <w:color w:val="auto"/>
                      <w:sz w:val="21"/>
                      <w:szCs w:val="21"/>
                      <w:lang w:val="en-US" w:eastAsia="zh-CN"/>
                    </w:rPr>
                    <w:t>2022.10.19</w:t>
                  </w:r>
                </w:p>
              </w:tc>
              <w:tc>
                <w:tcPr>
                  <w:tcW w:w="1196" w:type="dxa"/>
                  <w:vMerge w:val="continue"/>
                  <w:vAlign w:val="center"/>
                </w:tcPr>
                <w:p w14:paraId="30606AF6">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p>
              </w:tc>
              <w:tc>
                <w:tcPr>
                  <w:tcW w:w="1197" w:type="dxa"/>
                  <w:shd w:val="clear" w:color="auto" w:fill="auto"/>
                  <w:vAlign w:val="center"/>
                </w:tcPr>
                <w:p w14:paraId="15AE7029">
                  <w:pPr>
                    <w:keepLines w:val="0"/>
                    <w:pageBreakBefore w:val="0"/>
                    <w:kinsoku/>
                    <w:wordWrap/>
                    <w:overflowPunct/>
                    <w:topLinePunct w:val="0"/>
                    <w:autoSpaceDE/>
                    <w:autoSpaceDN/>
                    <w:bidi w:val="0"/>
                    <w:adjustRightInd/>
                    <w:snapToGrid w:val="0"/>
                    <w:spacing w:after="0"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宋体"/>
                      <w:b w:val="0"/>
                      <w:bCs w:val="0"/>
                      <w:color w:val="auto"/>
                      <w:sz w:val="21"/>
                      <w:szCs w:val="21"/>
                      <w:lang w:val="en-US" w:eastAsia="zh-CN"/>
                    </w:rPr>
                    <w:t>1h平</w:t>
                  </w:r>
                  <w:r>
                    <w:rPr>
                      <w:rFonts w:hint="eastAsia" w:ascii="Times New Roman" w:hAnsi="Times New Roman" w:eastAsia="宋体" w:cs="宋体"/>
                      <w:b w:val="0"/>
                      <w:bCs w:val="0"/>
                      <w:color w:val="auto"/>
                      <w:sz w:val="21"/>
                      <w:szCs w:val="21"/>
                      <w:lang w:val="en-US" w:eastAsia="zh-CN"/>
                    </w:rPr>
                    <w:t>均</w:t>
                  </w:r>
                </w:p>
              </w:tc>
              <w:tc>
                <w:tcPr>
                  <w:tcW w:w="1199" w:type="dxa"/>
                  <w:shd w:val="clear" w:color="auto" w:fill="auto"/>
                  <w:vAlign w:val="center"/>
                </w:tcPr>
                <w:p w14:paraId="414492F5">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vertAlign w:val="baseline"/>
                      <w:lang w:val="en-US" w:eastAsia="zh-CN" w:bidi="ar-SA"/>
                    </w:rPr>
                  </w:pPr>
                  <w:r>
                    <w:rPr>
                      <w:rFonts w:hint="eastAsia" w:cs="宋体"/>
                      <w:b w:val="0"/>
                      <w:bCs w:val="0"/>
                      <w:color w:val="auto"/>
                      <w:sz w:val="21"/>
                      <w:szCs w:val="21"/>
                      <w:lang w:val="en-US" w:eastAsia="zh-CN"/>
                    </w:rPr>
                    <w:t>53</w:t>
                  </w:r>
                </w:p>
              </w:tc>
              <w:tc>
                <w:tcPr>
                  <w:tcW w:w="1199" w:type="dxa"/>
                  <w:shd w:val="clear" w:color="auto" w:fill="auto"/>
                  <w:vAlign w:val="center"/>
                </w:tcPr>
                <w:p w14:paraId="6FFE40D5">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宋体"/>
                      <w:b w:val="0"/>
                      <w:bCs w:val="0"/>
                      <w:color w:val="auto"/>
                      <w:sz w:val="21"/>
                      <w:szCs w:val="21"/>
                      <w:lang w:val="en-US" w:eastAsia="zh-CN"/>
                    </w:rPr>
                    <w:t>250</w:t>
                  </w:r>
                </w:p>
              </w:tc>
              <w:tc>
                <w:tcPr>
                  <w:tcW w:w="1198" w:type="dxa"/>
                  <w:shd w:val="clear" w:color="auto" w:fill="auto"/>
                  <w:vAlign w:val="center"/>
                </w:tcPr>
                <w:p w14:paraId="41139CDD">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cs="宋体"/>
                      <w:b w:val="0"/>
                      <w:bCs w:val="0"/>
                      <w:color w:val="auto"/>
                      <w:sz w:val="21"/>
                      <w:szCs w:val="21"/>
                      <w:lang w:val="en-US" w:eastAsia="zh-CN"/>
                    </w:rPr>
                  </w:pPr>
                  <w:r>
                    <w:rPr>
                      <w:rFonts w:hint="eastAsia" w:cs="宋体"/>
                      <w:b w:val="0"/>
                      <w:bCs w:val="0"/>
                      <w:color w:val="auto"/>
                      <w:sz w:val="21"/>
                      <w:szCs w:val="21"/>
                      <w:lang w:val="en-US" w:eastAsia="zh-CN"/>
                    </w:rPr>
                    <w:t xml:space="preserve">21.20 </w:t>
                  </w:r>
                </w:p>
              </w:tc>
              <w:tc>
                <w:tcPr>
                  <w:tcW w:w="1198" w:type="dxa"/>
                  <w:shd w:val="clear" w:color="auto" w:fill="auto"/>
                  <w:vAlign w:val="center"/>
                </w:tcPr>
                <w:p w14:paraId="3AD105B9">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b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lang w:val="en-US" w:eastAsia="zh-CN"/>
                    </w:rPr>
                    <w:t>达标</w:t>
                  </w:r>
                </w:p>
              </w:tc>
            </w:tr>
            <w:tr w14:paraId="799E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shd w:val="clear" w:color="auto" w:fill="auto"/>
                  <w:vAlign w:val="center"/>
                </w:tcPr>
                <w:p w14:paraId="195B6B0E">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b w:val="0"/>
                      <w:color w:val="auto"/>
                      <w:kern w:val="2"/>
                      <w:sz w:val="21"/>
                      <w:szCs w:val="21"/>
                      <w:highlight w:val="none"/>
                      <w:vertAlign w:val="baseline"/>
                      <w:lang w:val="en-US" w:eastAsia="zh-CN" w:bidi="ar-SA"/>
                    </w:rPr>
                  </w:pPr>
                  <w:r>
                    <w:rPr>
                      <w:rFonts w:hint="eastAsia"/>
                      <w:b w:val="0"/>
                      <w:bCs w:val="0"/>
                      <w:color w:val="auto"/>
                      <w:sz w:val="21"/>
                      <w:szCs w:val="21"/>
                      <w:lang w:val="en-US" w:eastAsia="zh-CN"/>
                    </w:rPr>
                    <w:t>2022.10.20</w:t>
                  </w:r>
                </w:p>
              </w:tc>
              <w:tc>
                <w:tcPr>
                  <w:tcW w:w="1196" w:type="dxa"/>
                  <w:vMerge w:val="continue"/>
                  <w:vAlign w:val="center"/>
                </w:tcPr>
                <w:p w14:paraId="02DE862F">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cs="Times New Roman"/>
                      <w:color w:val="auto"/>
                      <w:sz w:val="21"/>
                      <w:szCs w:val="21"/>
                      <w:highlight w:val="none"/>
                      <w:vertAlign w:val="baseline"/>
                    </w:rPr>
                  </w:pPr>
                </w:p>
              </w:tc>
              <w:tc>
                <w:tcPr>
                  <w:tcW w:w="1197" w:type="dxa"/>
                  <w:shd w:val="clear" w:color="auto" w:fill="auto"/>
                  <w:vAlign w:val="center"/>
                </w:tcPr>
                <w:p w14:paraId="536AFB6D">
                  <w:pPr>
                    <w:keepLines w:val="0"/>
                    <w:pageBreakBefore w:val="0"/>
                    <w:kinsoku/>
                    <w:wordWrap/>
                    <w:overflowPunct/>
                    <w:topLinePunct w:val="0"/>
                    <w:autoSpaceDE/>
                    <w:autoSpaceDN/>
                    <w:bidi w:val="0"/>
                    <w:adjustRightInd/>
                    <w:snapToGrid w:val="0"/>
                    <w:spacing w:after="0"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宋体"/>
                      <w:b w:val="0"/>
                      <w:bCs w:val="0"/>
                      <w:color w:val="auto"/>
                      <w:sz w:val="21"/>
                      <w:szCs w:val="21"/>
                      <w:lang w:val="en-US" w:eastAsia="zh-CN"/>
                    </w:rPr>
                    <w:t>1h平</w:t>
                  </w:r>
                  <w:r>
                    <w:rPr>
                      <w:rFonts w:hint="eastAsia" w:ascii="Times New Roman" w:hAnsi="Times New Roman" w:eastAsia="宋体" w:cs="宋体"/>
                      <w:b w:val="0"/>
                      <w:bCs w:val="0"/>
                      <w:color w:val="auto"/>
                      <w:sz w:val="21"/>
                      <w:szCs w:val="21"/>
                      <w:lang w:val="en-US" w:eastAsia="zh-CN"/>
                    </w:rPr>
                    <w:t>均</w:t>
                  </w:r>
                </w:p>
              </w:tc>
              <w:tc>
                <w:tcPr>
                  <w:tcW w:w="1199" w:type="dxa"/>
                  <w:shd w:val="clear" w:color="auto" w:fill="auto"/>
                  <w:vAlign w:val="center"/>
                </w:tcPr>
                <w:p w14:paraId="2DCFBD8C">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vertAlign w:val="baseline"/>
                      <w:lang w:val="en-US" w:eastAsia="zh-CN" w:bidi="ar-SA"/>
                    </w:rPr>
                  </w:pPr>
                  <w:r>
                    <w:rPr>
                      <w:rFonts w:hint="eastAsia" w:cs="宋体"/>
                      <w:b w:val="0"/>
                      <w:bCs w:val="0"/>
                      <w:color w:val="auto"/>
                      <w:sz w:val="21"/>
                      <w:szCs w:val="21"/>
                      <w:lang w:val="en-US" w:eastAsia="zh-CN"/>
                    </w:rPr>
                    <w:t>54</w:t>
                  </w:r>
                </w:p>
              </w:tc>
              <w:tc>
                <w:tcPr>
                  <w:tcW w:w="1199" w:type="dxa"/>
                  <w:shd w:val="clear" w:color="auto" w:fill="auto"/>
                  <w:vAlign w:val="center"/>
                </w:tcPr>
                <w:p w14:paraId="777A4A24">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宋体"/>
                      <w:b w:val="0"/>
                      <w:bCs w:val="0"/>
                      <w:color w:val="auto"/>
                      <w:sz w:val="21"/>
                      <w:szCs w:val="21"/>
                      <w:lang w:val="en-US" w:eastAsia="zh-CN"/>
                    </w:rPr>
                    <w:t>250</w:t>
                  </w:r>
                </w:p>
              </w:tc>
              <w:tc>
                <w:tcPr>
                  <w:tcW w:w="1198" w:type="dxa"/>
                  <w:shd w:val="clear" w:color="auto" w:fill="auto"/>
                  <w:vAlign w:val="center"/>
                </w:tcPr>
                <w:p w14:paraId="09F3E2DF">
                  <w:pPr>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cs="宋体"/>
                      <w:b w:val="0"/>
                      <w:bCs w:val="0"/>
                      <w:color w:val="auto"/>
                      <w:sz w:val="21"/>
                      <w:szCs w:val="21"/>
                      <w:lang w:val="en-US" w:eastAsia="zh-CN"/>
                    </w:rPr>
                  </w:pPr>
                  <w:r>
                    <w:rPr>
                      <w:rFonts w:hint="eastAsia" w:cs="宋体"/>
                      <w:b w:val="0"/>
                      <w:bCs w:val="0"/>
                      <w:color w:val="auto"/>
                      <w:sz w:val="21"/>
                      <w:szCs w:val="21"/>
                      <w:lang w:val="en-US" w:eastAsia="zh-CN"/>
                    </w:rPr>
                    <w:t xml:space="preserve">21.60 </w:t>
                  </w:r>
                </w:p>
              </w:tc>
              <w:tc>
                <w:tcPr>
                  <w:tcW w:w="1198" w:type="dxa"/>
                  <w:shd w:val="clear" w:color="auto" w:fill="auto"/>
                  <w:vAlign w:val="center"/>
                </w:tcPr>
                <w:p w14:paraId="6B1EB909">
                  <w:pPr>
                    <w:pStyle w:val="139"/>
                    <w:keepLines w:val="0"/>
                    <w:pageBreakBefore w:val="0"/>
                    <w:kinsoku/>
                    <w:wordWrap/>
                    <w:overflowPunct/>
                    <w:topLinePunct w:val="0"/>
                    <w:autoSpaceDE/>
                    <w:autoSpaceDN/>
                    <w:bidi w:val="0"/>
                    <w:adjustRightInd/>
                    <w:snapToGrid w:val="0"/>
                    <w:spacing w:before="0" w:beforeLines="0" w:after="0" w:line="240" w:lineRule="auto"/>
                    <w:ind w:firstLine="0" w:firstLineChars="0"/>
                    <w:jc w:val="center"/>
                    <w:textAlignment w:val="auto"/>
                    <w:rPr>
                      <w:rFonts w:hint="eastAsia" w:ascii="Times New Roman" w:hAnsi="Times New Roman" w:eastAsia="宋体" w:cs="Times New Roman"/>
                      <w:b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lang w:val="en-US" w:eastAsia="zh-CN"/>
                    </w:rPr>
                    <w:t>达标</w:t>
                  </w:r>
                </w:p>
              </w:tc>
            </w:tr>
          </w:tbl>
          <w:p w14:paraId="73A5FCE6">
            <w:pPr>
              <w:pStyle w:val="124"/>
              <w:bidi w:val="0"/>
              <w:rPr>
                <w:rFonts w:hint="eastAsia" w:cs="Times New Roman"/>
                <w:b w:val="0"/>
                <w:bCs w:val="0"/>
                <w:color w:val="auto"/>
                <w:sz w:val="24"/>
                <w:szCs w:val="24"/>
                <w:lang w:val="en-US" w:eastAsia="zh-CN"/>
              </w:rPr>
            </w:pPr>
            <w:r>
              <w:rPr>
                <w:rFonts w:hint="eastAsia" w:ascii="Times New Roman" w:hAnsi="Times New Roman" w:cs="Times New Roman"/>
                <w:color w:val="auto"/>
                <w:sz w:val="24"/>
                <w:highlight w:val="none"/>
              </w:rPr>
              <w:t>由上表可知</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评价区域内</w:t>
            </w:r>
            <w:r>
              <w:rPr>
                <w:rFonts w:hint="eastAsia" w:cs="Times New Roman"/>
                <w:color w:val="auto"/>
                <w:sz w:val="24"/>
                <w:highlight w:val="none"/>
                <w:lang w:val="en-US" w:eastAsia="zh-CN"/>
              </w:rPr>
              <w:t>TSP和氮氧化物满足</w:t>
            </w:r>
            <w:r>
              <w:rPr>
                <w:rFonts w:hint="eastAsia"/>
                <w:color w:val="auto"/>
                <w:highlight w:val="none"/>
              </w:rPr>
              <w:t>《环境影响评价技术导则</w:t>
            </w:r>
            <w:r>
              <w:rPr>
                <w:rFonts w:hint="eastAsia"/>
                <w:color w:val="auto"/>
                <w:highlight w:val="none"/>
                <w:lang w:val="en-US" w:eastAsia="zh-CN"/>
              </w:rPr>
              <w:t xml:space="preserve"> </w:t>
            </w:r>
            <w:r>
              <w:rPr>
                <w:rFonts w:hint="eastAsia"/>
                <w:color w:val="auto"/>
                <w:highlight w:val="none"/>
              </w:rPr>
              <w:t>大气环境》（HJ2.2-2018）附录D中</w:t>
            </w:r>
            <w:r>
              <w:rPr>
                <w:rFonts w:hint="eastAsia"/>
                <w:color w:val="auto"/>
                <w:highlight w:val="none"/>
                <w:lang w:val="en-US" w:eastAsia="zh-CN"/>
              </w:rPr>
              <w:t>其他污染物</w:t>
            </w:r>
            <w:r>
              <w:rPr>
                <w:rFonts w:hint="eastAsia"/>
                <w:color w:val="auto"/>
                <w:highlight w:val="none"/>
              </w:rPr>
              <w:t>空气质量浓度参考限值</w:t>
            </w:r>
            <w:r>
              <w:rPr>
                <w:color w:val="auto"/>
                <w:highlight w:val="none"/>
              </w:rPr>
              <w:t>要求</w:t>
            </w:r>
            <w:r>
              <w:rPr>
                <w:rFonts w:hint="eastAsia" w:ascii="Times New Roman" w:hAnsi="Times New Roman" w:cs="Times New Roman"/>
                <w:color w:val="auto"/>
                <w:sz w:val="24"/>
                <w:highlight w:val="none"/>
              </w:rPr>
              <w:t>。</w:t>
            </w:r>
          </w:p>
          <w:p w14:paraId="697E5A75">
            <w:pPr>
              <w:pStyle w:val="124"/>
              <w:bidi w:val="0"/>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影响报告表编制技术指南》（污染影响类）（试行）中区域环境质量现状相关内容，同时根据“全国环评技术评估服务咨询平台（生态环境部评估中心主办）”关于“《建设项目环境影响报告表》内容、格式及编制技术指南常见问题解答”中关于报告表大气特征污染物现状监测的解释：“对《环境空气质量标准》（GB3095-2012）和项目所在地的环境空气质量标准之外的特征污染物无需提供现状监测数据”，本项目</w:t>
            </w:r>
            <w:r>
              <w:rPr>
                <w:rFonts w:hint="eastAsia" w:ascii="Times New Roman" w:hAnsi="Times New Roman" w:eastAsia="宋体" w:cs="Times New Roman"/>
                <w:color w:val="auto"/>
                <w:lang w:val="en-US" w:eastAsia="zh-CN"/>
              </w:rPr>
              <w:t>剩余</w:t>
            </w:r>
            <w:r>
              <w:rPr>
                <w:rFonts w:hint="default" w:ascii="Times New Roman" w:hAnsi="Times New Roman" w:eastAsia="宋体" w:cs="Times New Roman"/>
                <w:color w:val="auto"/>
              </w:rPr>
              <w:t>特征污染物为硫化氢</w:t>
            </w:r>
            <w:r>
              <w:rPr>
                <w:rFonts w:hint="eastAsia" w:cs="Times New Roman"/>
                <w:color w:val="auto"/>
                <w:lang w:val="en-US" w:eastAsia="zh-CN"/>
              </w:rPr>
              <w:t>和</w:t>
            </w:r>
            <w:r>
              <w:rPr>
                <w:rFonts w:hint="default" w:ascii="Times New Roman" w:hAnsi="Times New Roman" w:eastAsia="宋体" w:cs="Times New Roman"/>
                <w:color w:val="auto"/>
              </w:rPr>
              <w:t>氨，在《环境空气质量标准》（GB3095-2012）及江西省现状地方环境空气质量标准中没有标准限值要求，因此本次评价不对其进行现状监测。</w:t>
            </w:r>
          </w:p>
          <w:p w14:paraId="7B3E43B2">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color w:val="auto"/>
                <w:sz w:val="24"/>
                <w:highlight w:val="none"/>
              </w:rPr>
              <w:t>综上可知本项目所在区域属于达标区域</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区域环境质量总体较好。</w:t>
            </w:r>
          </w:p>
          <w:p w14:paraId="26E10242">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（二）地表水环境</w:t>
            </w:r>
          </w:p>
          <w:p w14:paraId="1881260E">
            <w:pPr>
              <w:pStyle w:val="124"/>
              <w:bidi w:val="0"/>
              <w:rPr>
                <w:rFonts w:hint="eastAsia" w:ascii="Times New Roman" w:hAnsi="Times New Roman" w:eastAsia="宋体" w:cs="Times New Roman"/>
                <w:color w:val="auto"/>
              </w:rPr>
            </w:pPr>
            <w:r>
              <w:rPr>
                <w:rFonts w:hint="default" w:ascii="Times New Roman" w:hAnsi="Times New Roman" w:eastAsia="宋体" w:cs="Times New Roman"/>
                <w:b w:val="0"/>
                <w:bCs w:val="0"/>
                <w:color w:val="auto"/>
                <w:kern w:val="2"/>
                <w:sz w:val="24"/>
                <w:szCs w:val="24"/>
                <w:highlight w:val="none"/>
                <w:lang w:val="en-US" w:eastAsia="zh-CN" w:bidi="ar-SA"/>
              </w:rPr>
              <w:t>本项目</w:t>
            </w:r>
            <w:r>
              <w:rPr>
                <w:rFonts w:hint="eastAsia"/>
                <w:color w:val="auto"/>
                <w:sz w:val="24"/>
              </w:rPr>
              <w:t>周边地表水受纳水体为</w:t>
            </w:r>
            <w:r>
              <w:rPr>
                <w:rFonts w:hint="eastAsia"/>
                <w:color w:val="auto"/>
                <w:sz w:val="24"/>
                <w:lang w:eastAsia="zh-CN"/>
              </w:rPr>
              <w:t>赣江</w:t>
            </w:r>
            <w:r>
              <w:rPr>
                <w:rFonts w:hint="default" w:ascii="Times New Roman" w:hAnsi="Times New Roman" w:eastAsia="宋体" w:cs="Times New Roman"/>
                <w:color w:val="auto"/>
                <w:lang w:val="en-US" w:eastAsia="zh-CN"/>
              </w:rPr>
              <w:t>，根据</w:t>
            </w:r>
            <w:r>
              <w:rPr>
                <w:rFonts w:hint="eastAsia" w:cs="Times New Roman"/>
                <w:color w:val="auto"/>
                <w:lang w:val="en-US" w:eastAsia="zh-CN"/>
              </w:rPr>
              <w:t>赣州</w:t>
            </w:r>
            <w:r>
              <w:rPr>
                <w:rFonts w:hint="default" w:ascii="Times New Roman" w:hAnsi="Times New Roman" w:eastAsia="宋体" w:cs="Times New Roman"/>
                <w:color w:val="auto"/>
                <w:lang w:val="en-US" w:eastAsia="zh-CN"/>
              </w:rPr>
              <w:t>市</w:t>
            </w:r>
            <w:r>
              <w:rPr>
                <w:rFonts w:hint="eastAsia" w:cs="Times New Roman"/>
                <w:color w:val="auto"/>
                <w:lang w:val="en-US" w:eastAsia="zh-CN"/>
              </w:rPr>
              <w:t>人民政府</w:t>
            </w:r>
            <w:r>
              <w:rPr>
                <w:rFonts w:hint="default" w:ascii="Times New Roman" w:hAnsi="Times New Roman" w:eastAsia="宋体" w:cs="Times New Roman"/>
                <w:color w:val="auto"/>
                <w:lang w:val="en-US" w:eastAsia="zh-CN"/>
              </w:rPr>
              <w:t>公布的《20</w:t>
            </w:r>
            <w:r>
              <w:rPr>
                <w:rFonts w:hint="eastAsia" w:cs="Times New Roman"/>
                <w:color w:val="auto"/>
                <w:lang w:val="en-US" w:eastAsia="zh-CN"/>
              </w:rPr>
              <w:t>23</w:t>
            </w:r>
            <w:r>
              <w:rPr>
                <w:rFonts w:hint="default" w:ascii="Times New Roman" w:hAnsi="Times New Roman" w:eastAsia="宋体" w:cs="Times New Roman"/>
                <w:color w:val="auto"/>
                <w:lang w:val="en-US" w:eastAsia="zh-CN"/>
              </w:rPr>
              <w:t>年赣州市环境质量年报》可知，</w:t>
            </w:r>
            <w:r>
              <w:rPr>
                <w:rFonts w:hint="eastAsia" w:cs="Times New Roman"/>
                <w:color w:val="auto"/>
                <w:lang w:val="en-US" w:eastAsia="zh-CN"/>
              </w:rPr>
              <w:t>赣州</w:t>
            </w:r>
            <w:r>
              <w:rPr>
                <w:rFonts w:hint="default" w:ascii="Times New Roman" w:hAnsi="Times New Roman" w:eastAsia="宋体" w:cs="Times New Roman"/>
                <w:color w:val="auto"/>
                <w:lang w:val="en-US" w:eastAsia="zh-CN"/>
              </w:rPr>
              <w:t>市全市</w:t>
            </w:r>
            <w:r>
              <w:rPr>
                <w:rFonts w:hint="eastAsia" w:cs="Times New Roman"/>
                <w:color w:val="auto"/>
                <w:lang w:val="en-US" w:eastAsia="zh-CN"/>
              </w:rPr>
              <w:t>73</w:t>
            </w:r>
            <w:r>
              <w:rPr>
                <w:rFonts w:hint="default" w:ascii="Times New Roman" w:hAnsi="Times New Roman" w:eastAsia="宋体" w:cs="Times New Roman"/>
                <w:color w:val="auto"/>
                <w:lang w:val="en-US" w:eastAsia="zh-CN"/>
              </w:rPr>
              <w:t>个地表水重点河流断面水质优良率</w:t>
            </w:r>
            <w:r>
              <w:rPr>
                <w:rFonts w:hint="default" w:ascii="Times New Roman" w:hAnsi="Times New Roman" w:eastAsia="宋体" w:cs="Times New Roman"/>
                <w:color w:val="auto"/>
                <w:highlight w:val="none"/>
                <w:lang w:val="en-US" w:eastAsia="zh-CN"/>
              </w:rPr>
              <w:t>（Ⅰ~Ⅲ类）</w:t>
            </w:r>
            <w:r>
              <w:rPr>
                <w:rFonts w:hint="default" w:ascii="Times New Roman" w:hAnsi="Times New Roman" w:eastAsia="宋体" w:cs="Times New Roman"/>
                <w:color w:val="auto"/>
                <w:lang w:val="en-US" w:eastAsia="zh-CN"/>
              </w:rPr>
              <w:t>为</w:t>
            </w:r>
            <w:r>
              <w:rPr>
                <w:rFonts w:hint="eastAsia" w:cs="Times New Roman"/>
                <w:color w:val="auto"/>
                <w:lang w:val="en-US" w:eastAsia="zh-CN"/>
              </w:rPr>
              <w:t>100</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rPr>
              <w:t>省控断面</w:t>
            </w:r>
            <w:r>
              <w:rPr>
                <w:rFonts w:hint="eastAsia" w:ascii="Times New Roman" w:hAnsi="Times New Roman" w:eastAsia="宋体" w:cs="Times New Roman"/>
                <w:color w:val="auto"/>
                <w:lang w:eastAsia="zh-CN"/>
              </w:rPr>
              <w:t>“</w:t>
            </w:r>
            <w:r>
              <w:rPr>
                <w:rFonts w:hint="eastAsia" w:cs="Times New Roman"/>
                <w:color w:val="auto"/>
                <w:lang w:val="en-US" w:eastAsia="zh-CN"/>
              </w:rPr>
              <w:t>瑞金青山背</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水质</w:t>
            </w:r>
            <w:r>
              <w:rPr>
                <w:rFonts w:hint="eastAsia" w:ascii="Times New Roman" w:hAnsi="Times New Roman" w:cs="Times New Roman"/>
                <w:color w:val="auto"/>
                <w:lang w:eastAsia="zh-CN"/>
              </w:rPr>
              <w:t>类别达到</w:t>
            </w:r>
            <w:r>
              <w:rPr>
                <w:rFonts w:hint="default" w:ascii="Times New Roman" w:hAnsi="Times New Roman" w:eastAsia="宋体" w:cs="Times New Roman"/>
                <w:color w:val="auto"/>
                <w:lang w:eastAsia="zh-CN"/>
              </w:rPr>
              <w:t>Ⅱ</w:t>
            </w:r>
            <w:r>
              <w:rPr>
                <w:rFonts w:hint="eastAsia" w:ascii="Times New Roman" w:hAnsi="Times New Roman" w:cs="Times New Roman"/>
                <w:color w:val="auto"/>
                <w:lang w:eastAsia="zh-CN"/>
              </w:rPr>
              <w:t>类</w:t>
            </w:r>
            <w:r>
              <w:rPr>
                <w:rFonts w:hint="eastAsia"/>
                <w:color w:val="auto"/>
                <w:highlight w:val="none"/>
                <w:lang w:val="en-US" w:eastAsia="zh-CN"/>
              </w:rPr>
              <w:t>，</w:t>
            </w:r>
            <w:r>
              <w:rPr>
                <w:rFonts w:hint="eastAsia" w:ascii="Times New Roman" w:hAnsi="Times New Roman" w:eastAsia="宋体" w:cs="Times New Roman"/>
                <w:color w:val="auto"/>
              </w:rPr>
              <w:t>水质满足《地表水环境质量标准》（GB3838-2002）中</w:t>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3 \* ROMAN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III</w:t>
            </w:r>
            <w:r>
              <w:rPr>
                <w:rFonts w:hint="default"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rPr>
              <w:t>类水体标准</w:t>
            </w:r>
            <w:r>
              <w:rPr>
                <w:rFonts w:hint="eastAsia"/>
                <w:color w:val="auto"/>
                <w:highlight w:val="none"/>
                <w:lang w:val="en-US" w:eastAsia="zh-CN"/>
              </w:rPr>
              <w:t>。因此，本项目区域地表水环境质量良好。</w:t>
            </w:r>
          </w:p>
          <w:p w14:paraId="4198F487">
            <w:pPr>
              <w:keepNext w:val="0"/>
              <w:keepLines w:val="0"/>
              <w:pageBreakBefore w:val="0"/>
              <w:tabs>
                <w:tab w:val="center" w:pos="4738"/>
              </w:tabs>
              <w:kinsoku/>
              <w:wordWrap/>
              <w:overflowPunct/>
              <w:topLinePunct w:val="0"/>
              <w:autoSpaceDN/>
              <w:bidi w:val="0"/>
              <w:adjustRightInd/>
              <w:snapToGrid/>
              <w:spacing w:beforeAutospacing="0" w:afterAutospacing="0" w:line="360" w:lineRule="auto"/>
              <w:ind w:firstLine="482" w:firstLineChars="200"/>
              <w:jc w:val="both"/>
              <w:textAlignment w:val="auto"/>
              <w:rPr>
                <w:rFonts w:hint="default"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eastAsia="zh-CN"/>
              </w:rPr>
              <w:t>（</w:t>
            </w:r>
            <w:r>
              <w:rPr>
                <w:rFonts w:hint="eastAsia" w:ascii="Times New Roman" w:hAnsi="Times New Roman" w:eastAsia="宋体" w:cs="Times New Roman"/>
                <w:b/>
                <w:bCs w:val="0"/>
                <w:color w:val="auto"/>
                <w:sz w:val="24"/>
                <w:szCs w:val="24"/>
                <w:highlight w:val="none"/>
                <w:lang w:val="en-US" w:eastAsia="zh-CN"/>
              </w:rPr>
              <w:t>三</w:t>
            </w:r>
            <w:r>
              <w:rPr>
                <w:rFonts w:hint="eastAsia"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rPr>
              <w:t>声环境</w:t>
            </w:r>
          </w:p>
          <w:p w14:paraId="6A6B3662">
            <w:pPr>
              <w:pStyle w:val="10"/>
              <w:bidi w:val="0"/>
              <w:rPr>
                <w:rFonts w:hint="default"/>
                <w:color w:val="auto"/>
                <w:highlight w:val="none"/>
              </w:rPr>
            </w:pPr>
            <w:r>
              <w:rPr>
                <w:rFonts w:hint="default"/>
                <w:color w:val="auto"/>
                <w:highlight w:val="none"/>
              </w:rPr>
              <w:t>根据现场踏勘，本项目厂界外周边50</w:t>
            </w:r>
            <w:r>
              <w:rPr>
                <w:rFonts w:hint="default"/>
                <w:color w:val="auto"/>
                <w:highlight w:val="none"/>
                <w:lang w:val="en-US" w:eastAsia="zh-Hans"/>
              </w:rPr>
              <w:t>m</w:t>
            </w:r>
            <w:r>
              <w:rPr>
                <w:rFonts w:hint="default"/>
                <w:color w:val="auto"/>
                <w:highlight w:val="none"/>
              </w:rPr>
              <w:t>范围内不存在声环境保护目标，因此不需要进行声环境质量现状监测。</w:t>
            </w:r>
          </w:p>
          <w:p w14:paraId="0874D0CF">
            <w:pPr>
              <w:pStyle w:val="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（四）地下水环境</w:t>
            </w:r>
          </w:p>
          <w:p w14:paraId="3B5291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SA"/>
              </w:rPr>
              <w:t>本项目为</w:t>
            </w:r>
            <w:r>
              <w:rPr>
                <w:rFonts w:hint="eastAsia" w:cs="Times New Roman"/>
                <w:color w:val="auto"/>
                <w:kern w:val="2"/>
                <w:sz w:val="24"/>
                <w:szCs w:val="24"/>
                <w:highlight w:val="none"/>
                <w:lang w:val="en-US" w:eastAsia="zh-CN" w:bidi="ar-SA"/>
              </w:rPr>
              <w:t>其他方便食品制造</w:t>
            </w:r>
            <w:r>
              <w:rPr>
                <w:rFonts w:hint="eastAsia" w:ascii="Times New Roman" w:hAnsi="Times New Roman" w:eastAsia="宋体" w:cs="Times New Roman"/>
                <w:color w:val="auto"/>
                <w:kern w:val="0"/>
                <w:sz w:val="24"/>
                <w:szCs w:val="24"/>
                <w:lang w:val="en-US" w:eastAsia="zh-CN" w:bidi="ar-SA"/>
              </w:rPr>
              <w:t>项目，行业类别为“十一、食品制造</w:t>
            </w:r>
            <w:r>
              <w:rPr>
                <w:rFonts w:hint="default" w:ascii="Times New Roman" w:hAnsi="Times New Roman" w:eastAsia="宋体" w:cs="Times New Roman"/>
                <w:color w:val="auto"/>
                <w:kern w:val="0"/>
                <w:sz w:val="24"/>
                <w:szCs w:val="24"/>
                <w:lang w:val="en-US" w:eastAsia="zh-CN" w:bidi="ar-SA"/>
              </w:rPr>
              <w:t>业</w:t>
            </w:r>
            <w:r>
              <w:rPr>
                <w:rFonts w:hint="eastAsia" w:ascii="Times New Roman" w:hAnsi="Times New Roman" w:eastAsia="宋体" w:cs="Times New Roman"/>
                <w:color w:val="auto"/>
                <w:kern w:val="0"/>
                <w:sz w:val="24"/>
                <w:szCs w:val="24"/>
                <w:lang w:val="en-US" w:eastAsia="zh-CN" w:bidi="ar-SA"/>
              </w:rPr>
              <w:t>14-21 方便食品制造 143；罐头食品制造 144；</w:t>
            </w:r>
            <w:r>
              <w:rPr>
                <w:rFonts w:hint="eastAsia"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zh-CN" w:eastAsia="zh-CN"/>
              </w:rPr>
              <w:t>《环境影响评价技术导则地下水环境》（HJ610-2016）附录A可知，本项目评价类别为IV类，结合导则第4.1条可知本项目可不开展地下水环境影响评价工作，</w:t>
            </w:r>
            <w:r>
              <w:rPr>
                <w:rFonts w:hint="eastAsia" w:ascii="Times New Roman" w:hAnsi="Times New Roman" w:eastAsia="宋体" w:cs="Times New Roman"/>
                <w:color w:val="auto"/>
                <w:sz w:val="24"/>
                <w:szCs w:val="24"/>
                <w:lang w:val="en-US" w:eastAsia="zh-CN"/>
              </w:rPr>
              <w:t>无需进行现状调查。</w:t>
            </w:r>
          </w:p>
          <w:p w14:paraId="26FE78EE">
            <w:pPr>
              <w:pStyle w:val="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（五）土壤环境</w:t>
            </w:r>
          </w:p>
          <w:p w14:paraId="0E901CE8">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color w:val="auto"/>
                <w:sz w:val="24"/>
                <w:highlight w:val="none"/>
              </w:rPr>
            </w:pPr>
            <w:r>
              <w:rPr>
                <w:rFonts w:hint="eastAsia" w:ascii="Times New Roman" w:hAnsi="Times New Roman" w:eastAsia="宋体" w:cs="Times New Roman"/>
                <w:color w:val="auto"/>
                <w:lang w:val="en-US" w:eastAsia="zh-CN"/>
              </w:rPr>
              <w:t>本项目为</w:t>
            </w:r>
            <w:r>
              <w:rPr>
                <w:rFonts w:hint="eastAsia" w:cs="Times New Roman"/>
                <w:color w:val="auto"/>
                <w:kern w:val="2"/>
                <w:sz w:val="24"/>
                <w:szCs w:val="24"/>
                <w:highlight w:val="none"/>
                <w:lang w:val="en-US" w:eastAsia="zh-CN" w:bidi="ar-SA"/>
              </w:rPr>
              <w:t>其他方便食品制造</w:t>
            </w:r>
            <w:r>
              <w:rPr>
                <w:rFonts w:hint="eastAsia" w:ascii="Times New Roman" w:hAnsi="Times New Roman" w:eastAsia="宋体" w:cs="Times New Roman"/>
                <w:color w:val="auto"/>
                <w:lang w:val="en-US" w:eastAsia="zh-CN"/>
              </w:rPr>
              <w:t>项目，行业类别为“</w:t>
            </w:r>
            <w:r>
              <w:rPr>
                <w:rFonts w:hint="eastAsia" w:ascii="Times New Roman" w:hAnsi="Times New Roman" w:eastAsia="宋体" w:cs="Times New Roman"/>
                <w:color w:val="auto"/>
                <w:kern w:val="0"/>
                <w:sz w:val="24"/>
                <w:szCs w:val="24"/>
                <w:lang w:val="en-US" w:eastAsia="zh-CN" w:bidi="ar-SA"/>
              </w:rPr>
              <w:t>十一、食品制造</w:t>
            </w:r>
            <w:r>
              <w:rPr>
                <w:rFonts w:hint="default" w:ascii="Times New Roman" w:hAnsi="Times New Roman" w:eastAsia="宋体" w:cs="Times New Roman"/>
                <w:color w:val="auto"/>
                <w:kern w:val="0"/>
                <w:sz w:val="24"/>
                <w:szCs w:val="24"/>
                <w:lang w:val="en-US" w:eastAsia="zh-CN" w:bidi="ar-SA"/>
              </w:rPr>
              <w:t>业</w:t>
            </w:r>
            <w:r>
              <w:rPr>
                <w:rFonts w:hint="eastAsia" w:ascii="Times New Roman" w:hAnsi="Times New Roman" w:eastAsia="宋体" w:cs="Times New Roman"/>
                <w:color w:val="auto"/>
                <w:kern w:val="0"/>
                <w:sz w:val="24"/>
                <w:szCs w:val="24"/>
                <w:lang w:val="en-US" w:eastAsia="zh-CN" w:bidi="ar-SA"/>
              </w:rPr>
              <w:t>14-21 方便食品制造 143；罐头食品制造 144；</w:t>
            </w:r>
            <w:r>
              <w:rPr>
                <w:rFonts w:hint="eastAsia" w:ascii="Times New Roman" w:hAnsi="Times New Roman" w:eastAsia="宋体" w:cs="Times New Roman"/>
                <w:color w:val="auto"/>
                <w:lang w:val="en-US" w:eastAsia="zh-CN"/>
              </w:rPr>
              <w:t>）。根据</w:t>
            </w:r>
            <w:r>
              <w:rPr>
                <w:rFonts w:hint="eastAsia" w:ascii="Times New Roman" w:hAnsi="Times New Roman" w:eastAsia="宋体" w:cs="Times New Roman"/>
                <w:color w:val="auto"/>
                <w:lang w:val="zh-CN" w:eastAsia="zh-CN"/>
              </w:rPr>
              <w:t>《环境影响评价技术导则土壤环境（试行）》（H1964-2018）附录A可知：本项目评价类别为</w:t>
            </w:r>
            <w:r>
              <w:rPr>
                <w:rFonts w:hint="eastAsia" w:ascii="Times New Roman" w:hAnsi="Times New Roman" w:eastAsia="宋体" w:cs="Times New Roman"/>
                <w:color w:val="auto"/>
                <w:sz w:val="24"/>
                <w:szCs w:val="24"/>
                <w:lang w:val="zh-CN" w:eastAsia="zh-CN"/>
              </w:rPr>
              <w:t>IV</w:t>
            </w:r>
            <w:r>
              <w:rPr>
                <w:rFonts w:hint="eastAsia" w:ascii="Times New Roman" w:hAnsi="Times New Roman" w:eastAsia="宋体" w:cs="Times New Roman"/>
                <w:color w:val="auto"/>
                <w:lang w:val="zh-CN" w:eastAsia="zh-CN"/>
              </w:rPr>
              <w:t>类；</w:t>
            </w:r>
            <w:r>
              <w:rPr>
                <w:rFonts w:hint="eastAsia" w:ascii="Times New Roman" w:hAnsi="Times New Roman" w:eastAsia="宋体" w:cs="Times New Roman"/>
                <w:color w:val="auto"/>
                <w:lang w:val="en-US" w:eastAsia="zh-CN"/>
              </w:rPr>
              <w:t>项目所在地土壤环境敏感程度为不敏感。结合导则6.2.1可知本项目</w:t>
            </w:r>
            <w:r>
              <w:rPr>
                <w:rFonts w:hint="eastAsia" w:ascii="Times New Roman" w:hAnsi="Times New Roman" w:eastAsia="宋体" w:cs="Times New Roman"/>
                <w:color w:val="auto"/>
                <w:lang w:val="zh-CN" w:eastAsia="zh-CN"/>
              </w:rPr>
              <w:t>可不开展土壤环境影响评价工作，</w:t>
            </w:r>
            <w:r>
              <w:rPr>
                <w:rFonts w:hint="eastAsia" w:ascii="Times New Roman" w:hAnsi="Times New Roman" w:eastAsia="宋体" w:cs="Times New Roman"/>
                <w:color w:val="auto"/>
                <w:lang w:val="en-US" w:eastAsia="zh-CN"/>
              </w:rPr>
              <w:t>无需进行现状调查</w:t>
            </w:r>
            <w:r>
              <w:rPr>
                <w:rFonts w:hint="eastAsia" w:ascii="宋体" w:hAnsi="宋体" w:cs="宋体"/>
                <w:color w:val="auto"/>
                <w:sz w:val="24"/>
                <w:highlight w:val="none"/>
                <w:lang w:val="en-US" w:eastAsia="zh-CN"/>
              </w:rPr>
              <w:t>。</w:t>
            </w:r>
          </w:p>
          <w:p w14:paraId="3D4E06A7">
            <w:pPr>
              <w:keepNext w:val="0"/>
              <w:keepLines w:val="0"/>
              <w:pageBreakBefore w:val="0"/>
              <w:tabs>
                <w:tab w:val="center" w:pos="4738"/>
              </w:tabs>
              <w:kinsoku/>
              <w:wordWrap/>
              <w:overflowPunct/>
              <w:topLinePunct w:val="0"/>
              <w:autoSpaceDN/>
              <w:bidi w:val="0"/>
              <w:adjustRightInd/>
              <w:snapToGrid/>
              <w:spacing w:beforeAutospacing="0" w:afterAutospacing="0" w:line="360" w:lineRule="auto"/>
              <w:ind w:firstLine="482" w:firstLineChars="200"/>
              <w:jc w:val="both"/>
              <w:textAlignment w:val="auto"/>
              <w:rPr>
                <w:rFonts w:hint="default"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val="en-US" w:eastAsia="zh-CN"/>
              </w:rPr>
              <w:t>（六）</w:t>
            </w:r>
            <w:r>
              <w:rPr>
                <w:rFonts w:hint="default" w:ascii="Times New Roman" w:hAnsi="Times New Roman" w:eastAsia="宋体" w:cs="Times New Roman"/>
                <w:b/>
                <w:bCs w:val="0"/>
                <w:color w:val="auto"/>
                <w:sz w:val="24"/>
                <w:szCs w:val="24"/>
                <w:highlight w:val="none"/>
              </w:rPr>
              <w:t>生态环境</w:t>
            </w:r>
          </w:p>
          <w:p w14:paraId="11AC3424">
            <w:pPr>
              <w:pStyle w:val="10"/>
              <w:bidi w:val="0"/>
              <w:rPr>
                <w:rFonts w:hint="default" w:ascii="Times New Roman" w:hAnsi="Times New Roman" w:eastAsia="宋体" w:cs="Times New Roman"/>
                <w:bCs/>
                <w:color w:val="auto"/>
                <w:sz w:val="24"/>
                <w:szCs w:val="24"/>
                <w:highlight w:val="none"/>
              </w:rPr>
            </w:pPr>
            <w:r>
              <w:rPr>
                <w:rFonts w:hint="eastAsia"/>
                <w:color w:val="auto"/>
                <w:highlight w:val="none"/>
                <w:lang w:val="en-US" w:eastAsia="zh-CN"/>
              </w:rPr>
              <w:t>根据现场踏勘，</w:t>
            </w:r>
            <w:r>
              <w:rPr>
                <w:rFonts w:hint="eastAsia"/>
                <w:color w:val="auto"/>
                <w:lang w:val="en-US" w:eastAsia="zh-CN"/>
              </w:rPr>
              <w:t>本项目用地范围内无古树名木、</w:t>
            </w:r>
            <w:r>
              <w:rPr>
                <w:rFonts w:hint="default" w:ascii="Times New Roman" w:hAnsi="Times New Roman" w:eastAsia="宋体" w:cs="Times New Roman"/>
                <w:color w:val="auto"/>
                <w:spacing w:val="-7"/>
              </w:rPr>
              <w:t>无文物古迹、风景名胜区</w:t>
            </w:r>
            <w:r>
              <w:rPr>
                <w:rFonts w:hint="eastAsia" w:ascii="Times New Roman" w:hAnsi="Times New Roman" w:eastAsia="宋体" w:cs="Times New Roman"/>
                <w:color w:val="auto"/>
                <w:spacing w:val="-7"/>
                <w:lang w:eastAsia="zh-CN"/>
              </w:rPr>
              <w:t>、</w:t>
            </w:r>
            <w:r>
              <w:rPr>
                <w:rFonts w:hint="eastAsia" w:ascii="Times New Roman" w:hAnsi="Times New Roman" w:eastAsia="宋体" w:cs="Times New Roman"/>
                <w:color w:val="auto"/>
                <w:spacing w:val="-7"/>
                <w:lang w:val="en-US" w:eastAsia="zh-CN"/>
              </w:rPr>
              <w:t>自然保护区</w:t>
            </w:r>
            <w:r>
              <w:rPr>
                <w:rFonts w:hint="eastAsia"/>
                <w:color w:val="auto"/>
                <w:lang w:val="en-US" w:eastAsia="zh-CN"/>
              </w:rPr>
              <w:t>等生态环境保护目标，无须进行生态现状调查。</w:t>
            </w:r>
          </w:p>
        </w:tc>
      </w:tr>
      <w:tr w14:paraId="17D94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8" w:type="dxa"/>
            <w:noWrap w:val="0"/>
            <w:vAlign w:val="center"/>
          </w:tcPr>
          <w:p w14:paraId="4228A1CD">
            <w:pPr>
              <w:adjustRightInd w:val="0"/>
              <w:snapToGrid w:val="0"/>
              <w:jc w:val="center"/>
              <w:rPr>
                <w:rFonts w:hint="default" w:ascii="Times New Roman" w:hAnsi="Times New Roman" w:eastAsia="宋体" w:cs="Times New Roman"/>
                <w:color w:val="auto"/>
                <w:kern w:val="0"/>
                <w:szCs w:val="21"/>
                <w:highlight w:val="none"/>
              </w:rPr>
            </w:pPr>
            <w:r>
              <w:rPr>
                <w:rFonts w:hint="default" w:ascii="宋体" w:hAnsi="宋体" w:eastAsia="宋体" w:cs="宋体"/>
                <w:color w:val="auto"/>
                <w:kern w:val="0"/>
                <w:sz w:val="24"/>
                <w:szCs w:val="24"/>
              </w:rPr>
              <w:t>环境保护目标</w:t>
            </w:r>
          </w:p>
        </w:tc>
        <w:tc>
          <w:tcPr>
            <w:tcW w:w="8382" w:type="dxa"/>
            <w:noWrap w:val="0"/>
            <w:vAlign w:val="center"/>
          </w:tcPr>
          <w:p w14:paraId="45CD80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（一）大气环境</w:t>
            </w:r>
          </w:p>
          <w:p w14:paraId="1D303762">
            <w:pPr>
              <w:adjustRightInd w:val="0"/>
              <w:snapToGrid w:val="0"/>
              <w:spacing w:line="360" w:lineRule="auto"/>
              <w:ind w:firstLine="480" w:firstLineChars="200"/>
              <w:jc w:val="both"/>
              <w:rPr>
                <w:rFonts w:hint="eastAsia"/>
                <w:color w:val="auto"/>
                <w:sz w:val="24"/>
                <w:szCs w:val="24"/>
                <w:lang w:val="en-US" w:eastAsia="zh-CN"/>
              </w:rPr>
            </w:pPr>
            <w:r>
              <w:rPr>
                <w:rFonts w:hint="eastAsia"/>
                <w:color w:val="auto"/>
                <w:sz w:val="24"/>
                <w:szCs w:val="24"/>
                <w:lang w:val="en-US" w:eastAsia="zh-CN"/>
              </w:rPr>
              <w:t>本项目厂界外500m范围内无自然保护区、风景名胜区，主要保护目标为周边居民。以厂界中心（</w:t>
            </w:r>
            <w:r>
              <w:rPr>
                <w:rFonts w:hint="default" w:ascii="Times New Roman" w:hAnsi="Times New Roman" w:eastAsia="宋体" w:cs="Times New Roman"/>
                <w:color w:val="000000"/>
                <w:sz w:val="24"/>
                <w:szCs w:val="24"/>
                <w:highlight w:val="none"/>
              </w:rPr>
              <w:t>E11</w:t>
            </w:r>
            <w:r>
              <w:rPr>
                <w:rFonts w:hint="default"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59</w:t>
            </w:r>
            <w:r>
              <w:rPr>
                <w:rFonts w:hint="default" w:ascii="Times New Roman" w:hAnsi="Times New Roman" w:eastAsia="宋体" w:cs="Times New Roman"/>
                <w:color w:val="000000"/>
                <w:sz w:val="24"/>
                <w:szCs w:val="24"/>
                <w:highlight w:val="none"/>
              </w:rPr>
              <w:t>′18.71</w:t>
            </w:r>
            <w:r>
              <w:rPr>
                <w:rFonts w:hint="eastAsia" w:ascii="Times New Roman" w:hAnsi="Times New Roman" w:eastAsia="宋体" w:cs="Times New Roman"/>
                <w:color w:val="000000"/>
                <w:sz w:val="24"/>
                <w:szCs w:val="24"/>
                <w:highlight w:val="none"/>
                <w:lang w:val="en-US" w:eastAsia="zh-CN"/>
              </w:rPr>
              <w:t>9</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N</w:t>
            </w:r>
            <w:r>
              <w:rPr>
                <w:rFonts w:hint="default" w:ascii="Times New Roman" w:hAnsi="Times New Roman" w:eastAsia="宋体" w:cs="Times New Roman"/>
                <w:color w:val="000000"/>
                <w:sz w:val="24"/>
                <w:szCs w:val="24"/>
                <w:highlight w:val="none"/>
              </w:rPr>
              <w:t>2</w:t>
            </w:r>
            <w:r>
              <w:rPr>
                <w:rFonts w:hint="default" w:ascii="Times New Roman" w:hAnsi="Times New Roman" w:eastAsia="宋体" w:cs="Times New Roman"/>
                <w:color w:val="000000"/>
                <w:sz w:val="24"/>
                <w:szCs w:val="24"/>
                <w:highlight w:val="none"/>
                <w:lang w:val="en-US" w:eastAsia="zh-CN"/>
              </w:rPr>
              <w:t>6</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24</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35.2</w:t>
            </w:r>
            <w:r>
              <w:rPr>
                <w:rFonts w:hint="eastAsia" w:ascii="Times New Roman" w:hAnsi="Times New Roman" w:eastAsia="宋体" w:cs="Times New Roman"/>
                <w:color w:val="000000"/>
                <w:sz w:val="24"/>
                <w:szCs w:val="24"/>
                <w:highlight w:val="none"/>
                <w:lang w:val="en-US" w:eastAsia="zh-CN"/>
              </w:rPr>
              <w:t>30</w:t>
            </w:r>
            <w:r>
              <w:rPr>
                <w:rFonts w:hint="default" w:ascii="Times New Roman" w:hAnsi="Times New Roman" w:eastAsia="宋体" w:cs="Times New Roman"/>
                <w:color w:val="000000"/>
                <w:sz w:val="24"/>
                <w:szCs w:val="24"/>
                <w:highlight w:val="none"/>
              </w:rPr>
              <w:t>″</w:t>
            </w:r>
            <w:r>
              <w:rPr>
                <w:rFonts w:hint="eastAsia"/>
                <w:color w:val="auto"/>
                <w:sz w:val="24"/>
                <w:szCs w:val="24"/>
                <w:lang w:val="en-US" w:eastAsia="zh-CN"/>
              </w:rPr>
              <w:t>）为原点（0，0），正东为X轴正方向，正北为Y轴正方向建立直角坐标，大气环境保护目标具体情况见表3-3。</w:t>
            </w:r>
          </w:p>
          <w:p w14:paraId="53300272">
            <w:pPr>
              <w:pStyle w:val="61"/>
              <w:keepNext w:val="0"/>
              <w:keepLines w:val="0"/>
              <w:pageBreakBefore w:val="0"/>
              <w:widowControl w:val="0"/>
              <w:kinsoku/>
              <w:wordWrap/>
              <w:overflowPunct/>
              <w:topLinePunct w:val="0"/>
              <w:autoSpaceDE w:val="0"/>
              <w:autoSpaceDN w:val="0"/>
              <w:bidi w:val="0"/>
              <w:adjustRightInd w:val="0"/>
              <w:snapToGrid/>
              <w:spacing w:before="0" w:after="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ascii="Times New Roman"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 xml:space="preserve"> </w:t>
            </w:r>
            <w:r>
              <w:rPr>
                <w:rFonts w:hint="eastAsia" w:asci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本项目500m范围内大气环境保护目标</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684"/>
              <w:gridCol w:w="633"/>
              <w:gridCol w:w="983"/>
              <w:gridCol w:w="826"/>
              <w:gridCol w:w="2093"/>
              <w:gridCol w:w="948"/>
              <w:gridCol w:w="948"/>
            </w:tblGrid>
            <w:tr w14:paraId="64BAF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274" w:type="dxa"/>
                  <w:vMerge w:val="restart"/>
                  <w:tcBorders>
                    <w:tl2br w:val="nil"/>
                    <w:tr2bl w:val="nil"/>
                  </w:tcBorders>
                  <w:noWrap/>
                  <w:vAlign w:val="center"/>
                </w:tcPr>
                <w:p w14:paraId="6C0D2B0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317" w:type="dxa"/>
                  <w:gridSpan w:val="2"/>
                  <w:tcBorders>
                    <w:tl2br w:val="nil"/>
                    <w:tr2bl w:val="nil"/>
                  </w:tcBorders>
                  <w:noWrap w:val="0"/>
                  <w:vAlign w:val="center"/>
                </w:tcPr>
                <w:p w14:paraId="5B503C0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坐标/m</w:t>
                  </w:r>
                </w:p>
              </w:tc>
              <w:tc>
                <w:tcPr>
                  <w:tcW w:w="983" w:type="dxa"/>
                  <w:vMerge w:val="restart"/>
                  <w:tcBorders>
                    <w:tl2br w:val="nil"/>
                    <w:tr2bl w:val="nil"/>
                  </w:tcBorders>
                  <w:noWrap w:val="0"/>
                  <w:vAlign w:val="center"/>
                </w:tcPr>
                <w:p w14:paraId="1552E9F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保护对象</w:t>
                  </w:r>
                </w:p>
              </w:tc>
              <w:tc>
                <w:tcPr>
                  <w:tcW w:w="826" w:type="dxa"/>
                  <w:vMerge w:val="restart"/>
                  <w:tcBorders>
                    <w:tl2br w:val="nil"/>
                    <w:tr2bl w:val="nil"/>
                  </w:tcBorders>
                  <w:noWrap w:val="0"/>
                  <w:vAlign w:val="center"/>
                </w:tcPr>
                <w:p w14:paraId="5458C75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保护内容</w:t>
                  </w:r>
                </w:p>
              </w:tc>
              <w:tc>
                <w:tcPr>
                  <w:tcW w:w="2093" w:type="dxa"/>
                  <w:vMerge w:val="restart"/>
                  <w:tcBorders>
                    <w:tl2br w:val="nil"/>
                    <w:tr2bl w:val="nil"/>
                  </w:tcBorders>
                  <w:noWrap w:val="0"/>
                  <w:vAlign w:val="center"/>
                </w:tcPr>
                <w:p w14:paraId="1557C5E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环境功能区</w:t>
                  </w:r>
                </w:p>
              </w:tc>
              <w:tc>
                <w:tcPr>
                  <w:tcW w:w="948" w:type="dxa"/>
                  <w:vMerge w:val="restart"/>
                  <w:tcBorders>
                    <w:tl2br w:val="nil"/>
                    <w:tr2bl w:val="nil"/>
                  </w:tcBorders>
                  <w:noWrap w:val="0"/>
                  <w:vAlign w:val="center"/>
                </w:tcPr>
                <w:p w14:paraId="1576F60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相对厂址方位</w:t>
                  </w:r>
                </w:p>
              </w:tc>
              <w:tc>
                <w:tcPr>
                  <w:tcW w:w="948" w:type="dxa"/>
                  <w:vMerge w:val="restart"/>
                  <w:tcBorders>
                    <w:tl2br w:val="nil"/>
                    <w:tr2bl w:val="nil"/>
                  </w:tcBorders>
                  <w:noWrap w:val="0"/>
                  <w:vAlign w:val="center"/>
                </w:tcPr>
                <w:p w14:paraId="096F20B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相对厂界距离/m</w:t>
                  </w:r>
                </w:p>
              </w:tc>
            </w:tr>
            <w:tr w14:paraId="2C84D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74" w:type="dxa"/>
                  <w:vMerge w:val="continue"/>
                  <w:tcBorders>
                    <w:tl2br w:val="nil"/>
                    <w:tr2bl w:val="nil"/>
                  </w:tcBorders>
                  <w:noWrap/>
                  <w:vAlign w:val="center"/>
                </w:tcPr>
                <w:p w14:paraId="1AF9683C">
                  <w:pPr>
                    <w:jc w:val="center"/>
                    <w:rPr>
                      <w:rFonts w:hint="default" w:ascii="Times New Roman" w:hAnsi="Times New Roman" w:eastAsia="宋体" w:cs="Times New Roman"/>
                      <w:b/>
                      <w:bCs/>
                      <w:i w:val="0"/>
                      <w:iCs w:val="0"/>
                      <w:color w:val="auto"/>
                      <w:sz w:val="21"/>
                      <w:szCs w:val="21"/>
                      <w:u w:val="none"/>
                    </w:rPr>
                  </w:pPr>
                </w:p>
              </w:tc>
              <w:tc>
                <w:tcPr>
                  <w:tcW w:w="684" w:type="dxa"/>
                  <w:tcBorders>
                    <w:tl2br w:val="nil"/>
                    <w:tr2bl w:val="nil"/>
                  </w:tcBorders>
                  <w:noWrap w:val="0"/>
                  <w:vAlign w:val="center"/>
                </w:tcPr>
                <w:p w14:paraId="6D289DA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w:t>
                  </w:r>
                </w:p>
              </w:tc>
              <w:tc>
                <w:tcPr>
                  <w:tcW w:w="633" w:type="dxa"/>
                  <w:tcBorders>
                    <w:tl2br w:val="nil"/>
                    <w:tr2bl w:val="nil"/>
                  </w:tcBorders>
                  <w:noWrap w:val="0"/>
                  <w:vAlign w:val="center"/>
                </w:tcPr>
                <w:p w14:paraId="01F8C9A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w:t>
                  </w:r>
                </w:p>
              </w:tc>
              <w:tc>
                <w:tcPr>
                  <w:tcW w:w="983" w:type="dxa"/>
                  <w:vMerge w:val="continue"/>
                  <w:tcBorders>
                    <w:tl2br w:val="nil"/>
                    <w:tr2bl w:val="nil"/>
                  </w:tcBorders>
                  <w:noWrap w:val="0"/>
                  <w:vAlign w:val="center"/>
                </w:tcPr>
                <w:p w14:paraId="190FA34B">
                  <w:pPr>
                    <w:jc w:val="center"/>
                    <w:rPr>
                      <w:rFonts w:hint="default" w:ascii="Times New Roman" w:hAnsi="Times New Roman" w:eastAsia="宋体" w:cs="Times New Roman"/>
                      <w:b/>
                      <w:bCs/>
                      <w:i w:val="0"/>
                      <w:iCs w:val="0"/>
                      <w:color w:val="auto"/>
                      <w:sz w:val="21"/>
                      <w:szCs w:val="21"/>
                      <w:u w:val="none"/>
                    </w:rPr>
                  </w:pPr>
                </w:p>
              </w:tc>
              <w:tc>
                <w:tcPr>
                  <w:tcW w:w="826" w:type="dxa"/>
                  <w:vMerge w:val="continue"/>
                  <w:tcBorders>
                    <w:tl2br w:val="nil"/>
                    <w:tr2bl w:val="nil"/>
                  </w:tcBorders>
                  <w:noWrap w:val="0"/>
                  <w:vAlign w:val="center"/>
                </w:tcPr>
                <w:p w14:paraId="35772752">
                  <w:pPr>
                    <w:jc w:val="center"/>
                    <w:rPr>
                      <w:rFonts w:hint="default" w:ascii="Times New Roman" w:hAnsi="Times New Roman" w:eastAsia="宋体" w:cs="Times New Roman"/>
                      <w:b/>
                      <w:bCs/>
                      <w:i w:val="0"/>
                      <w:iCs w:val="0"/>
                      <w:color w:val="auto"/>
                      <w:sz w:val="21"/>
                      <w:szCs w:val="21"/>
                      <w:u w:val="none"/>
                    </w:rPr>
                  </w:pPr>
                </w:p>
              </w:tc>
              <w:tc>
                <w:tcPr>
                  <w:tcW w:w="2093" w:type="dxa"/>
                  <w:vMerge w:val="continue"/>
                  <w:tcBorders>
                    <w:tl2br w:val="nil"/>
                    <w:tr2bl w:val="nil"/>
                  </w:tcBorders>
                  <w:noWrap w:val="0"/>
                  <w:vAlign w:val="center"/>
                </w:tcPr>
                <w:p w14:paraId="2825B031">
                  <w:pPr>
                    <w:jc w:val="center"/>
                    <w:rPr>
                      <w:rFonts w:hint="default" w:ascii="Times New Roman" w:hAnsi="Times New Roman" w:eastAsia="宋体" w:cs="Times New Roman"/>
                      <w:b/>
                      <w:bCs/>
                      <w:i w:val="0"/>
                      <w:iCs w:val="0"/>
                      <w:color w:val="auto"/>
                      <w:sz w:val="21"/>
                      <w:szCs w:val="21"/>
                      <w:u w:val="none"/>
                    </w:rPr>
                  </w:pPr>
                </w:p>
              </w:tc>
              <w:tc>
                <w:tcPr>
                  <w:tcW w:w="948" w:type="dxa"/>
                  <w:vMerge w:val="continue"/>
                  <w:tcBorders>
                    <w:tl2br w:val="nil"/>
                    <w:tr2bl w:val="nil"/>
                  </w:tcBorders>
                  <w:noWrap w:val="0"/>
                  <w:vAlign w:val="center"/>
                </w:tcPr>
                <w:p w14:paraId="4DEA956D">
                  <w:pPr>
                    <w:jc w:val="center"/>
                    <w:rPr>
                      <w:rFonts w:hint="default" w:ascii="Times New Roman" w:hAnsi="Times New Roman" w:eastAsia="宋体" w:cs="Times New Roman"/>
                      <w:b/>
                      <w:bCs/>
                      <w:i w:val="0"/>
                      <w:iCs w:val="0"/>
                      <w:color w:val="auto"/>
                      <w:sz w:val="21"/>
                      <w:szCs w:val="21"/>
                      <w:u w:val="none"/>
                    </w:rPr>
                  </w:pPr>
                </w:p>
              </w:tc>
              <w:tc>
                <w:tcPr>
                  <w:tcW w:w="948" w:type="dxa"/>
                  <w:vMerge w:val="continue"/>
                  <w:tcBorders>
                    <w:tl2br w:val="nil"/>
                    <w:tr2bl w:val="nil"/>
                  </w:tcBorders>
                  <w:noWrap w:val="0"/>
                  <w:vAlign w:val="center"/>
                </w:tcPr>
                <w:p w14:paraId="0AD922B9">
                  <w:pPr>
                    <w:jc w:val="center"/>
                    <w:rPr>
                      <w:rFonts w:hint="default" w:ascii="Times New Roman" w:hAnsi="Times New Roman" w:eastAsia="宋体" w:cs="Times New Roman"/>
                      <w:b/>
                      <w:bCs/>
                      <w:i w:val="0"/>
                      <w:iCs w:val="0"/>
                      <w:color w:val="auto"/>
                      <w:sz w:val="21"/>
                      <w:szCs w:val="21"/>
                      <w:u w:val="none"/>
                    </w:rPr>
                  </w:pPr>
                </w:p>
              </w:tc>
            </w:tr>
            <w:tr w14:paraId="11AFA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74" w:type="dxa"/>
                  <w:tcBorders>
                    <w:tl2br w:val="nil"/>
                    <w:tr2bl w:val="nil"/>
                  </w:tcBorders>
                  <w:noWrap/>
                  <w:vAlign w:val="center"/>
                </w:tcPr>
                <w:p w14:paraId="6368ADA9">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刘岭排</w:t>
                  </w:r>
                </w:p>
              </w:tc>
              <w:tc>
                <w:tcPr>
                  <w:tcW w:w="684" w:type="dxa"/>
                  <w:tcBorders>
                    <w:tl2br w:val="nil"/>
                    <w:tr2bl w:val="nil"/>
                  </w:tcBorders>
                  <w:noWrap/>
                  <w:vAlign w:val="center"/>
                </w:tcPr>
                <w:p w14:paraId="36C03103">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313</w:t>
                  </w:r>
                </w:p>
              </w:tc>
              <w:tc>
                <w:tcPr>
                  <w:tcW w:w="633" w:type="dxa"/>
                  <w:tcBorders>
                    <w:tl2br w:val="nil"/>
                    <w:tr2bl w:val="nil"/>
                  </w:tcBorders>
                  <w:noWrap/>
                  <w:vAlign w:val="center"/>
                </w:tcPr>
                <w:p w14:paraId="4DA11E69">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-127</w:t>
                  </w:r>
                </w:p>
              </w:tc>
              <w:tc>
                <w:tcPr>
                  <w:tcW w:w="983" w:type="dxa"/>
                  <w:tcBorders>
                    <w:tl2br w:val="nil"/>
                    <w:tr2bl w:val="nil"/>
                  </w:tcBorders>
                  <w:shd w:val="clear" w:color="auto" w:fill="auto"/>
                  <w:noWrap/>
                  <w:vAlign w:val="center"/>
                </w:tcPr>
                <w:p w14:paraId="3817193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村庄</w:t>
                  </w:r>
                </w:p>
              </w:tc>
              <w:tc>
                <w:tcPr>
                  <w:tcW w:w="826" w:type="dxa"/>
                  <w:tcBorders>
                    <w:tl2br w:val="nil"/>
                    <w:tr2bl w:val="nil"/>
                  </w:tcBorders>
                  <w:shd w:val="clear" w:color="auto" w:fill="auto"/>
                  <w:noWrap/>
                  <w:vAlign w:val="center"/>
                </w:tcPr>
                <w:p w14:paraId="466169D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居民</w:t>
                  </w:r>
                </w:p>
              </w:tc>
              <w:tc>
                <w:tcPr>
                  <w:tcW w:w="2093" w:type="dxa"/>
                  <w:vMerge w:val="restart"/>
                  <w:tcBorders>
                    <w:tl2br w:val="nil"/>
                    <w:tr2bl w:val="nil"/>
                  </w:tcBorders>
                  <w:noWrap w:val="0"/>
                  <w:vAlign w:val="center"/>
                </w:tcPr>
                <w:p w14:paraId="77FEAA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《环境空气质量标准》（GB3095-2012）中的二类区</w:t>
                  </w:r>
                </w:p>
              </w:tc>
              <w:tc>
                <w:tcPr>
                  <w:tcW w:w="948" w:type="dxa"/>
                  <w:tcBorders>
                    <w:tl2br w:val="nil"/>
                    <w:tr2bl w:val="nil"/>
                  </w:tcBorders>
                  <w:noWrap/>
                  <w:vAlign w:val="center"/>
                </w:tcPr>
                <w:p w14:paraId="371F59A1">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东</w:t>
                  </w:r>
                </w:p>
              </w:tc>
              <w:tc>
                <w:tcPr>
                  <w:tcW w:w="948" w:type="dxa"/>
                  <w:tcBorders>
                    <w:tl2br w:val="nil"/>
                    <w:tr2bl w:val="nil"/>
                  </w:tcBorders>
                  <w:noWrap/>
                  <w:vAlign w:val="center"/>
                </w:tcPr>
                <w:p w14:paraId="2C32C76C">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67</w:t>
                  </w:r>
                </w:p>
              </w:tc>
            </w:tr>
            <w:tr w14:paraId="5D0C1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74" w:type="dxa"/>
                  <w:tcBorders>
                    <w:tl2br w:val="nil"/>
                    <w:tr2bl w:val="nil"/>
                  </w:tcBorders>
                  <w:noWrap/>
                  <w:vAlign w:val="center"/>
                </w:tcPr>
                <w:p w14:paraId="15FE68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九塘村</w:t>
                  </w:r>
                </w:p>
              </w:tc>
              <w:tc>
                <w:tcPr>
                  <w:tcW w:w="684" w:type="dxa"/>
                  <w:tcBorders>
                    <w:tl2br w:val="nil"/>
                    <w:tr2bl w:val="nil"/>
                  </w:tcBorders>
                  <w:noWrap/>
                  <w:vAlign w:val="center"/>
                </w:tcPr>
                <w:p w14:paraId="75C40A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441</w:t>
                  </w:r>
                </w:p>
              </w:tc>
              <w:tc>
                <w:tcPr>
                  <w:tcW w:w="633" w:type="dxa"/>
                  <w:tcBorders>
                    <w:tl2br w:val="nil"/>
                    <w:tr2bl w:val="nil"/>
                  </w:tcBorders>
                  <w:noWrap/>
                  <w:vAlign w:val="center"/>
                </w:tcPr>
                <w:p w14:paraId="765598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132</w:t>
                  </w:r>
                </w:p>
              </w:tc>
              <w:tc>
                <w:tcPr>
                  <w:tcW w:w="983" w:type="dxa"/>
                  <w:tcBorders>
                    <w:tl2br w:val="nil"/>
                    <w:tr2bl w:val="nil"/>
                  </w:tcBorders>
                  <w:noWrap/>
                  <w:vAlign w:val="center"/>
                </w:tcPr>
                <w:p w14:paraId="7E06A4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村庄</w:t>
                  </w:r>
                </w:p>
              </w:tc>
              <w:tc>
                <w:tcPr>
                  <w:tcW w:w="826" w:type="dxa"/>
                  <w:tcBorders>
                    <w:tl2br w:val="nil"/>
                    <w:tr2bl w:val="nil"/>
                  </w:tcBorders>
                  <w:noWrap/>
                  <w:vAlign w:val="center"/>
                </w:tcPr>
                <w:p w14:paraId="50D751B9">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居民</w:t>
                  </w:r>
                </w:p>
              </w:tc>
              <w:tc>
                <w:tcPr>
                  <w:tcW w:w="2093" w:type="dxa"/>
                  <w:vMerge w:val="continue"/>
                  <w:tcBorders>
                    <w:tl2br w:val="nil"/>
                    <w:tr2bl w:val="nil"/>
                  </w:tcBorders>
                  <w:noWrap w:val="0"/>
                  <w:vAlign w:val="center"/>
                </w:tcPr>
                <w:p w14:paraId="4F45B4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948" w:type="dxa"/>
                  <w:tcBorders>
                    <w:tl2br w:val="nil"/>
                    <w:tr2bl w:val="nil"/>
                  </w:tcBorders>
                  <w:noWrap/>
                  <w:vAlign w:val="center"/>
                </w:tcPr>
                <w:p w14:paraId="11153F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东北</w:t>
                  </w:r>
                </w:p>
              </w:tc>
              <w:tc>
                <w:tcPr>
                  <w:tcW w:w="948" w:type="dxa"/>
                  <w:tcBorders>
                    <w:tl2br w:val="nil"/>
                    <w:tr2bl w:val="nil"/>
                  </w:tcBorders>
                  <w:noWrap/>
                  <w:vAlign w:val="center"/>
                </w:tcPr>
                <w:p w14:paraId="7E64B9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67</w:t>
                  </w:r>
                </w:p>
              </w:tc>
            </w:tr>
            <w:tr w14:paraId="6F2F0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74" w:type="dxa"/>
                  <w:tcBorders>
                    <w:tl2br w:val="nil"/>
                    <w:tr2bl w:val="nil"/>
                  </w:tcBorders>
                  <w:noWrap/>
                  <w:vAlign w:val="center"/>
                </w:tcPr>
                <w:p w14:paraId="08D9D5BD">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竹笮乡九塘小学</w:t>
                  </w:r>
                </w:p>
              </w:tc>
              <w:tc>
                <w:tcPr>
                  <w:tcW w:w="684" w:type="dxa"/>
                  <w:tcBorders>
                    <w:tl2br w:val="nil"/>
                    <w:tr2bl w:val="nil"/>
                  </w:tcBorders>
                  <w:noWrap/>
                  <w:vAlign w:val="center"/>
                </w:tcPr>
                <w:p w14:paraId="1F82CAAB">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580</w:t>
                  </w:r>
                </w:p>
              </w:tc>
              <w:tc>
                <w:tcPr>
                  <w:tcW w:w="633" w:type="dxa"/>
                  <w:tcBorders>
                    <w:tl2br w:val="nil"/>
                    <w:tr2bl w:val="nil"/>
                  </w:tcBorders>
                  <w:noWrap/>
                  <w:vAlign w:val="center"/>
                </w:tcPr>
                <w:p w14:paraId="6D13D07A">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200</w:t>
                  </w:r>
                </w:p>
              </w:tc>
              <w:tc>
                <w:tcPr>
                  <w:tcW w:w="983" w:type="dxa"/>
                  <w:tcBorders>
                    <w:tl2br w:val="nil"/>
                    <w:tr2bl w:val="nil"/>
                  </w:tcBorders>
                  <w:noWrap/>
                  <w:vAlign w:val="center"/>
                </w:tcPr>
                <w:p w14:paraId="4676276D">
                  <w:pPr>
                    <w:keepNext w:val="0"/>
                    <w:keepLines w:val="0"/>
                    <w:widowControl/>
                    <w:suppressLineNumbers w:val="0"/>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学校</w:t>
                  </w:r>
                </w:p>
              </w:tc>
              <w:tc>
                <w:tcPr>
                  <w:tcW w:w="826" w:type="dxa"/>
                  <w:tcBorders>
                    <w:tl2br w:val="nil"/>
                    <w:tr2bl w:val="nil"/>
                  </w:tcBorders>
                  <w:noWrap/>
                  <w:vAlign w:val="center"/>
                </w:tcPr>
                <w:p w14:paraId="352EDB73">
                  <w:pPr>
                    <w:keepNext w:val="0"/>
                    <w:keepLines w:val="0"/>
                    <w:widowControl/>
                    <w:suppressLineNumbers w:val="0"/>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师生</w:t>
                  </w:r>
                </w:p>
              </w:tc>
              <w:tc>
                <w:tcPr>
                  <w:tcW w:w="2093" w:type="dxa"/>
                  <w:vMerge w:val="continue"/>
                  <w:tcBorders>
                    <w:tl2br w:val="nil"/>
                    <w:tr2bl w:val="nil"/>
                  </w:tcBorders>
                  <w:noWrap w:val="0"/>
                  <w:vAlign w:val="center"/>
                </w:tcPr>
                <w:p w14:paraId="360EC5DF">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p>
              </w:tc>
              <w:tc>
                <w:tcPr>
                  <w:tcW w:w="948" w:type="dxa"/>
                  <w:tcBorders>
                    <w:tl2br w:val="nil"/>
                    <w:tr2bl w:val="nil"/>
                  </w:tcBorders>
                  <w:noWrap/>
                  <w:vAlign w:val="center"/>
                </w:tcPr>
                <w:p w14:paraId="780D9368">
                  <w:pPr>
                    <w:keepNext w:val="0"/>
                    <w:keepLines w:val="0"/>
                    <w:widowControl/>
                    <w:suppressLineNumbers w:val="0"/>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东北</w:t>
                  </w:r>
                </w:p>
              </w:tc>
              <w:tc>
                <w:tcPr>
                  <w:tcW w:w="948" w:type="dxa"/>
                  <w:tcBorders>
                    <w:tl2br w:val="nil"/>
                    <w:tr2bl w:val="nil"/>
                  </w:tcBorders>
                  <w:noWrap/>
                  <w:vAlign w:val="center"/>
                </w:tcPr>
                <w:p w14:paraId="671ECEA7">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348</w:t>
                  </w:r>
                </w:p>
              </w:tc>
            </w:tr>
            <w:tr w14:paraId="6E248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74" w:type="dxa"/>
                  <w:tcBorders>
                    <w:tl2br w:val="nil"/>
                    <w:tr2bl w:val="nil"/>
                  </w:tcBorders>
                  <w:shd w:val="clear" w:color="auto" w:fill="auto"/>
                  <w:noWrap/>
                  <w:vAlign w:val="center"/>
                </w:tcPr>
                <w:p w14:paraId="7257473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瑞祥小区</w:t>
                  </w:r>
                </w:p>
              </w:tc>
              <w:tc>
                <w:tcPr>
                  <w:tcW w:w="684" w:type="dxa"/>
                  <w:tcBorders>
                    <w:tl2br w:val="nil"/>
                    <w:tr2bl w:val="nil"/>
                  </w:tcBorders>
                  <w:shd w:val="clear" w:color="auto" w:fill="auto"/>
                  <w:noWrap/>
                  <w:vAlign w:val="center"/>
                </w:tcPr>
                <w:p w14:paraId="6DF8BDA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-260</w:t>
                  </w:r>
                </w:p>
              </w:tc>
              <w:tc>
                <w:tcPr>
                  <w:tcW w:w="633" w:type="dxa"/>
                  <w:tcBorders>
                    <w:tl2br w:val="nil"/>
                    <w:tr2bl w:val="nil"/>
                  </w:tcBorders>
                  <w:shd w:val="clear" w:color="auto" w:fill="auto"/>
                  <w:noWrap/>
                  <w:vAlign w:val="center"/>
                </w:tcPr>
                <w:p w14:paraId="7EFA9C3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323</w:t>
                  </w:r>
                </w:p>
              </w:tc>
              <w:tc>
                <w:tcPr>
                  <w:tcW w:w="983" w:type="dxa"/>
                  <w:tcBorders>
                    <w:tl2br w:val="nil"/>
                    <w:tr2bl w:val="nil"/>
                  </w:tcBorders>
                  <w:shd w:val="clear" w:color="auto" w:fill="auto"/>
                  <w:noWrap/>
                  <w:vAlign w:val="center"/>
                </w:tcPr>
                <w:p w14:paraId="009F5ED8">
                  <w:pPr>
                    <w:pStyle w:val="127"/>
                    <w:spacing w:line="240" w:lineRule="auto"/>
                    <w:ind w:left="0" w:leftChars="0" w:right="0" w:rightChars="0"/>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2"/>
                      <w:sz w:val="21"/>
                      <w:szCs w:val="21"/>
                      <w:lang w:val="en-US" w:eastAsia="zh-CN" w:bidi="ar-SA"/>
                    </w:rPr>
                    <w:t>小区</w:t>
                  </w:r>
                </w:p>
              </w:tc>
              <w:tc>
                <w:tcPr>
                  <w:tcW w:w="826" w:type="dxa"/>
                  <w:tcBorders>
                    <w:tl2br w:val="nil"/>
                    <w:tr2bl w:val="nil"/>
                  </w:tcBorders>
                  <w:shd w:val="clear" w:color="auto" w:fill="auto"/>
                  <w:noWrap/>
                  <w:vAlign w:val="center"/>
                </w:tcPr>
                <w:p w14:paraId="071804C3">
                  <w:pPr>
                    <w:spacing w:line="240" w:lineRule="auto"/>
                    <w:jc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sz w:val="21"/>
                      <w:szCs w:val="21"/>
                    </w:rPr>
                    <w:t>人群</w:t>
                  </w:r>
                </w:p>
              </w:tc>
              <w:tc>
                <w:tcPr>
                  <w:tcW w:w="2093" w:type="dxa"/>
                  <w:vMerge w:val="continue"/>
                  <w:tcBorders>
                    <w:tl2br w:val="nil"/>
                    <w:tr2bl w:val="nil"/>
                  </w:tcBorders>
                  <w:shd w:val="clear" w:color="auto" w:fill="auto"/>
                  <w:noWrap w:val="0"/>
                  <w:vAlign w:val="center"/>
                </w:tcPr>
                <w:p w14:paraId="7F92E4CD">
                  <w:pPr>
                    <w:jc w:val="center"/>
                    <w:rPr>
                      <w:rFonts w:hint="default" w:ascii="Times New Roman" w:hAnsi="Times New Roman" w:eastAsia="宋体" w:cs="Times New Roman"/>
                      <w:i w:val="0"/>
                      <w:iCs w:val="0"/>
                      <w:color w:val="FF0000"/>
                      <w:kern w:val="2"/>
                      <w:sz w:val="21"/>
                      <w:szCs w:val="21"/>
                      <w:u w:val="none"/>
                      <w:lang w:val="en-US" w:eastAsia="zh-CN" w:bidi="ar-SA"/>
                    </w:rPr>
                  </w:pPr>
                </w:p>
              </w:tc>
              <w:tc>
                <w:tcPr>
                  <w:tcW w:w="948" w:type="dxa"/>
                  <w:tcBorders>
                    <w:tl2br w:val="nil"/>
                    <w:tr2bl w:val="nil"/>
                  </w:tcBorders>
                  <w:shd w:val="clear" w:color="auto" w:fill="auto"/>
                  <w:noWrap/>
                  <w:vAlign w:val="center"/>
                </w:tcPr>
                <w:p w14:paraId="6F4D249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西北</w:t>
                  </w:r>
                </w:p>
              </w:tc>
              <w:tc>
                <w:tcPr>
                  <w:tcW w:w="948" w:type="dxa"/>
                  <w:tcBorders>
                    <w:tl2br w:val="nil"/>
                    <w:tr2bl w:val="nil"/>
                  </w:tcBorders>
                  <w:shd w:val="clear" w:color="auto" w:fill="auto"/>
                  <w:noWrap/>
                  <w:vAlign w:val="center"/>
                </w:tcPr>
                <w:p w14:paraId="5036423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70</w:t>
                  </w:r>
                </w:p>
              </w:tc>
            </w:tr>
            <w:tr w14:paraId="24E33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tcBorders>
                    <w:tl2br w:val="nil"/>
                    <w:tr2bl w:val="nil"/>
                  </w:tcBorders>
                  <w:noWrap/>
                  <w:vAlign w:val="center"/>
                </w:tcPr>
                <w:p w14:paraId="23E54D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大富村</w:t>
                  </w:r>
                </w:p>
              </w:tc>
              <w:tc>
                <w:tcPr>
                  <w:tcW w:w="684" w:type="dxa"/>
                  <w:tcBorders>
                    <w:tl2br w:val="nil"/>
                    <w:tr2bl w:val="nil"/>
                  </w:tcBorders>
                  <w:noWrap/>
                  <w:vAlign w:val="center"/>
                </w:tcPr>
                <w:p w14:paraId="376739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-676</w:t>
                  </w:r>
                </w:p>
              </w:tc>
              <w:tc>
                <w:tcPr>
                  <w:tcW w:w="633" w:type="dxa"/>
                  <w:tcBorders>
                    <w:tl2br w:val="nil"/>
                    <w:tr2bl w:val="nil"/>
                  </w:tcBorders>
                  <w:noWrap/>
                  <w:vAlign w:val="center"/>
                </w:tcPr>
                <w:p w14:paraId="7B2730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38</w:t>
                  </w:r>
                </w:p>
              </w:tc>
              <w:tc>
                <w:tcPr>
                  <w:tcW w:w="983" w:type="dxa"/>
                  <w:tcBorders>
                    <w:tl2br w:val="nil"/>
                    <w:tr2bl w:val="nil"/>
                  </w:tcBorders>
                  <w:noWrap/>
                  <w:vAlign w:val="center"/>
                </w:tcPr>
                <w:p w14:paraId="108DE709">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村庄</w:t>
                  </w:r>
                </w:p>
              </w:tc>
              <w:tc>
                <w:tcPr>
                  <w:tcW w:w="826" w:type="dxa"/>
                  <w:tcBorders>
                    <w:tl2br w:val="nil"/>
                    <w:tr2bl w:val="nil"/>
                  </w:tcBorders>
                  <w:noWrap/>
                  <w:vAlign w:val="center"/>
                </w:tcPr>
                <w:p w14:paraId="2D3742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居民</w:t>
                  </w:r>
                </w:p>
              </w:tc>
              <w:tc>
                <w:tcPr>
                  <w:tcW w:w="2093" w:type="dxa"/>
                  <w:vMerge w:val="continue"/>
                  <w:tcBorders>
                    <w:tl2br w:val="nil"/>
                    <w:tr2bl w:val="nil"/>
                  </w:tcBorders>
                  <w:noWrap w:val="0"/>
                  <w:vAlign w:val="center"/>
                </w:tcPr>
                <w:p w14:paraId="5180A7B2">
                  <w:pPr>
                    <w:jc w:val="center"/>
                    <w:rPr>
                      <w:rFonts w:hint="default" w:ascii="Times New Roman" w:hAnsi="Times New Roman" w:eastAsia="宋体" w:cs="Times New Roman"/>
                      <w:i w:val="0"/>
                      <w:iCs w:val="0"/>
                      <w:color w:val="FF0000"/>
                      <w:sz w:val="21"/>
                      <w:szCs w:val="21"/>
                      <w:u w:val="none"/>
                    </w:rPr>
                  </w:pPr>
                </w:p>
              </w:tc>
              <w:tc>
                <w:tcPr>
                  <w:tcW w:w="948" w:type="dxa"/>
                  <w:tcBorders>
                    <w:tl2br w:val="nil"/>
                    <w:tr2bl w:val="nil"/>
                  </w:tcBorders>
                  <w:noWrap/>
                  <w:vAlign w:val="center"/>
                </w:tcPr>
                <w:p w14:paraId="1B6DDD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西</w:t>
                  </w:r>
                </w:p>
              </w:tc>
              <w:tc>
                <w:tcPr>
                  <w:tcW w:w="948" w:type="dxa"/>
                  <w:tcBorders>
                    <w:tl2br w:val="nil"/>
                    <w:tr2bl w:val="nil"/>
                  </w:tcBorders>
                  <w:noWrap/>
                  <w:vAlign w:val="center"/>
                </w:tcPr>
                <w:p w14:paraId="7DB880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383</w:t>
                  </w:r>
                </w:p>
              </w:tc>
            </w:tr>
          </w:tbl>
          <w:p w14:paraId="4EB8BBF4">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auto"/>
                <w:lang w:val="en-US" w:eastAsia="zh-CN"/>
              </w:rPr>
            </w:pPr>
            <w:r>
              <w:rPr>
                <w:rFonts w:hint="eastAsia"/>
                <w:b/>
                <w:bCs/>
                <w:color w:val="auto"/>
                <w:lang w:val="en-US" w:eastAsia="zh-CN"/>
              </w:rPr>
              <w:t>（二）声环境</w:t>
            </w:r>
          </w:p>
          <w:p w14:paraId="553AF55B">
            <w:pPr>
              <w:pStyle w:val="1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根据现场踏勘，本项目厂界外周边50m范围内</w:t>
            </w:r>
            <w:r>
              <w:rPr>
                <w:rFonts w:hint="eastAsia" w:ascii="Times New Roman" w:hAnsi="Times New Roman" w:cs="Times New Roman"/>
                <w:color w:val="auto"/>
                <w:lang w:val="en-US" w:eastAsia="zh-CN"/>
              </w:rPr>
              <w:t>无</w:t>
            </w:r>
            <w:r>
              <w:rPr>
                <w:rFonts w:hint="default" w:ascii="Times New Roman" w:hAnsi="Times New Roman" w:cs="Times New Roman"/>
                <w:color w:val="auto"/>
                <w:lang w:val="en-US" w:eastAsia="zh-CN"/>
              </w:rPr>
              <w:t>声环境保护目标</w:t>
            </w:r>
            <w:r>
              <w:rPr>
                <w:rFonts w:hint="eastAsia" w:cs="Times New Roman"/>
                <w:color w:val="auto"/>
                <w:lang w:val="en-US" w:eastAsia="zh-CN"/>
              </w:rPr>
              <w:t>，</w:t>
            </w:r>
            <w:r>
              <w:rPr>
                <w:rFonts w:hint="eastAsia"/>
                <w:color w:val="auto"/>
                <w:highlight w:val="none"/>
                <w:lang w:val="en-US" w:eastAsia="zh-CN"/>
              </w:rPr>
              <w:t>无须进行声环境监测。</w:t>
            </w:r>
          </w:p>
          <w:p w14:paraId="5DBDF138">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auto"/>
                <w:lang w:val="en-US" w:eastAsia="zh-CN"/>
              </w:rPr>
            </w:pPr>
            <w:r>
              <w:rPr>
                <w:rFonts w:hint="eastAsia"/>
                <w:b/>
                <w:bCs/>
                <w:color w:val="auto"/>
                <w:lang w:val="en-US" w:eastAsia="zh-CN"/>
              </w:rPr>
              <w:t>（三）地下水环境</w:t>
            </w:r>
          </w:p>
          <w:p w14:paraId="0338A530">
            <w:pPr>
              <w:pStyle w:val="63"/>
              <w:spacing w:line="360" w:lineRule="auto"/>
              <w:ind w:left="0" w:leftChars="0" w:firstLine="480" w:firstLineChars="200"/>
              <w:rPr>
                <w:rFonts w:hint="default" w:ascii="Times New Roman" w:hAnsi="Times New Roman" w:cs="Times New Roman"/>
                <w:color w:val="auto"/>
                <w:lang w:val="en-US" w:eastAsia="zh-CN"/>
              </w:rPr>
            </w:pPr>
            <w:r>
              <w:rPr>
                <w:rFonts w:hint="eastAsia"/>
                <w:color w:val="auto"/>
                <w:lang w:val="en-US" w:eastAsia="zh-CN"/>
              </w:rPr>
              <w:t>根据现场踏勘，</w:t>
            </w:r>
            <w:r>
              <w:rPr>
                <w:rFonts w:hint="default" w:ascii="Times New Roman" w:hAnsi="Times New Roman" w:cs="Times New Roman"/>
                <w:color w:val="auto"/>
                <w:lang w:val="en-US" w:eastAsia="zh-CN"/>
              </w:rPr>
              <w:t>项目厂界外500米范围内无地下水集中式饮用水水源和热水、矿泉水、温泉等特殊地下水资源。</w:t>
            </w:r>
          </w:p>
          <w:p w14:paraId="236190C9">
            <w:pPr>
              <w:pStyle w:val="124"/>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auto"/>
                <w:lang w:val="en-US" w:eastAsia="zh-CN"/>
              </w:rPr>
            </w:pPr>
            <w:r>
              <w:rPr>
                <w:rFonts w:hint="eastAsia"/>
                <w:b/>
                <w:bCs/>
                <w:color w:val="auto"/>
                <w:lang w:val="en-US" w:eastAsia="zh-CN"/>
              </w:rPr>
              <w:t>（四）生态环境</w:t>
            </w:r>
          </w:p>
          <w:p w14:paraId="5183D28B">
            <w:pPr>
              <w:pStyle w:val="124"/>
              <w:bidi w:val="0"/>
              <w:rPr>
                <w:rFonts w:hint="default" w:ascii="Times New Roman" w:hAnsi="Times New Roman" w:eastAsia="宋体" w:cs="Times New Roman"/>
                <w:color w:val="auto"/>
                <w:kern w:val="0"/>
                <w:szCs w:val="21"/>
                <w:highlight w:val="none"/>
              </w:rPr>
            </w:pPr>
            <w:r>
              <w:rPr>
                <w:rFonts w:hint="eastAsia"/>
                <w:color w:val="auto"/>
                <w:lang w:val="en-US" w:eastAsia="zh-CN"/>
              </w:rPr>
              <w:t>根</w:t>
            </w:r>
            <w:r>
              <w:rPr>
                <w:rFonts w:hint="eastAsia"/>
                <w:color w:val="auto"/>
                <w:highlight w:val="none"/>
                <w:lang w:val="en-US" w:eastAsia="zh-CN"/>
              </w:rPr>
              <w:t>据现场踏勘，</w:t>
            </w:r>
            <w:r>
              <w:rPr>
                <w:rFonts w:hint="eastAsia"/>
                <w:color w:val="auto"/>
                <w:lang w:val="en-US" w:eastAsia="zh-CN"/>
              </w:rPr>
              <w:t>本项目用地范围内无古树名木、</w:t>
            </w:r>
            <w:r>
              <w:rPr>
                <w:rFonts w:hint="default" w:ascii="Times New Roman" w:hAnsi="Times New Roman" w:eastAsia="宋体" w:cs="Times New Roman"/>
                <w:color w:val="auto"/>
                <w:spacing w:val="-7"/>
              </w:rPr>
              <w:t>无文物古迹、风景名胜区</w:t>
            </w:r>
            <w:r>
              <w:rPr>
                <w:rFonts w:hint="eastAsia" w:ascii="Times New Roman" w:hAnsi="Times New Roman" w:eastAsia="宋体" w:cs="Times New Roman"/>
                <w:color w:val="auto"/>
                <w:spacing w:val="-7"/>
                <w:lang w:eastAsia="zh-CN"/>
              </w:rPr>
              <w:t>、</w:t>
            </w:r>
            <w:r>
              <w:rPr>
                <w:rFonts w:hint="eastAsia" w:ascii="Times New Roman" w:hAnsi="Times New Roman" w:eastAsia="宋体" w:cs="Times New Roman"/>
                <w:color w:val="auto"/>
                <w:spacing w:val="-7"/>
                <w:lang w:val="en-US" w:eastAsia="zh-CN"/>
              </w:rPr>
              <w:t>自然保护区</w:t>
            </w:r>
            <w:r>
              <w:rPr>
                <w:rFonts w:hint="eastAsia"/>
                <w:color w:val="auto"/>
                <w:lang w:val="en-US" w:eastAsia="zh-CN"/>
              </w:rPr>
              <w:t>等生态环境保护目标，无须进行生态现状调查。</w:t>
            </w:r>
          </w:p>
        </w:tc>
      </w:tr>
      <w:tr w14:paraId="5AA0B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8" w:type="dxa"/>
            <w:noWrap w:val="0"/>
            <w:vAlign w:val="center"/>
          </w:tcPr>
          <w:p w14:paraId="65590833">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cs="宋体"/>
                <w:color w:val="auto"/>
                <w:kern w:val="0"/>
                <w:sz w:val="24"/>
                <w:szCs w:val="24"/>
              </w:rPr>
              <w:t>污染物排放控制标准</w:t>
            </w:r>
          </w:p>
        </w:tc>
        <w:tc>
          <w:tcPr>
            <w:tcW w:w="8382" w:type="dxa"/>
            <w:noWrap w:val="0"/>
            <w:vAlign w:val="center"/>
          </w:tcPr>
          <w:p w14:paraId="308408B1">
            <w:pPr>
              <w:pStyle w:val="10"/>
              <w:numPr>
                <w:ilvl w:val="0"/>
                <w:numId w:val="0"/>
              </w:numPr>
              <w:bidi w:val="0"/>
              <w:ind w:right="0" w:rightChars="0" w:firstLine="482" w:firstLineChars="200"/>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kern w:val="0"/>
                <w:sz w:val="24"/>
                <w:szCs w:val="24"/>
                <w:lang w:val="en-US" w:eastAsia="zh-CN" w:bidi="ar-SA"/>
              </w:rPr>
              <w:t>（一）</w:t>
            </w:r>
            <w:r>
              <w:rPr>
                <w:rFonts w:hint="eastAsia" w:ascii="Times New Roman" w:hAnsi="Times New Roman" w:eastAsia="宋体" w:cs="Times New Roman"/>
                <w:b/>
                <w:bCs w:val="0"/>
                <w:color w:val="auto"/>
                <w:sz w:val="24"/>
                <w:szCs w:val="24"/>
                <w:highlight w:val="none"/>
                <w:lang w:val="en-US" w:eastAsia="zh-CN"/>
              </w:rPr>
              <w:t>废气</w:t>
            </w:r>
          </w:p>
          <w:p w14:paraId="76E595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eastAsia="宋体" w:cs="Times New Roman"/>
                <w:color w:val="auto"/>
                <w:sz w:val="24"/>
                <w:szCs w:val="24"/>
                <w:lang w:val="en-US" w:eastAsia="zh-CN"/>
              </w:rPr>
              <w:t>运营</w:t>
            </w:r>
            <w:r>
              <w:rPr>
                <w:rFonts w:hint="default" w:ascii="Times New Roman" w:hAnsi="Times New Roman" w:eastAsia="宋体" w:cs="Times New Roman"/>
                <w:color w:val="auto"/>
                <w:sz w:val="24"/>
                <w:szCs w:val="24"/>
                <w:lang w:val="en-US" w:eastAsia="zh-CN"/>
              </w:rPr>
              <w:t>期</w:t>
            </w:r>
            <w:r>
              <w:rPr>
                <w:rFonts w:hint="eastAsia" w:ascii="Times New Roman" w:eastAsia="宋体" w:cs="Times New Roman"/>
                <w:color w:val="auto"/>
                <w:sz w:val="24"/>
                <w:szCs w:val="24"/>
                <w:lang w:val="en-US" w:eastAsia="zh-CN"/>
              </w:rPr>
              <w:t>废气污染物主要为</w:t>
            </w:r>
            <w:r>
              <w:rPr>
                <w:rFonts w:hint="eastAsia" w:cs="Times New Roman"/>
                <w:b w:val="0"/>
                <w:bCs/>
                <w:sz w:val="24"/>
                <w:szCs w:val="24"/>
                <w:lang w:val="en-US" w:eastAsia="zh-CN"/>
              </w:rPr>
              <w:t>油烟、颗粒物、二氧化硫、氮氧化物、硫化氢和氨</w:t>
            </w:r>
            <w:r>
              <w:rPr>
                <w:rFonts w:hint="default" w:ascii="Times New Roman" w:hAnsi="Times New Roman" w:eastAsia="宋体" w:cs="Times New Roman"/>
                <w:color w:val="auto"/>
                <w:sz w:val="24"/>
                <w:szCs w:val="24"/>
                <w:lang w:val="en-US" w:eastAsia="zh-CN"/>
              </w:rPr>
              <w:t>，</w:t>
            </w:r>
            <w:r>
              <w:rPr>
                <w:rFonts w:hint="eastAsia" w:ascii="Times New Roman" w:cs="Times New Roman"/>
                <w:color w:val="auto"/>
                <w:sz w:val="24"/>
                <w:szCs w:val="24"/>
                <w:lang w:val="en-US" w:eastAsia="zh-CN"/>
              </w:rPr>
              <w:t>油烟</w:t>
            </w:r>
            <w:r>
              <w:rPr>
                <w:rFonts w:hint="default" w:ascii="Times New Roman" w:hAnsi="Times New Roman" w:eastAsia="宋体" w:cs="Times New Roman"/>
                <w:color w:val="auto"/>
                <w:sz w:val="24"/>
                <w:szCs w:val="24"/>
                <w:lang w:val="en-US" w:eastAsia="zh-CN"/>
              </w:rPr>
              <w:t>执行</w:t>
            </w:r>
            <w:r>
              <w:rPr>
                <w:rFonts w:hint="eastAsia" w:ascii="宋体" w:hAnsi="宋体" w:eastAsia="宋体" w:cs="宋体"/>
                <w:color w:val="000000"/>
                <w:kern w:val="0"/>
                <w:sz w:val="24"/>
                <w:szCs w:val="24"/>
                <w:lang w:val="en-US" w:eastAsia="zh-CN" w:bidi="ar"/>
              </w:rPr>
              <w:t>《饮食业油烟排放标准（试行）》（</w:t>
            </w:r>
            <w:r>
              <w:rPr>
                <w:rFonts w:hint="default" w:ascii="Times New Roman" w:hAnsi="Times New Roman" w:eastAsia="宋体" w:cs="Times New Roman"/>
                <w:color w:val="000000"/>
                <w:kern w:val="0"/>
                <w:sz w:val="24"/>
                <w:szCs w:val="24"/>
                <w:lang w:val="en-US" w:eastAsia="zh-CN" w:bidi="ar"/>
              </w:rPr>
              <w:t>GB18483-2001</w:t>
            </w:r>
            <w:r>
              <w:rPr>
                <w:rFonts w:hint="eastAsia" w:ascii="宋体" w:hAnsi="宋体" w:eastAsia="宋体" w:cs="宋体"/>
                <w:color w:val="000000"/>
                <w:kern w:val="0"/>
                <w:sz w:val="24"/>
                <w:szCs w:val="24"/>
                <w:lang w:val="en-US" w:eastAsia="zh-CN" w:bidi="ar"/>
              </w:rPr>
              <w:t>）大型规模标准</w:t>
            </w:r>
            <w:r>
              <w:rPr>
                <w:rFonts w:hint="eastAsia" w:cs="Times New Roman"/>
                <w:color w:val="auto"/>
                <w:sz w:val="24"/>
                <w:szCs w:val="24"/>
                <w:lang w:val="en-US" w:eastAsia="zh-CN"/>
              </w:rPr>
              <w:t>；</w:t>
            </w:r>
            <w:r>
              <w:rPr>
                <w:rFonts w:hint="eastAsia" w:ascii="Times New Roman" w:hAnsi="Times New Roman" w:eastAsia="宋体" w:cs="Times New Roman"/>
                <w:b w:val="0"/>
                <w:bCs/>
                <w:sz w:val="24"/>
                <w:szCs w:val="24"/>
                <w:lang w:val="en-US" w:eastAsia="zh-CN"/>
              </w:rPr>
              <w:t>燃气灶燃烧废气中的</w:t>
            </w:r>
            <w:r>
              <w:rPr>
                <w:rFonts w:hint="eastAsia" w:cs="Times New Roman"/>
                <w:b w:val="0"/>
                <w:bCs/>
                <w:sz w:val="24"/>
                <w:szCs w:val="24"/>
                <w:lang w:val="en-US" w:eastAsia="zh-CN"/>
              </w:rPr>
              <w:t>颗粒物、二氧化硫、氮氧化物执行</w:t>
            </w:r>
            <w:r>
              <w:rPr>
                <w:rFonts w:hint="default" w:ascii="Times New Roman" w:hAnsi="Times New Roman" w:eastAsia="宋体" w:cs="Times New Roman"/>
                <w:color w:val="000000"/>
                <w:sz w:val="24"/>
                <w:szCs w:val="24"/>
                <w:lang w:val="en-US" w:eastAsia="zh-CN"/>
              </w:rPr>
              <w:t>《大气污染物综合排放标准》（GB16297-1996）中</w:t>
            </w:r>
            <w:r>
              <w:rPr>
                <w:rFonts w:hint="eastAsia" w:ascii="Times New Roman" w:hAnsi="Times New Roman" w:eastAsia="宋体" w:cs="Times New Roman"/>
                <w:color w:val="000000"/>
                <w:sz w:val="24"/>
                <w:szCs w:val="24"/>
                <w:lang w:val="en-US" w:eastAsia="zh-CN"/>
              </w:rPr>
              <w:t>表2</w:t>
            </w:r>
            <w:r>
              <w:rPr>
                <w:rFonts w:hint="default" w:ascii="Times New Roman" w:hAnsi="Times New Roman" w:eastAsia="宋体" w:cs="Times New Roman"/>
                <w:color w:val="000000"/>
                <w:sz w:val="24"/>
                <w:szCs w:val="24"/>
                <w:lang w:val="en-US" w:eastAsia="zh-CN"/>
              </w:rPr>
              <w:t>二级排放标准</w:t>
            </w:r>
            <w:r>
              <w:rPr>
                <w:rFonts w:hint="eastAsia" w:cs="Times New Roman"/>
                <w:b w:val="0"/>
                <w:bCs/>
                <w:sz w:val="24"/>
                <w:szCs w:val="24"/>
                <w:lang w:val="en-US" w:eastAsia="zh-CN"/>
              </w:rPr>
              <w:t>；锅炉废气中的颗粒物、二氧化硫和氮氧化物</w:t>
            </w:r>
            <w:r>
              <w:rPr>
                <w:rFonts w:hint="eastAsia" w:ascii="宋体" w:hAnsi="宋体" w:eastAsia="宋体" w:cs="宋体"/>
                <w:color w:val="000000"/>
                <w:kern w:val="0"/>
                <w:sz w:val="24"/>
                <w:szCs w:val="24"/>
                <w:lang w:val="en-US" w:eastAsia="zh-CN" w:bidi="ar"/>
              </w:rPr>
              <w:t>执行《锅炉大气污染物排放标准》（</w:t>
            </w:r>
            <w:r>
              <w:rPr>
                <w:rFonts w:hint="default" w:ascii="Times New Roman" w:hAnsi="Times New Roman" w:eastAsia="宋体" w:cs="Times New Roman"/>
                <w:color w:val="000000"/>
                <w:kern w:val="0"/>
                <w:sz w:val="24"/>
                <w:szCs w:val="24"/>
                <w:lang w:val="en-US" w:eastAsia="zh-CN" w:bidi="ar"/>
              </w:rPr>
              <w:t>GB13271-2014</w:t>
            </w:r>
            <w:r>
              <w:rPr>
                <w:rFonts w:hint="eastAsia" w:ascii="宋体" w:hAnsi="宋体" w:eastAsia="宋体" w:cs="宋体"/>
                <w:color w:val="000000"/>
                <w:kern w:val="0"/>
                <w:sz w:val="24"/>
                <w:szCs w:val="24"/>
                <w:lang w:val="en-US" w:eastAsia="zh-CN" w:bidi="ar"/>
              </w:rPr>
              <w:t>）中表</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燃气锅炉标准；</w:t>
            </w:r>
            <w:r>
              <w:rPr>
                <w:rFonts w:hint="eastAsia" w:ascii="Times New Roman" w:hAnsi="Times New Roman" w:cs="Times New Roman"/>
                <w:color w:val="auto"/>
                <w:kern w:val="0"/>
                <w:sz w:val="24"/>
                <w:szCs w:val="24"/>
                <w:lang w:val="en-US" w:eastAsia="zh-CN"/>
              </w:rPr>
              <w:t>污水处理站</w:t>
            </w:r>
            <w:r>
              <w:rPr>
                <w:rFonts w:hint="default" w:ascii="Times New Roman" w:hAnsi="Times New Roman" w:cs="Times New Roman"/>
                <w:bCs/>
                <w:color w:val="auto"/>
                <w:sz w:val="24"/>
                <w:szCs w:val="24"/>
                <w:highlight w:val="none"/>
                <w:lang w:val="en-US" w:eastAsia="zh-CN"/>
              </w:rPr>
              <w:t>恶臭污染物</w:t>
            </w:r>
            <w:r>
              <w:rPr>
                <w:rFonts w:hint="eastAsia" w:cs="Times New Roman"/>
                <w:b w:val="0"/>
                <w:bCs/>
                <w:sz w:val="24"/>
                <w:szCs w:val="24"/>
                <w:lang w:val="en-US" w:eastAsia="zh-CN"/>
              </w:rPr>
              <w:t>硫化氢、氨</w:t>
            </w:r>
            <w:r>
              <w:rPr>
                <w:rFonts w:hint="eastAsia" w:cs="Times New Roman"/>
                <w:color w:val="auto"/>
                <w:sz w:val="24"/>
                <w:szCs w:val="24"/>
                <w:highlight w:val="none"/>
                <w:lang w:val="en-US" w:eastAsia="zh-CN"/>
              </w:rPr>
              <w:t>和臭气浓度</w:t>
            </w:r>
            <w:r>
              <w:rPr>
                <w:rFonts w:hint="default" w:ascii="Times New Roman" w:hAnsi="Times New Roman" w:cs="Times New Roman"/>
                <w:bCs/>
                <w:color w:val="auto"/>
                <w:sz w:val="24"/>
                <w:szCs w:val="24"/>
                <w:highlight w:val="none"/>
                <w:lang w:val="en-US" w:eastAsia="zh-CN"/>
              </w:rPr>
              <w:t>执行</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恶臭</w:t>
            </w:r>
            <w:r>
              <w:rPr>
                <w:rFonts w:hint="default" w:ascii="Times New Roman" w:hAnsi="Times New Roman" w:cs="Times New Roman"/>
                <w:bCs/>
                <w:color w:val="auto"/>
                <w:sz w:val="24"/>
                <w:szCs w:val="24"/>
                <w:highlight w:val="none"/>
              </w:rPr>
              <w:t>污染物排放标准》（GB</w:t>
            </w:r>
            <w:r>
              <w:rPr>
                <w:rFonts w:hint="default" w:ascii="Times New Roman" w:hAnsi="Times New Roman" w:cs="Times New Roman"/>
                <w:bCs/>
                <w:color w:val="auto"/>
                <w:sz w:val="24"/>
                <w:szCs w:val="24"/>
                <w:highlight w:val="none"/>
                <w:lang w:val="en-US" w:eastAsia="zh-CN"/>
              </w:rPr>
              <w:t>14554</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93</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中表1二</w:t>
            </w:r>
            <w:r>
              <w:rPr>
                <w:rFonts w:hint="eastAsia"/>
                <w:bCs/>
                <w:color w:val="auto"/>
                <w:sz w:val="24"/>
                <w:szCs w:val="24"/>
                <w:highlight w:val="none"/>
                <w:lang w:val="en-US" w:eastAsia="zh-CN"/>
              </w:rPr>
              <w:t>级标准限值。</w:t>
            </w:r>
            <w:r>
              <w:rPr>
                <w:rFonts w:hint="default" w:ascii="Times New Roman" w:hAnsi="Times New Roman" w:eastAsia="宋体" w:cs="Times New Roman"/>
                <w:color w:val="auto"/>
                <w:sz w:val="24"/>
                <w:szCs w:val="24"/>
                <w:lang w:val="en-US" w:eastAsia="zh-CN"/>
              </w:rPr>
              <w:t>具体标准值见下表：</w:t>
            </w:r>
          </w:p>
          <w:p w14:paraId="7F07ECE8">
            <w:pPr>
              <w:pStyle w:val="125"/>
              <w:bidi w:val="0"/>
              <w:jc w:val="center"/>
              <w:rPr>
                <w:rFonts w:hint="eastAsia"/>
                <w:color w:val="auto"/>
                <w:lang w:val="en-US" w:eastAsia="zh-CN"/>
              </w:rPr>
            </w:pPr>
            <w:r>
              <w:rPr>
                <w:rFonts w:hint="eastAsia"/>
                <w:color w:val="auto"/>
                <w:lang w:val="en-US" w:eastAsia="zh-CN"/>
              </w:rPr>
              <w:t>表3-4  油烟废气排放标准</w:t>
            </w:r>
          </w:p>
          <w:tbl>
            <w:tblPr>
              <w:tblStyle w:val="33"/>
              <w:tblW w:w="81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19"/>
              <w:gridCol w:w="2719"/>
              <w:gridCol w:w="2721"/>
            </w:tblGrid>
            <w:tr w14:paraId="67A05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jc w:val="center"/>
              </w:trPr>
              <w:tc>
                <w:tcPr>
                  <w:tcW w:w="2719" w:type="dxa"/>
                  <w:tcBorders>
                    <w:top w:val="single" w:color="000000" w:sz="12" w:space="0"/>
                    <w:left w:val="nil"/>
                    <w:bottom w:val="single" w:color="000000" w:sz="8" w:space="0"/>
                    <w:right w:val="single" w:color="000000" w:sz="8" w:space="0"/>
                  </w:tcBorders>
                  <w:noWrap w:val="0"/>
                  <w:vAlign w:val="center"/>
                </w:tcPr>
                <w:p w14:paraId="2481A2D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规模</w:t>
                  </w:r>
                </w:p>
              </w:tc>
              <w:tc>
                <w:tcPr>
                  <w:tcW w:w="2719" w:type="dxa"/>
                  <w:tcBorders>
                    <w:top w:val="single" w:color="000000" w:sz="12" w:space="0"/>
                    <w:left w:val="single" w:color="000000" w:sz="8" w:space="0"/>
                    <w:bottom w:val="single" w:color="000000" w:sz="8" w:space="0"/>
                    <w:right w:val="single" w:color="000000" w:sz="8" w:space="0"/>
                  </w:tcBorders>
                  <w:noWrap w:val="0"/>
                  <w:vAlign w:val="center"/>
                </w:tcPr>
                <w:p w14:paraId="77FC9993">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大型</w:t>
                  </w:r>
                </w:p>
              </w:tc>
              <w:tc>
                <w:tcPr>
                  <w:tcW w:w="2721" w:type="dxa"/>
                  <w:tcBorders>
                    <w:top w:val="single" w:color="000000" w:sz="12" w:space="0"/>
                    <w:left w:val="single" w:color="000000" w:sz="8" w:space="0"/>
                    <w:bottom w:val="single" w:color="000000" w:sz="8" w:space="0"/>
                    <w:right w:val="nil"/>
                  </w:tcBorders>
                  <w:noWrap w:val="0"/>
                  <w:vAlign w:val="center"/>
                </w:tcPr>
                <w:p w14:paraId="21434DC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标准来源</w:t>
                  </w:r>
                </w:p>
              </w:tc>
            </w:tr>
            <w:tr w14:paraId="0267B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 w:hRule="atLeast"/>
                <w:jc w:val="center"/>
              </w:trPr>
              <w:tc>
                <w:tcPr>
                  <w:tcW w:w="2719" w:type="dxa"/>
                  <w:tcBorders>
                    <w:top w:val="single" w:color="000000" w:sz="8" w:space="0"/>
                    <w:left w:val="nil"/>
                    <w:bottom w:val="single" w:color="000000" w:sz="8" w:space="0"/>
                    <w:right w:val="single" w:color="000000" w:sz="8" w:space="0"/>
                  </w:tcBorders>
                  <w:noWrap w:val="0"/>
                  <w:vAlign w:val="center"/>
                </w:tcPr>
                <w:p w14:paraId="526FEA3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基准</w:t>
                  </w:r>
                  <w:r>
                    <w:rPr>
                      <w:rFonts w:hint="eastAsia" w:ascii="宋体" w:hAnsi="宋体" w:cs="宋体"/>
                      <w:i w:val="0"/>
                      <w:iCs w:val="0"/>
                      <w:color w:val="auto"/>
                      <w:kern w:val="0"/>
                      <w:sz w:val="21"/>
                      <w:szCs w:val="21"/>
                      <w:u w:val="none"/>
                      <w:lang w:val="en-US" w:eastAsia="zh-CN" w:bidi="ar"/>
                    </w:rPr>
                    <w:t>燃气灶</w:t>
                  </w:r>
                  <w:r>
                    <w:rPr>
                      <w:rFonts w:hint="eastAsia" w:ascii="宋体" w:hAnsi="宋体" w:eastAsia="宋体" w:cs="宋体"/>
                      <w:i w:val="0"/>
                      <w:iCs w:val="0"/>
                      <w:color w:val="auto"/>
                      <w:kern w:val="0"/>
                      <w:sz w:val="21"/>
                      <w:szCs w:val="21"/>
                      <w:u w:val="none"/>
                      <w:lang w:val="en-US" w:eastAsia="zh-CN" w:bidi="ar"/>
                    </w:rPr>
                    <w:t>数</w:t>
                  </w:r>
                </w:p>
              </w:tc>
              <w:tc>
                <w:tcPr>
                  <w:tcW w:w="2719" w:type="dxa"/>
                  <w:tcBorders>
                    <w:top w:val="single" w:color="000000" w:sz="8" w:space="0"/>
                    <w:left w:val="single" w:color="000000" w:sz="8" w:space="0"/>
                    <w:bottom w:val="single" w:color="000000" w:sz="8" w:space="0"/>
                    <w:right w:val="single" w:color="000000" w:sz="8" w:space="0"/>
                  </w:tcBorders>
                  <w:noWrap w:val="0"/>
                  <w:vAlign w:val="center"/>
                </w:tcPr>
                <w:p w14:paraId="71B5AD3F">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6</w:t>
                  </w:r>
                </w:p>
              </w:tc>
              <w:tc>
                <w:tcPr>
                  <w:tcW w:w="2721" w:type="dxa"/>
                  <w:vMerge w:val="restart"/>
                  <w:tcBorders>
                    <w:top w:val="single" w:color="000000" w:sz="8" w:space="0"/>
                    <w:left w:val="single" w:color="000000" w:sz="8" w:space="0"/>
                    <w:right w:val="nil"/>
                  </w:tcBorders>
                  <w:noWrap w:val="0"/>
                  <w:vAlign w:val="center"/>
                </w:tcPr>
                <w:p w14:paraId="7A56048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《饮食业油烟排放标准》（</w:t>
                  </w:r>
                  <w:r>
                    <w:rPr>
                      <w:rFonts w:hint="default" w:ascii="Times New Roman" w:hAnsi="Times New Roman" w:eastAsia="宋体" w:cs="Times New Roman"/>
                      <w:i w:val="0"/>
                      <w:iCs w:val="0"/>
                      <w:color w:val="auto"/>
                      <w:kern w:val="0"/>
                      <w:sz w:val="21"/>
                      <w:szCs w:val="21"/>
                      <w:u w:val="none"/>
                      <w:lang w:val="en-US" w:eastAsia="zh-CN" w:bidi="ar"/>
                    </w:rPr>
                    <w:t>GB18483-2001</w:t>
                  </w:r>
                  <w:r>
                    <w:rPr>
                      <w:rFonts w:hint="eastAsia" w:ascii="宋体" w:hAnsi="宋体" w:eastAsia="宋体" w:cs="宋体"/>
                      <w:i w:val="0"/>
                      <w:iCs w:val="0"/>
                      <w:color w:val="auto"/>
                      <w:kern w:val="0"/>
                      <w:sz w:val="21"/>
                      <w:szCs w:val="21"/>
                      <w:u w:val="none"/>
                      <w:lang w:val="en-US" w:eastAsia="zh-CN" w:bidi="ar"/>
                    </w:rPr>
                    <w:t>）表</w:t>
                  </w:r>
                  <w:r>
                    <w:rPr>
                      <w:rFonts w:hint="default" w:ascii="Times New Roman" w:hAnsi="Times New Roman" w:eastAsia="宋体" w:cs="Times New Roman"/>
                      <w:i w:val="0"/>
                      <w:iCs w:val="0"/>
                      <w:color w:val="auto"/>
                      <w:kern w:val="0"/>
                      <w:sz w:val="21"/>
                      <w:szCs w:val="21"/>
                      <w:u w:val="none"/>
                      <w:lang w:val="en-US" w:eastAsia="zh-CN" w:bidi="ar"/>
                    </w:rPr>
                    <w:t>2</w:t>
                  </w:r>
                </w:p>
              </w:tc>
            </w:tr>
            <w:tr w14:paraId="61ACC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2719" w:type="dxa"/>
                  <w:tcBorders>
                    <w:top w:val="single" w:color="000000" w:sz="8" w:space="0"/>
                    <w:left w:val="nil"/>
                    <w:bottom w:val="single" w:color="000000" w:sz="8" w:space="0"/>
                    <w:right w:val="single" w:color="000000" w:sz="8" w:space="0"/>
                  </w:tcBorders>
                  <w:noWrap w:val="0"/>
                  <w:vAlign w:val="center"/>
                </w:tcPr>
                <w:p w14:paraId="5C3D71C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最高允许排放浓度（</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宋体" w:hAnsi="宋体" w:eastAsia="宋体" w:cs="宋体"/>
                      <w:i w:val="0"/>
                      <w:iCs w:val="0"/>
                      <w:color w:val="auto"/>
                      <w:kern w:val="0"/>
                      <w:sz w:val="21"/>
                      <w:szCs w:val="21"/>
                      <w:u w:val="none"/>
                      <w:lang w:val="en-US" w:eastAsia="zh-CN" w:bidi="ar"/>
                    </w:rPr>
                    <w:t>）</w:t>
                  </w:r>
                </w:p>
              </w:tc>
              <w:tc>
                <w:tcPr>
                  <w:tcW w:w="2719" w:type="dxa"/>
                  <w:tcBorders>
                    <w:top w:val="single" w:color="000000" w:sz="8" w:space="0"/>
                    <w:left w:val="single" w:color="000000" w:sz="8" w:space="0"/>
                    <w:bottom w:val="single" w:color="000000" w:sz="8" w:space="0"/>
                    <w:right w:val="single" w:color="000000" w:sz="8" w:space="0"/>
                  </w:tcBorders>
                  <w:noWrap w:val="0"/>
                  <w:vAlign w:val="center"/>
                </w:tcPr>
                <w:p w14:paraId="7EA98E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2721" w:type="dxa"/>
                  <w:vMerge w:val="continue"/>
                  <w:tcBorders>
                    <w:left w:val="single" w:color="000000" w:sz="8" w:space="0"/>
                    <w:right w:val="nil"/>
                  </w:tcBorders>
                  <w:noWrap w:val="0"/>
                  <w:vAlign w:val="center"/>
                </w:tcPr>
                <w:p w14:paraId="7281D143">
                  <w:pPr>
                    <w:jc w:val="center"/>
                    <w:rPr>
                      <w:rFonts w:hint="default" w:ascii="Times New Roman" w:hAnsi="Times New Roman" w:eastAsia="宋体" w:cs="Times New Roman"/>
                      <w:i w:val="0"/>
                      <w:iCs w:val="0"/>
                      <w:color w:val="auto"/>
                      <w:sz w:val="21"/>
                      <w:szCs w:val="21"/>
                      <w:u w:val="none"/>
                    </w:rPr>
                  </w:pPr>
                </w:p>
              </w:tc>
            </w:tr>
            <w:tr w14:paraId="434A1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 w:hRule="atLeast"/>
                <w:jc w:val="center"/>
              </w:trPr>
              <w:tc>
                <w:tcPr>
                  <w:tcW w:w="2719" w:type="dxa"/>
                  <w:tcBorders>
                    <w:top w:val="single" w:color="000000" w:sz="8" w:space="0"/>
                    <w:left w:val="nil"/>
                    <w:bottom w:val="single" w:color="000000" w:sz="12" w:space="0"/>
                    <w:right w:val="single" w:color="000000" w:sz="8" w:space="0"/>
                  </w:tcBorders>
                  <w:noWrap w:val="0"/>
                  <w:vAlign w:val="center"/>
                </w:tcPr>
                <w:p w14:paraId="69D2676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净化设备最低去除效率（</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w:t>
                  </w:r>
                </w:p>
              </w:tc>
              <w:tc>
                <w:tcPr>
                  <w:tcW w:w="2719" w:type="dxa"/>
                  <w:tcBorders>
                    <w:top w:val="single" w:color="000000" w:sz="8" w:space="0"/>
                    <w:left w:val="single" w:color="000000" w:sz="8" w:space="0"/>
                    <w:bottom w:val="single" w:color="000000" w:sz="12" w:space="0"/>
                    <w:right w:val="single" w:color="000000" w:sz="8" w:space="0"/>
                  </w:tcBorders>
                  <w:noWrap w:val="0"/>
                  <w:vAlign w:val="center"/>
                </w:tcPr>
                <w:p w14:paraId="668D27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85</w:t>
                  </w:r>
                </w:p>
              </w:tc>
              <w:tc>
                <w:tcPr>
                  <w:tcW w:w="2721" w:type="dxa"/>
                  <w:vMerge w:val="continue"/>
                  <w:tcBorders>
                    <w:left w:val="single" w:color="000000" w:sz="8" w:space="0"/>
                    <w:bottom w:val="single" w:color="000000" w:sz="12" w:space="0"/>
                    <w:right w:val="nil"/>
                  </w:tcBorders>
                  <w:noWrap/>
                  <w:vAlign w:val="center"/>
                </w:tcPr>
                <w:p w14:paraId="2BA23866">
                  <w:pPr>
                    <w:rPr>
                      <w:rFonts w:hint="eastAsia" w:ascii="宋体" w:hAnsi="宋体" w:eastAsia="宋体" w:cs="宋体"/>
                      <w:i w:val="0"/>
                      <w:iCs w:val="0"/>
                      <w:color w:val="auto"/>
                      <w:sz w:val="22"/>
                      <w:szCs w:val="22"/>
                      <w:u w:val="none"/>
                    </w:rPr>
                  </w:pPr>
                </w:p>
              </w:tc>
            </w:tr>
          </w:tbl>
          <w:p w14:paraId="0660EA3F">
            <w:pPr>
              <w:ind w:firstLine="211" w:firstLineChars="100"/>
              <w:jc w:val="center"/>
              <w:rPr>
                <w:rFonts w:hint="default" w:ascii="Times New Roman" w:hAnsi="Times New Roman" w:eastAsia="宋体" w:cs="Times New Roman"/>
                <w:b/>
                <w:color w:val="000000"/>
                <w:sz w:val="24"/>
                <w:lang w:val="en-US" w:eastAsia="zh-CN"/>
              </w:rPr>
            </w:pPr>
            <w:r>
              <w:rPr>
                <w:rFonts w:hint="default" w:ascii="Times New Roman" w:hAnsi="Times New Roman" w:cs="Times New Roman"/>
                <w:b/>
                <w:color w:val="000000"/>
                <w:kern w:val="0"/>
                <w:szCs w:val="21"/>
              </w:rPr>
              <w:t>表</w:t>
            </w:r>
            <w:r>
              <w:rPr>
                <w:rFonts w:hint="eastAsia" w:ascii="Times New Roman" w:hAnsi="Times New Roman" w:cs="Times New Roman"/>
                <w:b/>
                <w:color w:val="000000"/>
                <w:kern w:val="0"/>
                <w:szCs w:val="21"/>
                <w:lang w:val="en-US" w:eastAsia="zh-CN"/>
              </w:rPr>
              <w:t>3-</w:t>
            </w:r>
            <w:r>
              <w:rPr>
                <w:rFonts w:hint="eastAsia" w:cs="Times New Roman"/>
                <w:b/>
                <w:color w:val="000000"/>
                <w:kern w:val="0"/>
                <w:szCs w:val="21"/>
                <w:lang w:val="en-US" w:eastAsia="zh-CN"/>
              </w:rPr>
              <w:t>5</w:t>
            </w:r>
            <w:r>
              <w:rPr>
                <w:rFonts w:hint="default" w:ascii="Times New Roman" w:hAnsi="Times New Roman" w:cs="Times New Roman"/>
                <w:b/>
                <w:color w:val="000000"/>
                <w:kern w:val="0"/>
                <w:szCs w:val="21"/>
              </w:rPr>
              <w:t xml:space="preserve">  </w:t>
            </w:r>
            <w:r>
              <w:rPr>
                <w:rFonts w:hint="eastAsia" w:cs="Times New Roman"/>
                <w:b/>
                <w:color w:val="000000"/>
                <w:kern w:val="0"/>
                <w:szCs w:val="21"/>
                <w:lang w:val="en-US" w:eastAsia="zh-CN"/>
              </w:rPr>
              <w:t>燃气灶废气</w:t>
            </w:r>
            <w:r>
              <w:rPr>
                <w:rFonts w:hint="default" w:ascii="Times New Roman" w:hAnsi="Times New Roman" w:cs="Times New Roman"/>
                <w:b/>
                <w:color w:val="000000"/>
                <w:kern w:val="0"/>
                <w:szCs w:val="21"/>
              </w:rPr>
              <w:t>排放标准</w:t>
            </w:r>
            <w:r>
              <w:rPr>
                <w:rFonts w:hint="eastAsia" w:cs="Times New Roman"/>
                <w:b/>
                <w:color w:val="000000"/>
                <w:kern w:val="0"/>
                <w:szCs w:val="21"/>
                <w:lang w:val="en-US" w:eastAsia="zh-CN"/>
              </w:rPr>
              <w:t>表</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436"/>
              <w:gridCol w:w="1219"/>
              <w:gridCol w:w="1052"/>
              <w:gridCol w:w="1331"/>
              <w:gridCol w:w="1220"/>
              <w:gridCol w:w="2128"/>
            </w:tblGrid>
            <w:tr w14:paraId="571A46C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8" w:hRule="atLeast"/>
                <w:jc w:val="center"/>
              </w:trPr>
              <w:tc>
                <w:tcPr>
                  <w:tcW w:w="856" w:type="pct"/>
                  <w:vMerge w:val="restart"/>
                  <w:tcBorders>
                    <w:tl2br w:val="nil"/>
                    <w:tr2bl w:val="nil"/>
                  </w:tcBorders>
                  <w:shd w:val="clear" w:color="auto" w:fill="FFFFFF"/>
                  <w:noWrap w:val="0"/>
                  <w:vAlign w:val="center"/>
                </w:tcPr>
                <w:p w14:paraId="39B124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kern w:val="0"/>
                      <w:szCs w:val="21"/>
                      <w:lang w:val="en-US" w:eastAsia="zh-CN"/>
                    </w:rPr>
                  </w:pPr>
                  <w:r>
                    <w:rPr>
                      <w:rFonts w:hint="eastAsia" w:cs="Times New Roman"/>
                      <w:b/>
                      <w:bCs/>
                      <w:color w:val="000000"/>
                      <w:kern w:val="0"/>
                      <w:szCs w:val="21"/>
                      <w:lang w:val="en-US" w:eastAsia="zh-CN"/>
                    </w:rPr>
                    <w:t>污染物</w:t>
                  </w:r>
                </w:p>
              </w:tc>
              <w:tc>
                <w:tcPr>
                  <w:tcW w:w="726" w:type="pct"/>
                  <w:vMerge w:val="restart"/>
                  <w:tcBorders>
                    <w:tl2br w:val="nil"/>
                    <w:tr2bl w:val="nil"/>
                  </w:tcBorders>
                  <w:shd w:val="clear" w:color="auto" w:fill="FFFFFF"/>
                  <w:noWrap w:val="0"/>
                  <w:vAlign w:val="center"/>
                </w:tcPr>
                <w:p w14:paraId="345132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最高允许</w:t>
                  </w:r>
                </w:p>
                <w:p w14:paraId="3216A2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排放浓度</w:t>
                  </w:r>
                </w:p>
                <w:p w14:paraId="3E6472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（mg/m</w:t>
                  </w:r>
                  <w:r>
                    <w:rPr>
                      <w:rFonts w:hint="default" w:ascii="Times New Roman" w:hAnsi="Times New Roman" w:cs="Times New Roman"/>
                      <w:b/>
                      <w:bCs/>
                      <w:color w:val="000000"/>
                      <w:kern w:val="0"/>
                      <w:szCs w:val="21"/>
                      <w:vertAlign w:val="superscript"/>
                    </w:rPr>
                    <w:t>3</w:t>
                  </w:r>
                  <w:r>
                    <w:rPr>
                      <w:rFonts w:hint="default" w:ascii="Times New Roman" w:hAnsi="Times New Roman" w:cs="Times New Roman"/>
                      <w:b/>
                      <w:bCs/>
                      <w:color w:val="000000"/>
                      <w:kern w:val="0"/>
                      <w:szCs w:val="21"/>
                    </w:rPr>
                    <w:t>）</w:t>
                  </w:r>
                </w:p>
              </w:tc>
              <w:tc>
                <w:tcPr>
                  <w:tcW w:w="1420" w:type="pct"/>
                  <w:gridSpan w:val="2"/>
                  <w:tcBorders>
                    <w:tl2br w:val="nil"/>
                    <w:tr2bl w:val="nil"/>
                  </w:tcBorders>
                  <w:shd w:val="clear" w:color="auto" w:fill="FFFFFF"/>
                  <w:noWrap w:val="0"/>
                  <w:vAlign w:val="center"/>
                </w:tcPr>
                <w:p w14:paraId="490C7E7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kern w:val="0"/>
                      <w:szCs w:val="21"/>
                      <w:lang w:eastAsia="zh-CN"/>
                    </w:rPr>
                  </w:pPr>
                  <w:r>
                    <w:rPr>
                      <w:rFonts w:hint="default" w:ascii="Times New Roman" w:hAnsi="Times New Roman" w:cs="Times New Roman"/>
                      <w:b/>
                      <w:bCs/>
                      <w:color w:val="000000"/>
                      <w:kern w:val="0"/>
                      <w:szCs w:val="21"/>
                    </w:rPr>
                    <w:t>最高允许排放</w:t>
                  </w:r>
                  <w:r>
                    <w:rPr>
                      <w:rFonts w:hint="eastAsia" w:ascii="Times New Roman" w:hAnsi="Times New Roman" w:cs="Times New Roman"/>
                      <w:b/>
                      <w:bCs/>
                      <w:color w:val="000000"/>
                      <w:kern w:val="0"/>
                      <w:szCs w:val="21"/>
                      <w:lang w:val="en-US" w:eastAsia="zh-CN"/>
                    </w:rPr>
                    <w:t>速率（kg/h）</w:t>
                  </w:r>
                </w:p>
              </w:tc>
              <w:tc>
                <w:tcPr>
                  <w:tcW w:w="727" w:type="pct"/>
                  <w:vMerge w:val="restart"/>
                  <w:tcBorders>
                    <w:tl2br w:val="nil"/>
                    <w:tr2bl w:val="nil"/>
                  </w:tcBorders>
                  <w:shd w:val="clear" w:color="auto" w:fill="FFFFFF"/>
                  <w:noWrap w:val="0"/>
                  <w:vAlign w:val="center"/>
                </w:tcPr>
                <w:p w14:paraId="7383EB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kern w:val="0"/>
                      <w:szCs w:val="21"/>
                      <w:lang w:val="en-US" w:eastAsia="zh-CN"/>
                    </w:rPr>
                  </w:pPr>
                  <w:r>
                    <w:rPr>
                      <w:rFonts w:hint="eastAsia" w:cs="Times New Roman"/>
                      <w:b/>
                      <w:bCs/>
                      <w:color w:val="000000"/>
                      <w:kern w:val="0"/>
                      <w:szCs w:val="21"/>
                      <w:lang w:val="en-US" w:eastAsia="zh-CN"/>
                    </w:rPr>
                    <w:t>无组织排放监控浓度限值</w:t>
                  </w:r>
                  <w:r>
                    <w:rPr>
                      <w:rFonts w:hint="default" w:ascii="Times New Roman" w:hAnsi="Times New Roman" w:cs="Times New Roman"/>
                      <w:b/>
                      <w:bCs/>
                      <w:color w:val="000000"/>
                      <w:kern w:val="0"/>
                      <w:szCs w:val="21"/>
                    </w:rPr>
                    <w:t>（mg/m</w:t>
                  </w:r>
                  <w:r>
                    <w:rPr>
                      <w:rFonts w:hint="default" w:ascii="Times New Roman" w:hAnsi="Times New Roman" w:cs="Times New Roman"/>
                      <w:b/>
                      <w:bCs/>
                      <w:color w:val="000000"/>
                      <w:kern w:val="0"/>
                      <w:szCs w:val="21"/>
                      <w:vertAlign w:val="superscript"/>
                    </w:rPr>
                    <w:t>3</w:t>
                  </w:r>
                  <w:r>
                    <w:rPr>
                      <w:rFonts w:hint="default" w:ascii="Times New Roman" w:hAnsi="Times New Roman" w:cs="Times New Roman"/>
                      <w:b/>
                      <w:bCs/>
                      <w:color w:val="000000"/>
                      <w:kern w:val="0"/>
                      <w:szCs w:val="21"/>
                    </w:rPr>
                    <w:t>）</w:t>
                  </w:r>
                </w:p>
              </w:tc>
              <w:tc>
                <w:tcPr>
                  <w:tcW w:w="1268" w:type="pct"/>
                  <w:vMerge w:val="restart"/>
                  <w:tcBorders>
                    <w:tl2br w:val="nil"/>
                    <w:tr2bl w:val="nil"/>
                  </w:tcBorders>
                  <w:shd w:val="clear" w:color="auto" w:fill="FFFFFF"/>
                  <w:noWrap w:val="0"/>
                  <w:vAlign w:val="center"/>
                </w:tcPr>
                <w:p w14:paraId="56FF5BA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kern w:val="0"/>
                      <w:szCs w:val="21"/>
                      <w:lang w:val="en-US" w:eastAsia="zh-CN"/>
                    </w:rPr>
                  </w:pPr>
                  <w:r>
                    <w:rPr>
                      <w:rFonts w:hint="eastAsia" w:cs="Times New Roman"/>
                      <w:b/>
                      <w:bCs/>
                      <w:color w:val="000000"/>
                      <w:kern w:val="0"/>
                      <w:szCs w:val="21"/>
                      <w:lang w:val="en-US" w:eastAsia="zh-CN"/>
                    </w:rPr>
                    <w:t>标准来源</w:t>
                  </w:r>
                </w:p>
              </w:tc>
            </w:tr>
            <w:tr w14:paraId="237C3E7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8" w:hRule="atLeast"/>
                <w:jc w:val="center"/>
              </w:trPr>
              <w:tc>
                <w:tcPr>
                  <w:tcW w:w="856" w:type="pct"/>
                  <w:vMerge w:val="continue"/>
                  <w:tcBorders>
                    <w:tl2br w:val="nil"/>
                    <w:tr2bl w:val="nil"/>
                  </w:tcBorders>
                  <w:shd w:val="clear" w:color="auto" w:fill="FFFFFF"/>
                  <w:noWrap w:val="0"/>
                  <w:vAlign w:val="center"/>
                </w:tcPr>
                <w:p w14:paraId="26A59977">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726" w:type="pct"/>
                  <w:vMerge w:val="continue"/>
                  <w:tcBorders>
                    <w:tl2br w:val="nil"/>
                    <w:tr2bl w:val="nil"/>
                  </w:tcBorders>
                  <w:shd w:val="clear" w:color="auto" w:fill="FFFFFF"/>
                  <w:noWrap w:val="0"/>
                  <w:vAlign w:val="center"/>
                </w:tcPr>
                <w:p w14:paraId="7B79C22E">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627" w:type="pct"/>
                  <w:tcBorders>
                    <w:tl2br w:val="nil"/>
                    <w:tr2bl w:val="nil"/>
                  </w:tcBorders>
                  <w:shd w:val="clear" w:color="auto" w:fill="FFFFFF"/>
                  <w:noWrap w:val="0"/>
                  <w:vAlign w:val="center"/>
                </w:tcPr>
                <w:p w14:paraId="0ACCA4D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b/>
                      <w:bCs/>
                      <w:lang w:val="en-US" w:eastAsia="zh-CN"/>
                    </w:rPr>
                    <w:t>排气筒高度（m）</w:t>
                  </w:r>
                </w:p>
              </w:tc>
              <w:tc>
                <w:tcPr>
                  <w:tcW w:w="792" w:type="pct"/>
                  <w:tcBorders>
                    <w:tl2br w:val="nil"/>
                    <w:tr2bl w:val="nil"/>
                  </w:tcBorders>
                  <w:shd w:val="clear" w:color="auto" w:fill="FFFFFF"/>
                  <w:noWrap w:val="0"/>
                  <w:vAlign w:val="center"/>
                </w:tcPr>
                <w:p w14:paraId="58EB58BD">
                  <w:pPr>
                    <w:keepNext w:val="0"/>
                    <w:keepLines w:val="0"/>
                    <w:pageBreakBefore w:val="0"/>
                    <w:kinsoku/>
                    <w:wordWrap/>
                    <w:overflowPunct/>
                    <w:topLinePunct w:val="0"/>
                    <w:autoSpaceDE/>
                    <w:autoSpaceDN/>
                    <w:bidi w:val="0"/>
                    <w:adjustRightInd/>
                    <w:snapToGrid/>
                    <w:spacing w:line="240" w:lineRule="auto"/>
                    <w:jc w:val="center"/>
                    <w:textAlignment w:val="auto"/>
                  </w:pPr>
                  <w:r>
                    <w:rPr>
                      <w:rFonts w:hint="default" w:ascii="Times New Roman" w:hAnsi="Times New Roman" w:cs="Times New Roman"/>
                      <w:b/>
                      <w:bCs/>
                      <w:color w:val="000000"/>
                      <w:kern w:val="0"/>
                      <w:szCs w:val="21"/>
                    </w:rPr>
                    <w:t>允许排放</w:t>
                  </w:r>
                  <w:r>
                    <w:rPr>
                      <w:rFonts w:hint="eastAsia" w:ascii="Times New Roman" w:hAnsi="Times New Roman" w:cs="Times New Roman"/>
                      <w:b/>
                      <w:bCs/>
                      <w:color w:val="000000"/>
                      <w:kern w:val="0"/>
                      <w:szCs w:val="21"/>
                      <w:lang w:val="en-US" w:eastAsia="zh-CN"/>
                    </w:rPr>
                    <w:t>速率（kg/h）</w:t>
                  </w:r>
                </w:p>
              </w:tc>
              <w:tc>
                <w:tcPr>
                  <w:tcW w:w="727" w:type="pct"/>
                  <w:vMerge w:val="continue"/>
                  <w:tcBorders>
                    <w:tl2br w:val="nil"/>
                    <w:tr2bl w:val="nil"/>
                  </w:tcBorders>
                  <w:shd w:val="clear" w:color="auto" w:fill="FFFFFF"/>
                  <w:noWrap w:val="0"/>
                  <w:vAlign w:val="center"/>
                </w:tcPr>
                <w:p w14:paraId="56F0F67D">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1268" w:type="pct"/>
                  <w:vMerge w:val="continue"/>
                  <w:tcBorders>
                    <w:tl2br w:val="nil"/>
                    <w:tr2bl w:val="nil"/>
                  </w:tcBorders>
                  <w:shd w:val="clear" w:color="auto" w:fill="FFFFFF"/>
                  <w:noWrap w:val="0"/>
                  <w:vAlign w:val="center"/>
                </w:tcPr>
                <w:p w14:paraId="2EC0EF4F">
                  <w:pPr>
                    <w:keepNext w:val="0"/>
                    <w:keepLines w:val="0"/>
                    <w:pageBreakBefore w:val="0"/>
                    <w:kinsoku/>
                    <w:wordWrap/>
                    <w:overflowPunct/>
                    <w:topLinePunct w:val="0"/>
                    <w:autoSpaceDE/>
                    <w:autoSpaceDN/>
                    <w:bidi w:val="0"/>
                    <w:adjustRightInd/>
                    <w:snapToGrid/>
                    <w:spacing w:line="240" w:lineRule="auto"/>
                    <w:jc w:val="center"/>
                    <w:textAlignment w:val="auto"/>
                  </w:pPr>
                </w:p>
              </w:tc>
            </w:tr>
            <w:tr w14:paraId="25B8943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856" w:type="pct"/>
                  <w:tcBorders>
                    <w:tl2br w:val="nil"/>
                    <w:tr2bl w:val="nil"/>
                  </w:tcBorders>
                  <w:shd w:val="clear" w:color="auto" w:fill="FFFFFF"/>
                  <w:noWrap w:val="0"/>
                  <w:vAlign w:val="center"/>
                </w:tcPr>
                <w:p w14:paraId="3CB3AD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lang w:val="en-US" w:eastAsia="zh-CN"/>
                    </w:rPr>
                  </w:pPr>
                  <w:r>
                    <w:rPr>
                      <w:rFonts w:hint="eastAsia" w:cs="Times New Roman"/>
                      <w:color w:val="000000"/>
                      <w:lang w:val="en-US" w:eastAsia="zh-CN"/>
                    </w:rPr>
                    <w:t>颗粒物</w:t>
                  </w:r>
                </w:p>
              </w:tc>
              <w:tc>
                <w:tcPr>
                  <w:tcW w:w="726" w:type="pct"/>
                  <w:tcBorders>
                    <w:tl2br w:val="nil"/>
                    <w:tr2bl w:val="nil"/>
                  </w:tcBorders>
                  <w:shd w:val="clear" w:color="auto" w:fill="FFFFFF"/>
                  <w:noWrap w:val="0"/>
                  <w:vAlign w:val="center"/>
                </w:tcPr>
                <w:p w14:paraId="3F535B5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lang w:val="en-US" w:eastAsia="zh-CN"/>
                    </w:rPr>
                  </w:pPr>
                  <w:r>
                    <w:rPr>
                      <w:rFonts w:hint="eastAsia" w:cs="Times New Roman"/>
                      <w:color w:val="000000"/>
                      <w:lang w:val="en-US" w:eastAsia="zh-CN"/>
                    </w:rPr>
                    <w:t>120</w:t>
                  </w:r>
                </w:p>
              </w:tc>
              <w:tc>
                <w:tcPr>
                  <w:tcW w:w="627" w:type="pct"/>
                  <w:tcBorders>
                    <w:tl2br w:val="nil"/>
                    <w:tr2bl w:val="nil"/>
                  </w:tcBorders>
                  <w:shd w:val="clear" w:color="auto" w:fill="FFFFFF"/>
                  <w:noWrap w:val="0"/>
                  <w:vAlign w:val="center"/>
                </w:tcPr>
                <w:p w14:paraId="089201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15（10）</w:t>
                  </w:r>
                </w:p>
              </w:tc>
              <w:tc>
                <w:tcPr>
                  <w:tcW w:w="792" w:type="pct"/>
                  <w:tcBorders>
                    <w:tl2br w:val="nil"/>
                    <w:tr2bl w:val="nil"/>
                  </w:tcBorders>
                  <w:shd w:val="clear" w:color="auto" w:fill="FFFFFF"/>
                  <w:noWrap w:val="0"/>
                  <w:vAlign w:val="center"/>
                </w:tcPr>
                <w:p w14:paraId="59B7C3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3.5（0.775）</w:t>
                  </w:r>
                </w:p>
              </w:tc>
              <w:tc>
                <w:tcPr>
                  <w:tcW w:w="727" w:type="pct"/>
                  <w:tcBorders>
                    <w:tl2br w:val="nil"/>
                    <w:tr2bl w:val="nil"/>
                  </w:tcBorders>
                  <w:shd w:val="clear" w:color="auto" w:fill="FFFFFF"/>
                  <w:noWrap w:val="0"/>
                  <w:vAlign w:val="center"/>
                </w:tcPr>
                <w:p w14:paraId="2FF668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1268" w:type="pct"/>
                  <w:vMerge w:val="restart"/>
                  <w:tcBorders>
                    <w:tl2br w:val="nil"/>
                    <w:tr2bl w:val="nil"/>
                  </w:tcBorders>
                  <w:shd w:val="clear" w:color="auto" w:fill="FFFFFF"/>
                  <w:noWrap w:val="0"/>
                  <w:vAlign w:val="center"/>
                </w:tcPr>
                <w:p w14:paraId="7B8A13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000000"/>
                      <w:kern w:val="0"/>
                      <w:szCs w:val="21"/>
                      <w:lang w:val="en-US" w:eastAsia="zh-CN"/>
                    </w:rPr>
                  </w:pPr>
                  <w:r>
                    <w:rPr>
                      <w:rFonts w:hint="eastAsia" w:ascii="Times New Roman" w:eastAsia="宋体" w:cs="Times New Roman"/>
                      <w:color w:val="000000"/>
                      <w:sz w:val="21"/>
                      <w:szCs w:val="21"/>
                      <w:lang w:val="en-US" w:eastAsia="zh-CN"/>
                    </w:rPr>
                    <w:t>《大气污染物综合排放标准》（GB16297-1996）</w:t>
                  </w:r>
                  <w:r>
                    <w:rPr>
                      <w:rFonts w:hint="default" w:ascii="Times New Roman" w:hAnsi="Times New Roman" w:eastAsia="宋体" w:cs="Times New Roman"/>
                      <w:color w:val="000000"/>
                      <w:sz w:val="21"/>
                      <w:szCs w:val="21"/>
                      <w:lang w:val="en-US" w:eastAsia="zh-CN"/>
                    </w:rPr>
                    <w:t>中</w:t>
                  </w:r>
                  <w:r>
                    <w:rPr>
                      <w:rFonts w:hint="eastAsia" w:ascii="Times New Roman" w:hAnsi="Times New Roman" w:eastAsia="宋体" w:cs="Times New Roman"/>
                      <w:color w:val="000000"/>
                      <w:sz w:val="21"/>
                      <w:szCs w:val="21"/>
                      <w:lang w:val="en-US" w:eastAsia="zh-CN"/>
                    </w:rPr>
                    <w:t>表2</w:t>
                  </w:r>
                  <w:r>
                    <w:rPr>
                      <w:rFonts w:hint="default" w:ascii="Times New Roman" w:hAnsi="Times New Roman" w:eastAsia="宋体" w:cs="Times New Roman"/>
                      <w:color w:val="000000"/>
                      <w:sz w:val="21"/>
                      <w:szCs w:val="21"/>
                      <w:lang w:val="en-US" w:eastAsia="zh-CN"/>
                    </w:rPr>
                    <w:t>二级排放标准</w:t>
                  </w:r>
                </w:p>
              </w:tc>
            </w:tr>
            <w:tr w14:paraId="76F6876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1436" w:type="dxa"/>
                  <w:tcBorders>
                    <w:tl2br w:val="nil"/>
                    <w:tr2bl w:val="nil"/>
                  </w:tcBorders>
                  <w:shd w:val="clear" w:color="auto" w:fill="FFFFFF"/>
                  <w:noWrap w:val="0"/>
                  <w:vAlign w:val="center"/>
                </w:tcPr>
                <w:p w14:paraId="74DCA808">
                  <w:pPr>
                    <w:widowControl/>
                    <w:jc w:val="center"/>
                    <w:rPr>
                      <w:rFonts w:hint="default" w:cs="Times New Roman"/>
                      <w:color w:val="000000"/>
                      <w:lang w:val="en-US" w:eastAsia="zh-CN"/>
                    </w:rPr>
                  </w:pPr>
                  <w:r>
                    <w:rPr>
                      <w:rFonts w:hint="eastAsia" w:cs="Times New Roman"/>
                      <w:color w:val="auto"/>
                      <w:kern w:val="0"/>
                      <w:sz w:val="21"/>
                      <w:szCs w:val="21"/>
                      <w:lang w:val="en-US" w:eastAsia="zh-CN"/>
                    </w:rPr>
                    <w:t>二氧化硫</w:t>
                  </w:r>
                </w:p>
              </w:tc>
              <w:tc>
                <w:tcPr>
                  <w:tcW w:w="726" w:type="pct"/>
                  <w:tcBorders>
                    <w:tl2br w:val="nil"/>
                    <w:tr2bl w:val="nil"/>
                  </w:tcBorders>
                  <w:shd w:val="clear" w:color="auto" w:fill="FFFFFF"/>
                  <w:noWrap w:val="0"/>
                  <w:vAlign w:val="center"/>
                </w:tcPr>
                <w:p w14:paraId="5ADB43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000000"/>
                      <w:lang w:val="en-US" w:eastAsia="zh-CN"/>
                    </w:rPr>
                  </w:pPr>
                  <w:r>
                    <w:rPr>
                      <w:rFonts w:hint="eastAsia" w:cs="Times New Roman"/>
                      <w:color w:val="000000"/>
                      <w:lang w:val="en-US" w:eastAsia="zh-CN"/>
                    </w:rPr>
                    <w:t>550</w:t>
                  </w:r>
                </w:p>
              </w:tc>
              <w:tc>
                <w:tcPr>
                  <w:tcW w:w="627" w:type="pct"/>
                  <w:tcBorders>
                    <w:tl2br w:val="nil"/>
                    <w:tr2bl w:val="nil"/>
                  </w:tcBorders>
                  <w:shd w:val="clear" w:color="auto" w:fill="FFFFFF"/>
                  <w:noWrap w:val="0"/>
                  <w:vAlign w:val="center"/>
                </w:tcPr>
                <w:p w14:paraId="6A2FEC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15（10）</w:t>
                  </w:r>
                </w:p>
              </w:tc>
              <w:tc>
                <w:tcPr>
                  <w:tcW w:w="792" w:type="pct"/>
                  <w:tcBorders>
                    <w:tl2br w:val="nil"/>
                    <w:tr2bl w:val="nil"/>
                  </w:tcBorders>
                  <w:shd w:val="clear" w:color="auto" w:fill="FFFFFF"/>
                  <w:noWrap w:val="0"/>
                  <w:vAlign w:val="center"/>
                </w:tcPr>
                <w:p w14:paraId="3C8334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2.6（0.775）</w:t>
                  </w:r>
                </w:p>
              </w:tc>
              <w:tc>
                <w:tcPr>
                  <w:tcW w:w="727" w:type="pct"/>
                  <w:tcBorders>
                    <w:tl2br w:val="nil"/>
                    <w:tr2bl w:val="nil"/>
                  </w:tcBorders>
                  <w:shd w:val="clear" w:color="auto" w:fill="FFFFFF"/>
                  <w:noWrap w:val="0"/>
                  <w:vAlign w:val="center"/>
                </w:tcPr>
                <w:p w14:paraId="010EF4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0.4</w:t>
                  </w:r>
                </w:p>
              </w:tc>
              <w:tc>
                <w:tcPr>
                  <w:tcW w:w="1268" w:type="pct"/>
                  <w:vMerge w:val="continue"/>
                  <w:tcBorders>
                    <w:tl2br w:val="nil"/>
                    <w:tr2bl w:val="nil"/>
                  </w:tcBorders>
                  <w:shd w:val="clear" w:color="auto" w:fill="FFFFFF"/>
                  <w:noWrap w:val="0"/>
                  <w:vAlign w:val="center"/>
                </w:tcPr>
                <w:p w14:paraId="28B71E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eastAsia="宋体" w:cs="Times New Roman"/>
                      <w:color w:val="000000"/>
                      <w:lang w:val="en-US" w:eastAsia="zh-CN"/>
                    </w:rPr>
                  </w:pPr>
                </w:p>
              </w:tc>
            </w:tr>
            <w:tr w14:paraId="456EBE0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1436" w:type="dxa"/>
                  <w:tcBorders>
                    <w:tl2br w:val="nil"/>
                    <w:tr2bl w:val="nil"/>
                  </w:tcBorders>
                  <w:shd w:val="clear" w:color="auto" w:fill="FFFFFF"/>
                  <w:noWrap w:val="0"/>
                  <w:vAlign w:val="center"/>
                </w:tcPr>
                <w:p w14:paraId="592DF8D7">
                  <w:pPr>
                    <w:widowControl/>
                    <w:jc w:val="center"/>
                    <w:rPr>
                      <w:rFonts w:hint="eastAsia" w:cs="Times New Roman"/>
                      <w:color w:val="000000"/>
                      <w:lang w:val="en-US" w:eastAsia="zh-CN"/>
                    </w:rPr>
                  </w:pPr>
                  <w:r>
                    <w:rPr>
                      <w:rFonts w:hint="eastAsia" w:cs="Times New Roman"/>
                      <w:color w:val="auto"/>
                      <w:highlight w:val="none"/>
                      <w:lang w:val="en-US" w:eastAsia="zh-CN"/>
                    </w:rPr>
                    <w:t>氮氧化物</w:t>
                  </w:r>
                </w:p>
              </w:tc>
              <w:tc>
                <w:tcPr>
                  <w:tcW w:w="726" w:type="pct"/>
                  <w:tcBorders>
                    <w:tl2br w:val="nil"/>
                    <w:tr2bl w:val="nil"/>
                  </w:tcBorders>
                  <w:shd w:val="clear" w:color="auto" w:fill="FFFFFF"/>
                  <w:noWrap w:val="0"/>
                  <w:vAlign w:val="center"/>
                </w:tcPr>
                <w:p w14:paraId="74EABC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000000"/>
                      <w:lang w:val="en-US" w:eastAsia="zh-CN"/>
                    </w:rPr>
                  </w:pPr>
                  <w:r>
                    <w:rPr>
                      <w:rFonts w:hint="eastAsia" w:cs="Times New Roman"/>
                      <w:color w:val="000000"/>
                      <w:lang w:val="en-US" w:eastAsia="zh-CN"/>
                    </w:rPr>
                    <w:t>240</w:t>
                  </w:r>
                </w:p>
              </w:tc>
              <w:tc>
                <w:tcPr>
                  <w:tcW w:w="627" w:type="pct"/>
                  <w:tcBorders>
                    <w:tl2br w:val="nil"/>
                    <w:tr2bl w:val="nil"/>
                  </w:tcBorders>
                  <w:shd w:val="clear" w:color="auto" w:fill="FFFFFF"/>
                  <w:noWrap w:val="0"/>
                  <w:vAlign w:val="center"/>
                </w:tcPr>
                <w:p w14:paraId="0AE0F8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15（10）</w:t>
                  </w:r>
                </w:p>
              </w:tc>
              <w:tc>
                <w:tcPr>
                  <w:tcW w:w="792" w:type="pct"/>
                  <w:tcBorders>
                    <w:tl2br w:val="nil"/>
                    <w:tr2bl w:val="nil"/>
                  </w:tcBorders>
                  <w:shd w:val="clear" w:color="auto" w:fill="FFFFFF"/>
                  <w:noWrap w:val="0"/>
                  <w:vAlign w:val="center"/>
                </w:tcPr>
                <w:p w14:paraId="4DE0FCA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0.77（0.17）</w:t>
                  </w:r>
                </w:p>
              </w:tc>
              <w:tc>
                <w:tcPr>
                  <w:tcW w:w="727" w:type="pct"/>
                  <w:tcBorders>
                    <w:tl2br w:val="nil"/>
                    <w:tr2bl w:val="nil"/>
                  </w:tcBorders>
                  <w:shd w:val="clear" w:color="auto" w:fill="FFFFFF"/>
                  <w:noWrap w:val="0"/>
                  <w:vAlign w:val="center"/>
                </w:tcPr>
                <w:p w14:paraId="6E05598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0.12</w:t>
                  </w:r>
                </w:p>
              </w:tc>
              <w:tc>
                <w:tcPr>
                  <w:tcW w:w="1268" w:type="pct"/>
                  <w:vMerge w:val="continue"/>
                  <w:tcBorders>
                    <w:tl2br w:val="nil"/>
                    <w:tr2bl w:val="nil"/>
                  </w:tcBorders>
                  <w:shd w:val="clear" w:color="auto" w:fill="FFFFFF"/>
                  <w:noWrap w:val="0"/>
                  <w:vAlign w:val="center"/>
                </w:tcPr>
                <w:p w14:paraId="7AEC75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eastAsia="宋体" w:cs="Times New Roman"/>
                      <w:color w:val="000000"/>
                      <w:lang w:val="en-US" w:eastAsia="zh-CN"/>
                    </w:rPr>
                  </w:pPr>
                </w:p>
              </w:tc>
            </w:tr>
          </w:tbl>
          <w:p w14:paraId="1E54019D">
            <w:pPr>
              <w:pStyle w:val="7"/>
              <w:rPr>
                <w:rFonts w:hint="eastAsia"/>
                <w:color w:val="auto"/>
              </w:rPr>
            </w:pPr>
            <w:r>
              <w:rPr>
                <w:color w:val="auto"/>
              </w:rPr>
              <w:t>表</w:t>
            </w:r>
            <w:r>
              <w:rPr>
                <w:rStyle w:val="143"/>
                <w:rFonts w:hint="eastAsia"/>
                <w:b/>
                <w:color w:val="auto"/>
                <w:lang w:val="en-US" w:eastAsia="zh-CN"/>
              </w:rPr>
              <w:t xml:space="preserve">3-6  </w:t>
            </w:r>
            <w:r>
              <w:rPr>
                <w:rFonts w:hint="eastAsia"/>
                <w:color w:val="auto"/>
                <w:lang w:val="en-US" w:eastAsia="zh-CN"/>
              </w:rPr>
              <w:t>锅炉废气</w:t>
            </w:r>
            <w:r>
              <w:rPr>
                <w:rFonts w:hint="eastAsia"/>
                <w:color w:val="auto"/>
              </w:rPr>
              <w:t>排放标准</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2835"/>
              <w:gridCol w:w="2711"/>
              <w:gridCol w:w="2843"/>
            </w:tblGrid>
            <w:tr w14:paraId="4146AFD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50" w:hRule="atLeast"/>
                <w:jc w:val="center"/>
              </w:trPr>
              <w:tc>
                <w:tcPr>
                  <w:tcW w:w="2836" w:type="dxa"/>
                  <w:vMerge w:val="restart"/>
                  <w:tcBorders>
                    <w:tl2br w:val="nil"/>
                    <w:tr2bl w:val="nil"/>
                  </w:tcBorders>
                  <w:shd w:val="clear" w:color="auto" w:fill="FFFFFF"/>
                  <w:noWrap w:val="0"/>
                  <w:vAlign w:val="center"/>
                </w:tcPr>
                <w:p w14:paraId="1418070A">
                  <w:pPr>
                    <w:widowControl/>
                    <w:jc w:val="center"/>
                    <w:rPr>
                      <w:rFonts w:hint="default"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污染物项目</w:t>
                  </w:r>
                </w:p>
              </w:tc>
              <w:tc>
                <w:tcPr>
                  <w:tcW w:w="2712" w:type="dxa"/>
                  <w:tcBorders>
                    <w:tl2br w:val="nil"/>
                    <w:tr2bl w:val="nil"/>
                  </w:tcBorders>
                  <w:shd w:val="clear" w:color="auto" w:fill="FFFFFF"/>
                  <w:noWrap w:val="0"/>
                  <w:vAlign w:val="center"/>
                </w:tcPr>
                <w:p w14:paraId="32F7449B">
                  <w:pPr>
                    <w:widowControl/>
                    <w:jc w:val="center"/>
                    <w:rPr>
                      <w:rFonts w:hint="default"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限值</w:t>
                  </w:r>
                  <w:r>
                    <w:rPr>
                      <w:rFonts w:hint="eastAsia"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rPr>
                    <w:t>mg/m</w:t>
                  </w:r>
                  <w:r>
                    <w:rPr>
                      <w:rFonts w:hint="default" w:ascii="Times New Roman" w:hAnsi="Times New Roman" w:cs="Times New Roman"/>
                      <w:b/>
                      <w:bCs/>
                      <w:color w:val="auto"/>
                      <w:kern w:val="0"/>
                      <w:szCs w:val="21"/>
                      <w:vertAlign w:val="superscript"/>
                    </w:rPr>
                    <w:t>3</w:t>
                  </w:r>
                  <w:r>
                    <w:rPr>
                      <w:rFonts w:hint="eastAsia" w:ascii="Times New Roman" w:hAnsi="Times New Roman" w:cs="Times New Roman"/>
                      <w:b/>
                      <w:bCs/>
                      <w:color w:val="auto"/>
                      <w:kern w:val="0"/>
                      <w:szCs w:val="21"/>
                      <w:lang w:eastAsia="zh-CN"/>
                    </w:rPr>
                    <w:t>）</w:t>
                  </w:r>
                </w:p>
              </w:tc>
              <w:tc>
                <w:tcPr>
                  <w:tcW w:w="2844" w:type="dxa"/>
                  <w:vMerge w:val="restart"/>
                  <w:tcBorders>
                    <w:tl2br w:val="nil"/>
                    <w:tr2bl w:val="nil"/>
                  </w:tcBorders>
                  <w:shd w:val="clear" w:color="auto" w:fill="FFFFFF"/>
                  <w:noWrap w:val="0"/>
                  <w:vAlign w:val="center"/>
                </w:tcPr>
                <w:p w14:paraId="71179FC9">
                  <w:pPr>
                    <w:widowControl/>
                    <w:jc w:val="center"/>
                    <w:rPr>
                      <w:rFonts w:hint="default" w:ascii="Times New Roman" w:hAnsi="Times New Roman" w:cs="Times New Roman"/>
                      <w:b/>
                      <w:bCs/>
                      <w:color w:val="auto"/>
                      <w:kern w:val="0"/>
                      <w:szCs w:val="21"/>
                      <w:lang w:val="en-US"/>
                    </w:rPr>
                  </w:pPr>
                  <w:r>
                    <w:rPr>
                      <w:rFonts w:hint="eastAsia" w:cs="Times New Roman"/>
                      <w:b/>
                      <w:bCs/>
                      <w:color w:val="auto"/>
                      <w:kern w:val="0"/>
                      <w:szCs w:val="21"/>
                      <w:lang w:val="en-US" w:eastAsia="zh-CN"/>
                    </w:rPr>
                    <w:t>污染物排放监控位置</w:t>
                  </w:r>
                </w:p>
              </w:tc>
            </w:tr>
            <w:tr w14:paraId="445946B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50" w:hRule="atLeast"/>
                <w:jc w:val="center"/>
              </w:trPr>
              <w:tc>
                <w:tcPr>
                  <w:tcW w:w="2836" w:type="dxa"/>
                  <w:vMerge w:val="continue"/>
                  <w:tcBorders>
                    <w:tl2br w:val="nil"/>
                    <w:tr2bl w:val="nil"/>
                  </w:tcBorders>
                  <w:shd w:val="clear" w:color="auto" w:fill="FFFFFF"/>
                  <w:noWrap w:val="0"/>
                  <w:vAlign w:val="center"/>
                </w:tcPr>
                <w:p w14:paraId="22FC1758">
                  <w:pPr>
                    <w:widowControl/>
                    <w:jc w:val="center"/>
                  </w:pPr>
                </w:p>
              </w:tc>
              <w:tc>
                <w:tcPr>
                  <w:tcW w:w="2712" w:type="dxa"/>
                  <w:tcBorders>
                    <w:tl2br w:val="nil"/>
                    <w:tr2bl w:val="nil"/>
                  </w:tcBorders>
                  <w:shd w:val="clear" w:color="auto" w:fill="FFFFFF"/>
                  <w:noWrap w:val="0"/>
                  <w:vAlign w:val="center"/>
                </w:tcPr>
                <w:p w14:paraId="208B4691">
                  <w:pPr>
                    <w:widowControl/>
                    <w:jc w:val="center"/>
                    <w:rPr>
                      <w:rFonts w:hint="default" w:cs="Times New Roman"/>
                      <w:b/>
                      <w:bCs/>
                      <w:color w:val="auto"/>
                      <w:kern w:val="0"/>
                      <w:szCs w:val="21"/>
                      <w:lang w:val="en-US" w:eastAsia="zh-CN"/>
                    </w:rPr>
                  </w:pPr>
                  <w:r>
                    <w:rPr>
                      <w:rFonts w:hint="eastAsia" w:cs="Times New Roman"/>
                      <w:b/>
                      <w:bCs/>
                      <w:color w:val="auto"/>
                      <w:kern w:val="0"/>
                      <w:szCs w:val="21"/>
                      <w:lang w:val="en-US" w:eastAsia="zh-CN"/>
                    </w:rPr>
                    <w:t>燃气锅炉</w:t>
                  </w:r>
                </w:p>
              </w:tc>
              <w:tc>
                <w:tcPr>
                  <w:tcW w:w="2844" w:type="dxa"/>
                  <w:vMerge w:val="continue"/>
                  <w:tcBorders>
                    <w:tl2br w:val="nil"/>
                    <w:tr2bl w:val="nil"/>
                  </w:tcBorders>
                  <w:shd w:val="clear" w:color="auto" w:fill="FFFFFF"/>
                  <w:noWrap w:val="0"/>
                  <w:vAlign w:val="center"/>
                </w:tcPr>
                <w:p w14:paraId="1DB85B62">
                  <w:pPr>
                    <w:widowControl/>
                    <w:jc w:val="center"/>
                    <w:rPr>
                      <w:rFonts w:hint="eastAsia" w:cs="Times New Roman"/>
                      <w:b/>
                      <w:bCs/>
                      <w:color w:val="auto"/>
                      <w:kern w:val="0"/>
                      <w:szCs w:val="21"/>
                      <w:lang w:val="en-US" w:eastAsia="zh-CN"/>
                    </w:rPr>
                  </w:pPr>
                </w:p>
              </w:tc>
            </w:tr>
            <w:tr w14:paraId="79F32C9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78" w:hRule="atLeast"/>
                <w:jc w:val="center"/>
              </w:trPr>
              <w:tc>
                <w:tcPr>
                  <w:tcW w:w="2836" w:type="dxa"/>
                  <w:tcBorders>
                    <w:tl2br w:val="nil"/>
                    <w:tr2bl w:val="nil"/>
                  </w:tcBorders>
                  <w:shd w:val="clear" w:color="auto" w:fill="FFFFFF"/>
                  <w:noWrap w:val="0"/>
                  <w:vAlign w:val="center"/>
                </w:tcPr>
                <w:p w14:paraId="0F372431">
                  <w:pPr>
                    <w:widowControl/>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颗粒物</w:t>
                  </w:r>
                </w:p>
              </w:tc>
              <w:tc>
                <w:tcPr>
                  <w:tcW w:w="2712" w:type="dxa"/>
                  <w:tcBorders>
                    <w:tl2br w:val="nil"/>
                    <w:tr2bl w:val="nil"/>
                  </w:tcBorders>
                  <w:shd w:val="clear" w:color="auto" w:fill="FFFFFF"/>
                  <w:noWrap w:val="0"/>
                  <w:vAlign w:val="center"/>
                </w:tcPr>
                <w:p w14:paraId="4B94A9EB">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25</w:t>
                  </w:r>
                </w:p>
              </w:tc>
              <w:tc>
                <w:tcPr>
                  <w:tcW w:w="2844" w:type="dxa"/>
                  <w:vMerge w:val="restart"/>
                  <w:tcBorders>
                    <w:tl2br w:val="nil"/>
                    <w:tr2bl w:val="nil"/>
                  </w:tcBorders>
                  <w:shd w:val="clear" w:color="auto" w:fill="FFFFFF"/>
                  <w:noWrap w:val="0"/>
                  <w:vAlign w:val="center"/>
                </w:tcPr>
                <w:p w14:paraId="13E06860">
                  <w:pPr>
                    <w:widowControl/>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烟囱或烟道</w:t>
                  </w:r>
                </w:p>
              </w:tc>
            </w:tr>
            <w:tr w14:paraId="36C94AB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78" w:hRule="atLeast"/>
                <w:jc w:val="center"/>
              </w:trPr>
              <w:tc>
                <w:tcPr>
                  <w:tcW w:w="2836" w:type="dxa"/>
                  <w:tcBorders>
                    <w:tl2br w:val="nil"/>
                    <w:tr2bl w:val="nil"/>
                  </w:tcBorders>
                  <w:shd w:val="clear" w:color="auto" w:fill="FFFFFF"/>
                  <w:noWrap w:val="0"/>
                  <w:vAlign w:val="center"/>
                </w:tcPr>
                <w:p w14:paraId="198D9E1A">
                  <w:pPr>
                    <w:widowControl/>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二氧化硫</w:t>
                  </w:r>
                </w:p>
              </w:tc>
              <w:tc>
                <w:tcPr>
                  <w:tcW w:w="2712" w:type="dxa"/>
                  <w:tcBorders>
                    <w:tl2br w:val="nil"/>
                    <w:tr2bl w:val="nil"/>
                  </w:tcBorders>
                  <w:shd w:val="clear" w:color="auto" w:fill="FFFFFF"/>
                  <w:noWrap w:val="0"/>
                  <w:vAlign w:val="center"/>
                </w:tcPr>
                <w:p w14:paraId="0BB9EBF6">
                  <w:pPr>
                    <w:widowControl/>
                    <w:jc w:val="center"/>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50</w:t>
                  </w:r>
                </w:p>
              </w:tc>
              <w:tc>
                <w:tcPr>
                  <w:tcW w:w="2844" w:type="dxa"/>
                  <w:vMerge w:val="continue"/>
                  <w:tcBorders>
                    <w:tl2br w:val="nil"/>
                    <w:tr2bl w:val="nil"/>
                  </w:tcBorders>
                  <w:shd w:val="clear" w:color="auto" w:fill="FFFFFF"/>
                  <w:noWrap w:val="0"/>
                  <w:vAlign w:val="center"/>
                </w:tcPr>
                <w:p w14:paraId="343F954D">
                  <w:pPr>
                    <w:widowControl/>
                    <w:jc w:val="center"/>
                    <w:rPr>
                      <w:rFonts w:hint="default" w:cs="Times New Roman"/>
                      <w:color w:val="auto"/>
                      <w:kern w:val="0"/>
                      <w:szCs w:val="21"/>
                      <w:lang w:val="en-US" w:eastAsia="zh-CN"/>
                    </w:rPr>
                  </w:pPr>
                </w:p>
              </w:tc>
            </w:tr>
            <w:tr w14:paraId="07A49BF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78" w:hRule="atLeast"/>
                <w:jc w:val="center"/>
              </w:trPr>
              <w:tc>
                <w:tcPr>
                  <w:tcW w:w="2836" w:type="dxa"/>
                  <w:tcBorders>
                    <w:tl2br w:val="nil"/>
                    <w:tr2bl w:val="nil"/>
                  </w:tcBorders>
                  <w:shd w:val="clear" w:color="auto" w:fill="FFFFFF"/>
                  <w:noWrap w:val="0"/>
                  <w:vAlign w:val="center"/>
                </w:tcPr>
                <w:p w14:paraId="0B1DA6E6">
                  <w:pPr>
                    <w:widowControl/>
                    <w:jc w:val="center"/>
                    <w:rPr>
                      <w:rFonts w:hint="default" w:ascii="Times New Roman" w:hAnsi="Times New Roman" w:cs="Times New Roman"/>
                      <w:color w:val="auto"/>
                      <w:kern w:val="0"/>
                      <w:sz w:val="21"/>
                      <w:szCs w:val="21"/>
                      <w:lang w:eastAsia="zh-CN"/>
                    </w:rPr>
                  </w:pPr>
                  <w:r>
                    <w:rPr>
                      <w:rFonts w:hint="eastAsia" w:cs="Times New Roman"/>
                      <w:color w:val="auto"/>
                      <w:highlight w:val="none"/>
                      <w:lang w:val="en-US" w:eastAsia="zh-CN"/>
                    </w:rPr>
                    <w:t>氮氧化物</w:t>
                  </w:r>
                </w:p>
              </w:tc>
              <w:tc>
                <w:tcPr>
                  <w:tcW w:w="2712" w:type="dxa"/>
                  <w:tcBorders>
                    <w:tl2br w:val="nil"/>
                    <w:tr2bl w:val="nil"/>
                  </w:tcBorders>
                  <w:shd w:val="clear" w:color="auto" w:fill="FFFFFF"/>
                  <w:noWrap w:val="0"/>
                  <w:vAlign w:val="center"/>
                </w:tcPr>
                <w:p w14:paraId="7BC701F5">
                  <w:pPr>
                    <w:widowControl/>
                    <w:jc w:val="center"/>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200</w:t>
                  </w:r>
                </w:p>
              </w:tc>
              <w:tc>
                <w:tcPr>
                  <w:tcW w:w="2844" w:type="dxa"/>
                  <w:vMerge w:val="continue"/>
                  <w:tcBorders>
                    <w:tl2br w:val="nil"/>
                    <w:tr2bl w:val="nil"/>
                  </w:tcBorders>
                  <w:shd w:val="clear" w:color="auto" w:fill="FFFFFF"/>
                  <w:noWrap w:val="0"/>
                  <w:vAlign w:val="center"/>
                </w:tcPr>
                <w:p w14:paraId="75B6CF2F">
                  <w:pPr>
                    <w:widowControl/>
                    <w:jc w:val="center"/>
                    <w:rPr>
                      <w:rFonts w:hint="default" w:cs="Times New Roman"/>
                      <w:color w:val="auto"/>
                      <w:kern w:val="0"/>
                      <w:szCs w:val="21"/>
                      <w:lang w:val="en-US" w:eastAsia="zh-CN"/>
                    </w:rPr>
                  </w:pPr>
                </w:p>
              </w:tc>
            </w:tr>
            <w:tr w14:paraId="60D9189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78" w:hRule="atLeast"/>
                <w:jc w:val="center"/>
              </w:trPr>
              <w:tc>
                <w:tcPr>
                  <w:tcW w:w="2836" w:type="dxa"/>
                  <w:tcBorders>
                    <w:tl2br w:val="nil"/>
                    <w:tr2bl w:val="nil"/>
                  </w:tcBorders>
                  <w:shd w:val="clear" w:color="auto" w:fill="FFFFFF"/>
                  <w:noWrap w:val="0"/>
                  <w:vAlign w:val="center"/>
                </w:tcPr>
                <w:p w14:paraId="508E01C3">
                  <w:pPr>
                    <w:widowControl/>
                    <w:jc w:val="center"/>
                    <w:rPr>
                      <w:rFonts w:hint="default" w:cs="Times New Roman"/>
                      <w:color w:val="auto"/>
                      <w:highlight w:val="none"/>
                      <w:lang w:val="en-US" w:eastAsia="zh-CN"/>
                    </w:rPr>
                  </w:pPr>
                  <w:r>
                    <w:rPr>
                      <w:rFonts w:hint="eastAsia" w:cs="Times New Roman"/>
                      <w:color w:val="auto"/>
                      <w:highlight w:val="none"/>
                      <w:lang w:val="en-US" w:eastAsia="zh-CN"/>
                    </w:rPr>
                    <w:t>烟气黑度（林格曼黑度，级）</w:t>
                  </w:r>
                </w:p>
              </w:tc>
              <w:tc>
                <w:tcPr>
                  <w:tcW w:w="2712" w:type="dxa"/>
                  <w:tcBorders>
                    <w:tl2br w:val="nil"/>
                    <w:tr2bl w:val="nil"/>
                  </w:tcBorders>
                  <w:shd w:val="clear" w:color="auto" w:fill="FFFFFF"/>
                  <w:noWrap w:val="0"/>
                  <w:vAlign w:val="center"/>
                </w:tcPr>
                <w:p w14:paraId="02A2D980">
                  <w:pPr>
                    <w:widowControl/>
                    <w:jc w:val="center"/>
                    <w:rPr>
                      <w:rFonts w:hint="default" w:cs="Times New Roman"/>
                      <w:color w:val="auto"/>
                      <w:kern w:val="0"/>
                      <w:szCs w:val="21"/>
                      <w:lang w:val="en-US" w:eastAsia="zh-CN"/>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w:t>
                  </w:r>
                </w:p>
              </w:tc>
              <w:tc>
                <w:tcPr>
                  <w:tcW w:w="2844" w:type="dxa"/>
                  <w:tcBorders>
                    <w:tl2br w:val="nil"/>
                    <w:tr2bl w:val="nil"/>
                  </w:tcBorders>
                  <w:shd w:val="clear" w:color="auto" w:fill="FFFFFF"/>
                  <w:noWrap w:val="0"/>
                  <w:vAlign w:val="center"/>
                </w:tcPr>
                <w:p w14:paraId="6EE7E555">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烟囱排放口</w:t>
                  </w:r>
                </w:p>
              </w:tc>
            </w:tr>
          </w:tbl>
          <w:p w14:paraId="110D3B2F">
            <w:pPr>
              <w:jc w:val="center"/>
              <w:rPr>
                <w:b/>
                <w:color w:val="auto"/>
                <w:sz w:val="21"/>
                <w:highlight w:val="none"/>
              </w:rPr>
            </w:pPr>
            <w:r>
              <w:rPr>
                <w:b/>
                <w:color w:val="auto"/>
                <w:sz w:val="21"/>
                <w:highlight w:val="none"/>
              </w:rPr>
              <w:t>表</w:t>
            </w:r>
            <w:r>
              <w:rPr>
                <w:rFonts w:hint="eastAsia"/>
                <w:b/>
                <w:color w:val="auto"/>
                <w:sz w:val="21"/>
                <w:highlight w:val="none"/>
              </w:rPr>
              <w:t>3-</w:t>
            </w:r>
            <w:r>
              <w:rPr>
                <w:rFonts w:hint="eastAsia"/>
                <w:b/>
                <w:color w:val="auto"/>
                <w:sz w:val="21"/>
                <w:highlight w:val="none"/>
                <w:lang w:val="en-US" w:eastAsia="zh-CN"/>
              </w:rPr>
              <w:t>7  恶臭</w:t>
            </w:r>
            <w:r>
              <w:rPr>
                <w:b/>
                <w:color w:val="auto"/>
                <w:sz w:val="21"/>
                <w:highlight w:val="none"/>
              </w:rPr>
              <w:t>污染物排放标准</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275"/>
              <w:gridCol w:w="2854"/>
              <w:gridCol w:w="3260"/>
            </w:tblGrid>
            <w:tr w14:paraId="248735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85" w:type="dxa"/>
                  <w:noWrap w:val="0"/>
                  <w:vAlign w:val="center"/>
                </w:tcPr>
                <w:p w14:paraId="12EDDC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highlight w:val="none"/>
                    </w:rPr>
                  </w:pPr>
                  <w:r>
                    <w:rPr>
                      <w:b/>
                      <w:bCs/>
                      <w:color w:val="auto"/>
                      <w:sz w:val="21"/>
                      <w:highlight w:val="none"/>
                    </w:rPr>
                    <w:t>污染物</w:t>
                  </w:r>
                </w:p>
              </w:tc>
              <w:tc>
                <w:tcPr>
                  <w:tcW w:w="3216" w:type="dxa"/>
                  <w:noWrap w:val="0"/>
                  <w:vAlign w:val="center"/>
                </w:tcPr>
                <w:p w14:paraId="3CB386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auto"/>
                      <w:sz w:val="21"/>
                      <w:highlight w:val="none"/>
                      <w:lang w:eastAsia="zh-CN"/>
                    </w:rPr>
                  </w:pPr>
                  <w:r>
                    <w:rPr>
                      <w:rFonts w:hint="eastAsia"/>
                      <w:b/>
                      <w:bCs/>
                      <w:color w:val="auto"/>
                      <w:sz w:val="21"/>
                      <w:highlight w:val="none"/>
                      <w:lang w:val="en-US" w:eastAsia="zh-CN"/>
                    </w:rPr>
                    <w:t>厂界标准</w:t>
                  </w:r>
                  <w:r>
                    <w:rPr>
                      <w:b/>
                      <w:bCs/>
                      <w:color w:val="auto"/>
                      <w:sz w:val="21"/>
                      <w:highlight w:val="none"/>
                    </w:rPr>
                    <w:t>值</w:t>
                  </w:r>
                  <w:r>
                    <w:rPr>
                      <w:rFonts w:hint="eastAsia"/>
                      <w:b/>
                      <w:bCs/>
                      <w:color w:val="auto"/>
                      <w:sz w:val="21"/>
                      <w:highlight w:val="none"/>
                      <w:lang w:eastAsia="zh-CN"/>
                    </w:rPr>
                    <w:t>（</w:t>
                  </w:r>
                  <w:r>
                    <w:rPr>
                      <w:b/>
                      <w:color w:val="auto"/>
                      <w:sz w:val="21"/>
                      <w:highlight w:val="none"/>
                    </w:rPr>
                    <w:t>mg/m</w:t>
                  </w:r>
                  <w:r>
                    <w:rPr>
                      <w:b/>
                      <w:color w:val="auto"/>
                      <w:sz w:val="21"/>
                      <w:highlight w:val="none"/>
                      <w:vertAlign w:val="superscript"/>
                    </w:rPr>
                    <w:t>3</w:t>
                  </w:r>
                  <w:r>
                    <w:rPr>
                      <w:rFonts w:hint="eastAsia"/>
                      <w:b/>
                      <w:bCs/>
                      <w:color w:val="auto"/>
                      <w:sz w:val="21"/>
                      <w:highlight w:val="none"/>
                      <w:lang w:eastAsia="zh-CN"/>
                    </w:rPr>
                    <w:t>）</w:t>
                  </w:r>
                </w:p>
              </w:tc>
              <w:tc>
                <w:tcPr>
                  <w:tcW w:w="3599" w:type="dxa"/>
                  <w:noWrap w:val="0"/>
                  <w:vAlign w:val="center"/>
                </w:tcPr>
                <w:p w14:paraId="1818B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highlight w:val="none"/>
                    </w:rPr>
                  </w:pPr>
                  <w:r>
                    <w:rPr>
                      <w:b/>
                      <w:bCs/>
                      <w:color w:val="auto"/>
                      <w:sz w:val="21"/>
                      <w:highlight w:val="none"/>
                    </w:rPr>
                    <w:t>标准来源</w:t>
                  </w:r>
                </w:p>
              </w:tc>
            </w:tr>
            <w:tr w14:paraId="3BBCC8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85" w:type="dxa"/>
                  <w:noWrap w:val="0"/>
                  <w:vAlign w:val="center"/>
                </w:tcPr>
                <w:p w14:paraId="5295D5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硫化氢</w:t>
                  </w:r>
                </w:p>
              </w:tc>
              <w:tc>
                <w:tcPr>
                  <w:tcW w:w="3216" w:type="dxa"/>
                  <w:noWrap w:val="0"/>
                  <w:vAlign w:val="center"/>
                </w:tcPr>
                <w:p w14:paraId="00B59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0.06</w:t>
                  </w:r>
                </w:p>
              </w:tc>
              <w:tc>
                <w:tcPr>
                  <w:tcW w:w="3599" w:type="dxa"/>
                  <w:vMerge w:val="restart"/>
                  <w:noWrap w:val="0"/>
                  <w:vAlign w:val="center"/>
                </w:tcPr>
                <w:p w14:paraId="095A48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highlight w:val="none"/>
                    </w:rPr>
                  </w:pPr>
                  <w:r>
                    <w:rPr>
                      <w:bCs/>
                      <w:color w:val="auto"/>
                      <w:sz w:val="21"/>
                      <w:szCs w:val="21"/>
                      <w:highlight w:val="none"/>
                    </w:rPr>
                    <w:t>《</w:t>
                  </w:r>
                  <w:r>
                    <w:rPr>
                      <w:rFonts w:hint="eastAsia"/>
                      <w:bCs/>
                      <w:color w:val="auto"/>
                      <w:sz w:val="21"/>
                      <w:szCs w:val="21"/>
                      <w:highlight w:val="none"/>
                      <w:lang w:val="en-US" w:eastAsia="zh-CN"/>
                    </w:rPr>
                    <w:t>恶臭</w:t>
                  </w:r>
                  <w:r>
                    <w:rPr>
                      <w:bCs/>
                      <w:color w:val="auto"/>
                      <w:sz w:val="21"/>
                      <w:szCs w:val="21"/>
                      <w:highlight w:val="none"/>
                    </w:rPr>
                    <w:t>污染物排放标准》（GB</w:t>
                  </w:r>
                  <w:r>
                    <w:rPr>
                      <w:rFonts w:hint="eastAsia"/>
                      <w:bCs/>
                      <w:color w:val="auto"/>
                      <w:sz w:val="21"/>
                      <w:szCs w:val="21"/>
                      <w:highlight w:val="none"/>
                      <w:lang w:val="en-US" w:eastAsia="zh-CN"/>
                    </w:rPr>
                    <w:t>14554</w:t>
                  </w:r>
                  <w:r>
                    <w:rPr>
                      <w:bCs/>
                      <w:color w:val="auto"/>
                      <w:sz w:val="21"/>
                      <w:szCs w:val="21"/>
                      <w:highlight w:val="none"/>
                    </w:rPr>
                    <w:t>-</w:t>
                  </w:r>
                  <w:r>
                    <w:rPr>
                      <w:rFonts w:hint="eastAsia"/>
                      <w:bCs/>
                      <w:color w:val="auto"/>
                      <w:sz w:val="21"/>
                      <w:szCs w:val="21"/>
                      <w:highlight w:val="none"/>
                      <w:lang w:val="en-US" w:eastAsia="zh-CN"/>
                    </w:rPr>
                    <w:t>93</w:t>
                  </w:r>
                  <w:r>
                    <w:rPr>
                      <w:bCs/>
                      <w:color w:val="auto"/>
                      <w:sz w:val="21"/>
                      <w:szCs w:val="21"/>
                      <w:highlight w:val="none"/>
                    </w:rPr>
                    <w:t>）</w:t>
                  </w:r>
                  <w:r>
                    <w:rPr>
                      <w:rFonts w:hint="eastAsia"/>
                      <w:bCs/>
                      <w:color w:val="auto"/>
                      <w:sz w:val="21"/>
                      <w:szCs w:val="21"/>
                      <w:highlight w:val="none"/>
                      <w:lang w:val="en-US" w:eastAsia="zh-CN"/>
                    </w:rPr>
                    <w:t>中表1二级标准限值</w:t>
                  </w:r>
                </w:p>
              </w:tc>
            </w:tr>
            <w:tr w14:paraId="2E1827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85" w:type="dxa"/>
                  <w:noWrap w:val="0"/>
                  <w:vAlign w:val="center"/>
                </w:tcPr>
                <w:p w14:paraId="0E5D3D9A">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eastAsia="宋体"/>
                      <w:color w:val="auto"/>
                      <w:sz w:val="21"/>
                      <w:highlight w:val="none"/>
                      <w:lang w:val="en-US" w:eastAsia="zh-CN"/>
                    </w:rPr>
                  </w:pPr>
                  <w:r>
                    <w:rPr>
                      <w:rFonts w:hint="eastAsia"/>
                      <w:color w:val="auto"/>
                      <w:highlight w:val="none"/>
                      <w:lang w:val="en-US" w:eastAsia="zh-CN"/>
                    </w:rPr>
                    <w:t>氨</w:t>
                  </w:r>
                </w:p>
              </w:tc>
              <w:tc>
                <w:tcPr>
                  <w:tcW w:w="3216" w:type="dxa"/>
                  <w:noWrap w:val="0"/>
                  <w:vAlign w:val="center"/>
                </w:tcPr>
                <w:p w14:paraId="420E2588">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color w:val="auto"/>
                      <w:sz w:val="21"/>
                      <w:highlight w:val="none"/>
                      <w:lang w:val="en-US"/>
                    </w:rPr>
                  </w:pPr>
                  <w:r>
                    <w:rPr>
                      <w:rFonts w:hint="eastAsia"/>
                      <w:color w:val="auto"/>
                      <w:highlight w:val="none"/>
                      <w:lang w:val="en-US" w:eastAsia="zh-CN"/>
                    </w:rPr>
                    <w:t>1.5</w:t>
                  </w:r>
                </w:p>
              </w:tc>
              <w:tc>
                <w:tcPr>
                  <w:tcW w:w="3599" w:type="dxa"/>
                  <w:vMerge w:val="continue"/>
                  <w:noWrap w:val="0"/>
                  <w:vAlign w:val="center"/>
                </w:tcPr>
                <w:p w14:paraId="7D9D79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highlight w:val="none"/>
                    </w:rPr>
                  </w:pPr>
                </w:p>
              </w:tc>
            </w:tr>
            <w:tr w14:paraId="05B80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85" w:type="dxa"/>
                  <w:noWrap w:val="0"/>
                  <w:vAlign w:val="center"/>
                </w:tcPr>
                <w:p w14:paraId="6DB68AD3">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color w:val="auto"/>
                      <w:highlight w:val="none"/>
                      <w:lang w:val="en-US" w:eastAsia="zh-CN"/>
                    </w:rPr>
                  </w:pPr>
                  <w:r>
                    <w:rPr>
                      <w:rFonts w:hint="eastAsia"/>
                      <w:color w:val="auto"/>
                      <w:highlight w:val="none"/>
                      <w:lang w:val="en-US" w:eastAsia="zh-CN"/>
                    </w:rPr>
                    <w:t>臭气浓度</w:t>
                  </w:r>
                </w:p>
              </w:tc>
              <w:tc>
                <w:tcPr>
                  <w:tcW w:w="3216" w:type="dxa"/>
                  <w:noWrap w:val="0"/>
                  <w:vAlign w:val="center"/>
                </w:tcPr>
                <w:p w14:paraId="5B1058EA">
                  <w:pPr>
                    <w:pStyle w:val="127"/>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color w:val="auto"/>
                      <w:highlight w:val="none"/>
                      <w:lang w:val="en-US" w:eastAsia="zh-CN"/>
                    </w:rPr>
                  </w:pPr>
                  <w:r>
                    <w:rPr>
                      <w:rFonts w:hint="eastAsia"/>
                      <w:color w:val="auto"/>
                      <w:highlight w:val="none"/>
                      <w:lang w:val="en-US" w:eastAsia="zh-CN"/>
                    </w:rPr>
                    <w:t>20（无量纲）</w:t>
                  </w:r>
                </w:p>
              </w:tc>
              <w:tc>
                <w:tcPr>
                  <w:tcW w:w="3599" w:type="dxa"/>
                  <w:vMerge w:val="continue"/>
                  <w:noWrap w:val="0"/>
                  <w:vAlign w:val="center"/>
                </w:tcPr>
                <w:p w14:paraId="2E9A14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highlight w:val="none"/>
                    </w:rPr>
                  </w:pPr>
                </w:p>
              </w:tc>
            </w:tr>
          </w:tbl>
          <w:p w14:paraId="2F1F4C35">
            <w:pPr>
              <w:pStyle w:val="10"/>
              <w:numPr>
                <w:ilvl w:val="0"/>
                <w:numId w:val="0"/>
              </w:numPr>
              <w:bidi w:val="0"/>
              <w:ind w:left="0" w:leftChars="0" w:right="0" w:rightChars="0" w:firstLine="482" w:firstLineChars="200"/>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kern w:val="0"/>
                <w:sz w:val="24"/>
                <w:szCs w:val="24"/>
                <w:lang w:val="en-US" w:eastAsia="zh-CN" w:bidi="ar-SA"/>
              </w:rPr>
              <w:t>（二）</w:t>
            </w:r>
            <w:r>
              <w:rPr>
                <w:rFonts w:hint="eastAsia" w:ascii="Times New Roman" w:hAnsi="Times New Roman" w:eastAsia="宋体" w:cs="Times New Roman"/>
                <w:b/>
                <w:bCs w:val="0"/>
                <w:color w:val="auto"/>
                <w:sz w:val="24"/>
                <w:szCs w:val="24"/>
                <w:highlight w:val="none"/>
                <w:lang w:val="en-US" w:eastAsia="zh-CN"/>
              </w:rPr>
              <w:t>废水</w:t>
            </w:r>
          </w:p>
          <w:p w14:paraId="317F24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cs="Times New Roman"/>
                <w:color w:val="000000"/>
                <w:kern w:val="0"/>
                <w:sz w:val="24"/>
                <w:szCs w:val="24"/>
                <w:lang w:val="en-US" w:eastAsia="zh-CN" w:bidi="ar"/>
              </w:rPr>
              <w:t>和纯水制备浓水</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纯水制备浓水可</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生活污水经化粪池处理后和生产废水一起</w:t>
            </w:r>
            <w:r>
              <w:rPr>
                <w:rFonts w:hint="default" w:ascii="Times New Roman" w:hAnsi="Times New Roman" w:eastAsia="宋体" w:cs="Times New Roman"/>
                <w:color w:val="000000"/>
                <w:kern w:val="0"/>
                <w:sz w:val="24"/>
                <w:szCs w:val="24"/>
                <w:lang w:val="en-US" w:eastAsia="zh-CN" w:bidi="ar"/>
              </w:rPr>
              <w:t>进入自建污水处理站处理达标后通过污水管网进入宁都县第二污水处理厂处理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000000"/>
                <w:kern w:val="0"/>
                <w:sz w:val="24"/>
                <w:szCs w:val="24"/>
                <w:lang w:val="en-US" w:eastAsia="zh-CN" w:bidi="ar"/>
              </w:rPr>
              <w:t>，最终排入梅江。</w:t>
            </w:r>
          </w:p>
          <w:p w14:paraId="520384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000000"/>
                <w:kern w:val="0"/>
                <w:sz w:val="24"/>
                <w:szCs w:val="24"/>
                <w:lang w:val="en-US" w:eastAsia="zh-CN" w:bidi="ar"/>
              </w:rPr>
              <w:t>综合废水排放执行《肉类加工工业水污染物排放标准》（</w:t>
            </w:r>
            <w:r>
              <w:rPr>
                <w:rFonts w:hint="default" w:ascii="Times New Roman" w:hAnsi="Times New Roman" w:eastAsia="宋体" w:cs="Times New Roman"/>
                <w:color w:val="000000"/>
                <w:kern w:val="0"/>
                <w:sz w:val="24"/>
                <w:szCs w:val="24"/>
                <w:lang w:val="en-US" w:eastAsia="zh-CN" w:bidi="ar"/>
              </w:rPr>
              <w:t>GB13457-92</w:t>
            </w:r>
            <w:r>
              <w:rPr>
                <w:rFonts w:hint="eastAsia" w:ascii="Times New Roman" w:hAnsi="Times New Roman" w:eastAsia="宋体" w:cs="Times New Roman"/>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3 </w:t>
            </w:r>
            <w:r>
              <w:rPr>
                <w:rFonts w:hint="eastAsia" w:ascii="Times New Roman" w:hAnsi="Times New Roman" w:eastAsia="宋体" w:cs="Times New Roman"/>
                <w:color w:val="000000"/>
                <w:kern w:val="0"/>
                <w:sz w:val="24"/>
                <w:szCs w:val="24"/>
                <w:lang w:val="en-US" w:eastAsia="zh-CN" w:bidi="ar"/>
              </w:rPr>
              <w:t>三级标准和宁都县第二污水处理厂接管标准较严值。</w:t>
            </w:r>
          </w:p>
          <w:p w14:paraId="18004577">
            <w:pPr>
              <w:ind w:firstLine="211" w:firstLineChars="100"/>
              <w:jc w:val="center"/>
              <w:rPr>
                <w:rFonts w:hint="eastAsia" w:ascii="Times New Roman" w:hAnsi="Times New Roman" w:eastAsia="宋体" w:cs="Times New Roman"/>
                <w:b/>
                <w:color w:val="auto"/>
                <w:kern w:val="0"/>
                <w:szCs w:val="21"/>
                <w:lang w:val="en-US" w:eastAsia="zh-CN"/>
              </w:rPr>
            </w:pPr>
            <w:r>
              <w:rPr>
                <w:rFonts w:hint="default" w:ascii="Times New Roman" w:hAnsi="Times New Roman" w:eastAsia="宋体" w:cs="Times New Roman"/>
                <w:b/>
                <w:color w:val="auto"/>
                <w:kern w:val="0"/>
                <w:szCs w:val="21"/>
              </w:rPr>
              <w:t>表</w:t>
            </w:r>
            <w:r>
              <w:rPr>
                <w:rFonts w:hint="default" w:ascii="Times New Roman" w:hAnsi="Times New Roman" w:eastAsia="宋体" w:cs="Times New Roman"/>
                <w:b/>
                <w:color w:val="auto"/>
                <w:kern w:val="0"/>
                <w:szCs w:val="21"/>
                <w:lang w:val="en-US" w:eastAsia="zh-CN"/>
              </w:rPr>
              <w:t>3-</w:t>
            </w:r>
            <w:r>
              <w:rPr>
                <w:rFonts w:hint="eastAsia" w:cs="Times New Roman"/>
                <w:b/>
                <w:color w:val="auto"/>
                <w:kern w:val="0"/>
                <w:szCs w:val="21"/>
                <w:lang w:val="en-US" w:eastAsia="zh-CN"/>
              </w:rPr>
              <w:t>8</w:t>
            </w:r>
            <w:r>
              <w:rPr>
                <w:rFonts w:hint="default" w:ascii="Times New Roman" w:hAnsi="Times New Roman" w:eastAsia="宋体" w:cs="Times New Roman"/>
                <w:b/>
                <w:color w:val="auto"/>
                <w:kern w:val="0"/>
                <w:szCs w:val="21"/>
                <w:lang w:val="en-US" w:eastAsia="zh-CN"/>
              </w:rPr>
              <w:t xml:space="preserve"> </w:t>
            </w:r>
            <w:r>
              <w:rPr>
                <w:rFonts w:hint="eastAsia" w:cs="Times New Roman"/>
                <w:b/>
                <w:color w:val="auto"/>
                <w:kern w:val="0"/>
                <w:szCs w:val="21"/>
                <w:lang w:val="en-US" w:eastAsia="zh-CN"/>
              </w:rPr>
              <w:t xml:space="preserve"> 厂区综合废水污染物排放标准</w:t>
            </w:r>
          </w:p>
          <w:tbl>
            <w:tblPr>
              <w:tblStyle w:val="34"/>
              <w:tblW w:w="839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873"/>
              <w:gridCol w:w="1676"/>
              <w:gridCol w:w="1948"/>
              <w:gridCol w:w="1402"/>
              <w:gridCol w:w="1402"/>
            </w:tblGrid>
            <w:tr w14:paraId="49E14F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14:paraId="4CB0975C">
                  <w:pPr>
                    <w:jc w:val="center"/>
                    <w:rPr>
                      <w:rFonts w:hint="default" w:ascii="Times New Roman" w:hAnsi="Times New Roman" w:eastAsia="宋体" w:cs="Times New Roman"/>
                      <w:b/>
                      <w:bCs w:val="0"/>
                      <w:color w:val="auto"/>
                      <w:kern w:val="0"/>
                      <w:szCs w:val="21"/>
                      <w:vertAlign w:val="baseline"/>
                      <w:lang w:val="en-US" w:eastAsia="zh-CN"/>
                    </w:rPr>
                  </w:pPr>
                  <w:r>
                    <w:rPr>
                      <w:rFonts w:hint="eastAsia" w:cs="Times New Roman"/>
                      <w:b/>
                      <w:bCs w:val="0"/>
                      <w:color w:val="auto"/>
                      <w:kern w:val="0"/>
                      <w:szCs w:val="21"/>
                      <w:vertAlign w:val="baseline"/>
                      <w:lang w:val="en-US" w:eastAsia="zh-CN"/>
                    </w:rPr>
                    <w:t>污染物</w:t>
                  </w:r>
                </w:p>
              </w:tc>
              <w:tc>
                <w:tcPr>
                  <w:tcW w:w="873" w:type="dxa"/>
                  <w:vAlign w:val="center"/>
                </w:tcPr>
                <w:p w14:paraId="78ACBE31">
                  <w:pPr>
                    <w:jc w:val="center"/>
                    <w:rPr>
                      <w:rFonts w:hint="default" w:ascii="Times New Roman" w:hAnsi="Times New Roman" w:eastAsia="宋体" w:cs="Times New Roman"/>
                      <w:b/>
                      <w:bCs w:val="0"/>
                      <w:color w:val="auto"/>
                      <w:kern w:val="0"/>
                      <w:szCs w:val="21"/>
                      <w:vertAlign w:val="baseline"/>
                      <w:lang w:val="en-US" w:eastAsia="zh-CN"/>
                    </w:rPr>
                  </w:pPr>
                  <w:r>
                    <w:rPr>
                      <w:rFonts w:hint="eastAsia" w:cs="Times New Roman"/>
                      <w:b/>
                      <w:bCs w:val="0"/>
                      <w:color w:val="auto"/>
                      <w:kern w:val="0"/>
                      <w:szCs w:val="21"/>
                      <w:vertAlign w:val="baseline"/>
                      <w:lang w:val="en-US" w:eastAsia="zh-CN"/>
                    </w:rPr>
                    <w:t>单位</w:t>
                  </w:r>
                </w:p>
              </w:tc>
              <w:tc>
                <w:tcPr>
                  <w:tcW w:w="1676" w:type="dxa"/>
                  <w:vAlign w:val="center"/>
                </w:tcPr>
                <w:p w14:paraId="5F2E8795">
                  <w:pPr>
                    <w:jc w:val="center"/>
                    <w:rPr>
                      <w:rFonts w:hint="default" w:ascii="Times New Roman" w:hAnsi="Times New Roman" w:eastAsia="宋体" w:cs="Times New Roman"/>
                      <w:b/>
                      <w:bCs w:val="0"/>
                      <w:color w:val="auto"/>
                      <w:kern w:val="0"/>
                      <w:szCs w:val="21"/>
                      <w:vertAlign w:val="baseline"/>
                      <w:lang w:val="en-US" w:eastAsia="zh-CN"/>
                    </w:rPr>
                  </w:pPr>
                  <w:r>
                    <w:rPr>
                      <w:rFonts w:hint="eastAsia" w:ascii="Times New Roman" w:hAnsi="Times New Roman" w:eastAsia="宋体" w:cs="Times New Roman"/>
                      <w:b/>
                      <w:bCs w:val="0"/>
                      <w:color w:val="auto"/>
                      <w:kern w:val="0"/>
                      <w:szCs w:val="21"/>
                      <w:vertAlign w:val="baseline"/>
                      <w:lang w:val="en-US" w:eastAsia="zh-CN"/>
                    </w:rPr>
                    <w:t>宁都县第二污水处理厂接管标准限值</w:t>
                  </w:r>
                </w:p>
              </w:tc>
              <w:tc>
                <w:tcPr>
                  <w:tcW w:w="1948" w:type="dxa"/>
                  <w:vAlign w:val="center"/>
                </w:tcPr>
                <w:p w14:paraId="34FFF114">
                  <w:pPr>
                    <w:jc w:val="center"/>
                    <w:rPr>
                      <w:rFonts w:hint="default" w:ascii="Times New Roman" w:hAnsi="Times New Roman" w:eastAsia="宋体" w:cs="Times New Roman"/>
                      <w:b/>
                      <w:bCs w:val="0"/>
                      <w:color w:val="auto"/>
                      <w:kern w:val="0"/>
                      <w:szCs w:val="21"/>
                      <w:vertAlign w:val="baseline"/>
                      <w:lang w:val="en-US" w:eastAsia="zh-CN"/>
                    </w:rPr>
                  </w:pPr>
                  <w:r>
                    <w:rPr>
                      <w:rFonts w:hint="eastAsia" w:ascii="Times New Roman" w:hAnsi="Times New Roman" w:eastAsia="宋体" w:cs="Times New Roman"/>
                      <w:b/>
                      <w:bCs w:val="0"/>
                      <w:color w:val="auto"/>
                      <w:kern w:val="0"/>
                      <w:szCs w:val="21"/>
                      <w:vertAlign w:val="baseline"/>
                      <w:lang w:val="en-US" w:eastAsia="zh-CN"/>
                    </w:rPr>
                    <w:t>《肉类加工工业水污染物排放标准》（</w:t>
                  </w:r>
                  <w:r>
                    <w:rPr>
                      <w:rFonts w:hint="default" w:ascii="Times New Roman" w:hAnsi="Times New Roman" w:eastAsia="宋体" w:cs="Times New Roman"/>
                      <w:b/>
                      <w:bCs w:val="0"/>
                      <w:color w:val="auto"/>
                      <w:kern w:val="0"/>
                      <w:szCs w:val="21"/>
                      <w:vertAlign w:val="baseline"/>
                      <w:lang w:val="en-US" w:eastAsia="zh-CN"/>
                    </w:rPr>
                    <w:t>GB13457-92</w:t>
                  </w:r>
                  <w:r>
                    <w:rPr>
                      <w:rFonts w:hint="eastAsia" w:ascii="Times New Roman" w:hAnsi="Times New Roman" w:eastAsia="宋体" w:cs="Times New Roman"/>
                      <w:b/>
                      <w:bCs w:val="0"/>
                      <w:color w:val="auto"/>
                      <w:kern w:val="0"/>
                      <w:szCs w:val="21"/>
                      <w:vertAlign w:val="baseline"/>
                      <w:lang w:val="en-US" w:eastAsia="zh-CN"/>
                    </w:rPr>
                    <w:t xml:space="preserve">）表 </w:t>
                  </w:r>
                  <w:r>
                    <w:rPr>
                      <w:rFonts w:hint="default" w:ascii="Times New Roman" w:hAnsi="Times New Roman" w:eastAsia="宋体" w:cs="Times New Roman"/>
                      <w:b/>
                      <w:bCs w:val="0"/>
                      <w:color w:val="auto"/>
                      <w:kern w:val="0"/>
                      <w:szCs w:val="21"/>
                      <w:vertAlign w:val="baseline"/>
                      <w:lang w:val="en-US" w:eastAsia="zh-CN"/>
                    </w:rPr>
                    <w:t xml:space="preserve">3 </w:t>
                  </w:r>
                  <w:r>
                    <w:rPr>
                      <w:rFonts w:hint="eastAsia" w:ascii="Times New Roman" w:hAnsi="Times New Roman" w:eastAsia="宋体" w:cs="Times New Roman"/>
                      <w:b/>
                      <w:bCs w:val="0"/>
                      <w:color w:val="auto"/>
                      <w:kern w:val="0"/>
                      <w:szCs w:val="21"/>
                      <w:vertAlign w:val="baseline"/>
                      <w:lang w:val="en-US" w:eastAsia="zh-CN"/>
                    </w:rPr>
                    <w:t>三级标准</w:t>
                  </w:r>
                </w:p>
              </w:tc>
              <w:tc>
                <w:tcPr>
                  <w:tcW w:w="1402" w:type="dxa"/>
                  <w:vAlign w:val="center"/>
                </w:tcPr>
                <w:p w14:paraId="39895EC5">
                  <w:pPr>
                    <w:jc w:val="center"/>
                    <w:rPr>
                      <w:rFonts w:hint="default" w:ascii="Times New Roman" w:hAnsi="Times New Roman" w:eastAsia="宋体" w:cs="Times New Roman"/>
                      <w:b/>
                      <w:bCs w:val="0"/>
                      <w:color w:val="auto"/>
                      <w:lang w:val="en-US" w:eastAsia="zh-CN"/>
                    </w:rPr>
                  </w:pPr>
                  <w:r>
                    <w:rPr>
                      <w:rFonts w:hint="eastAsia" w:ascii="Times New Roman" w:hAnsi="Times New Roman" w:cs="Times New Roman"/>
                      <w:b/>
                      <w:bCs w:val="0"/>
                      <w:color w:val="auto"/>
                      <w:lang w:val="en-US" w:eastAsia="zh-CN"/>
                    </w:rPr>
                    <w:t>本项目标准</w:t>
                  </w:r>
                </w:p>
              </w:tc>
              <w:tc>
                <w:tcPr>
                  <w:tcW w:w="1402" w:type="dxa"/>
                  <w:vAlign w:val="center"/>
                </w:tcPr>
                <w:p w14:paraId="2A9D2BB6">
                  <w:pPr>
                    <w:jc w:val="center"/>
                    <w:rPr>
                      <w:rFonts w:hint="default" w:ascii="Times New Roman" w:hAnsi="Times New Roman" w:eastAsia="宋体" w:cs="Times New Roman"/>
                      <w:b/>
                      <w:bCs w:val="0"/>
                      <w:color w:val="auto"/>
                      <w:kern w:val="0"/>
                      <w:szCs w:val="21"/>
                      <w:vertAlign w:val="baseline"/>
                      <w:lang w:val="en-US" w:eastAsia="zh-CN"/>
                    </w:rPr>
                  </w:pPr>
                  <w:r>
                    <w:rPr>
                      <w:rFonts w:hint="eastAsia" w:cs="Times New Roman"/>
                      <w:b/>
                      <w:bCs w:val="0"/>
                      <w:color w:val="auto"/>
                      <w:kern w:val="0"/>
                      <w:szCs w:val="21"/>
                      <w:vertAlign w:val="baseline"/>
                      <w:lang w:val="en-US" w:eastAsia="zh-CN"/>
                    </w:rPr>
                    <w:t>排放监控位置</w:t>
                  </w:r>
                </w:p>
              </w:tc>
            </w:tr>
            <w:tr w14:paraId="48FDEB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14:paraId="3B2258AC">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pH</w:t>
                  </w:r>
                </w:p>
              </w:tc>
              <w:tc>
                <w:tcPr>
                  <w:tcW w:w="873" w:type="dxa"/>
                  <w:vAlign w:val="center"/>
                </w:tcPr>
                <w:p w14:paraId="01F6E852">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无量纲</w:t>
                  </w:r>
                </w:p>
              </w:tc>
              <w:tc>
                <w:tcPr>
                  <w:tcW w:w="1676" w:type="dxa"/>
                  <w:vAlign w:val="center"/>
                </w:tcPr>
                <w:p w14:paraId="19359D09">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6-9</w:t>
                  </w:r>
                </w:p>
              </w:tc>
              <w:tc>
                <w:tcPr>
                  <w:tcW w:w="1948" w:type="dxa"/>
                  <w:vAlign w:val="center"/>
                </w:tcPr>
                <w:p w14:paraId="7B87562C">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6-8.5</w:t>
                  </w:r>
                </w:p>
              </w:tc>
              <w:tc>
                <w:tcPr>
                  <w:tcW w:w="1402" w:type="dxa"/>
                  <w:shd w:val="clear" w:color="auto" w:fill="auto"/>
                  <w:vAlign w:val="center"/>
                </w:tcPr>
                <w:p w14:paraId="2A40506C">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6-8.5</w:t>
                  </w:r>
                </w:p>
              </w:tc>
              <w:tc>
                <w:tcPr>
                  <w:tcW w:w="1402" w:type="dxa"/>
                  <w:vMerge w:val="restart"/>
                  <w:vAlign w:val="center"/>
                </w:tcPr>
                <w:p w14:paraId="6FB7AF51">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ascii="Times New Roman" w:hAnsi="Times New Roman" w:eastAsia="宋体" w:cs="Times New Roman"/>
                      <w:color w:val="auto"/>
                      <w:lang w:val="en-US" w:eastAsia="zh-CN"/>
                    </w:rPr>
                    <w:t>企业废水总排口</w:t>
                  </w:r>
                </w:p>
              </w:tc>
            </w:tr>
            <w:tr w14:paraId="026D92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14:paraId="71D96A24">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COD</w:t>
                  </w:r>
                  <w:r>
                    <w:rPr>
                      <w:rFonts w:hint="eastAsia"/>
                      <w:b w:val="0"/>
                      <w:bCs w:val="0"/>
                      <w:color w:val="auto"/>
                      <w:highlight w:val="none"/>
                      <w:lang w:val="en-US" w:eastAsia="zh-CN"/>
                    </w:rPr>
                    <w:t>cr</w:t>
                  </w:r>
                </w:p>
              </w:tc>
              <w:tc>
                <w:tcPr>
                  <w:tcW w:w="873" w:type="dxa"/>
                  <w:vAlign w:val="center"/>
                </w:tcPr>
                <w:p w14:paraId="5AB07034">
                  <w:pPr>
                    <w:jc w:val="center"/>
                    <w:rPr>
                      <w:rFonts w:hint="eastAsia" w:ascii="Times New Roman" w:hAnsi="Times New Roman" w:eastAsia="宋体" w:cs="Times New Roman"/>
                      <w:b w:val="0"/>
                      <w:bCs/>
                      <w:color w:val="auto"/>
                      <w:kern w:val="0"/>
                      <w:szCs w:val="21"/>
                      <w:vertAlign w:val="baseline"/>
                      <w:lang w:val="en-US" w:eastAsia="zh-CN"/>
                    </w:rPr>
                  </w:pPr>
                  <w:r>
                    <w:rPr>
                      <w:rFonts w:hint="eastAsia" w:ascii="Times New Roman" w:hAnsi="Times New Roman" w:eastAsia="宋体" w:cs="Times New Roman"/>
                      <w:b w:val="0"/>
                      <w:bCs/>
                      <w:color w:val="auto"/>
                      <w:kern w:val="0"/>
                      <w:szCs w:val="21"/>
                      <w:lang w:val="en-US" w:eastAsia="zh-CN"/>
                    </w:rPr>
                    <w:t>mg/L</w:t>
                  </w:r>
                </w:p>
              </w:tc>
              <w:tc>
                <w:tcPr>
                  <w:tcW w:w="1676" w:type="dxa"/>
                  <w:vAlign w:val="center"/>
                </w:tcPr>
                <w:p w14:paraId="15EAD526">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500</w:t>
                  </w:r>
                </w:p>
              </w:tc>
              <w:tc>
                <w:tcPr>
                  <w:tcW w:w="1948" w:type="dxa"/>
                  <w:vAlign w:val="center"/>
                </w:tcPr>
                <w:p w14:paraId="24AEF1EE">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500</w:t>
                  </w:r>
                </w:p>
              </w:tc>
              <w:tc>
                <w:tcPr>
                  <w:tcW w:w="1402" w:type="dxa"/>
                  <w:shd w:val="clear" w:color="auto" w:fill="auto"/>
                  <w:vAlign w:val="center"/>
                </w:tcPr>
                <w:p w14:paraId="1D420E16">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500</w:t>
                  </w:r>
                </w:p>
              </w:tc>
              <w:tc>
                <w:tcPr>
                  <w:tcW w:w="1402" w:type="dxa"/>
                  <w:vMerge w:val="continue"/>
                  <w:vAlign w:val="center"/>
                </w:tcPr>
                <w:p w14:paraId="11F60C31">
                  <w:pPr>
                    <w:jc w:val="center"/>
                    <w:rPr>
                      <w:rFonts w:hint="eastAsia" w:ascii="Times New Roman" w:hAnsi="Times New Roman" w:eastAsia="宋体" w:cs="Times New Roman"/>
                      <w:b w:val="0"/>
                      <w:bCs w:val="0"/>
                      <w:color w:val="auto"/>
                      <w:kern w:val="0"/>
                      <w:szCs w:val="21"/>
                      <w:vertAlign w:val="baseline"/>
                      <w:lang w:val="en-US" w:eastAsia="zh-CN"/>
                    </w:rPr>
                  </w:pPr>
                </w:p>
              </w:tc>
            </w:tr>
            <w:tr w14:paraId="343916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91" w:type="dxa"/>
                  <w:vAlign w:val="center"/>
                </w:tcPr>
                <w:p w14:paraId="607BD1C1">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BOD</w:t>
                  </w:r>
                  <w:r>
                    <w:rPr>
                      <w:rFonts w:hint="default"/>
                      <w:b w:val="0"/>
                      <w:bCs w:val="0"/>
                      <w:color w:val="auto"/>
                      <w:highlight w:val="none"/>
                      <w:vertAlign w:val="subscript"/>
                    </w:rPr>
                    <w:t>5</w:t>
                  </w:r>
                </w:p>
              </w:tc>
              <w:tc>
                <w:tcPr>
                  <w:tcW w:w="873" w:type="dxa"/>
                  <w:vAlign w:val="center"/>
                </w:tcPr>
                <w:p w14:paraId="206D16FF">
                  <w:pPr>
                    <w:jc w:val="center"/>
                    <w:rPr>
                      <w:rFonts w:hint="eastAsia" w:ascii="Times New Roman" w:hAnsi="Times New Roman" w:eastAsia="宋体" w:cs="Times New Roman"/>
                      <w:b w:val="0"/>
                      <w:bCs/>
                      <w:color w:val="auto"/>
                      <w:kern w:val="0"/>
                      <w:szCs w:val="21"/>
                      <w:vertAlign w:val="baseline"/>
                      <w:lang w:val="en-US" w:eastAsia="zh-CN"/>
                    </w:rPr>
                  </w:pPr>
                  <w:r>
                    <w:rPr>
                      <w:rFonts w:hint="eastAsia" w:ascii="Times New Roman" w:hAnsi="Times New Roman" w:eastAsia="宋体" w:cs="Times New Roman"/>
                      <w:b w:val="0"/>
                      <w:bCs/>
                      <w:color w:val="auto"/>
                      <w:kern w:val="0"/>
                      <w:szCs w:val="21"/>
                      <w:lang w:val="en-US" w:eastAsia="zh-CN"/>
                    </w:rPr>
                    <w:t>mg/L</w:t>
                  </w:r>
                </w:p>
              </w:tc>
              <w:tc>
                <w:tcPr>
                  <w:tcW w:w="1676" w:type="dxa"/>
                  <w:vAlign w:val="center"/>
                </w:tcPr>
                <w:p w14:paraId="06B9006E">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300</w:t>
                  </w:r>
                </w:p>
              </w:tc>
              <w:tc>
                <w:tcPr>
                  <w:tcW w:w="1948" w:type="dxa"/>
                  <w:vAlign w:val="center"/>
                </w:tcPr>
                <w:p w14:paraId="19A6DA10">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300</w:t>
                  </w:r>
                </w:p>
              </w:tc>
              <w:tc>
                <w:tcPr>
                  <w:tcW w:w="1402" w:type="dxa"/>
                  <w:shd w:val="clear" w:color="auto" w:fill="auto"/>
                  <w:vAlign w:val="center"/>
                </w:tcPr>
                <w:p w14:paraId="5812477F">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300</w:t>
                  </w:r>
                </w:p>
              </w:tc>
              <w:tc>
                <w:tcPr>
                  <w:tcW w:w="1402" w:type="dxa"/>
                  <w:vMerge w:val="continue"/>
                  <w:vAlign w:val="center"/>
                </w:tcPr>
                <w:p w14:paraId="3386A075">
                  <w:pPr>
                    <w:jc w:val="center"/>
                    <w:rPr>
                      <w:rFonts w:hint="eastAsia" w:ascii="Times New Roman" w:hAnsi="Times New Roman" w:eastAsia="宋体" w:cs="Times New Roman"/>
                      <w:b w:val="0"/>
                      <w:bCs w:val="0"/>
                      <w:color w:val="auto"/>
                      <w:kern w:val="0"/>
                      <w:szCs w:val="21"/>
                      <w:vertAlign w:val="baseline"/>
                      <w:lang w:val="en-US" w:eastAsia="zh-CN"/>
                    </w:rPr>
                  </w:pPr>
                </w:p>
              </w:tc>
            </w:tr>
            <w:tr w14:paraId="71182A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14:paraId="719F4BED">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SS</w:t>
                  </w:r>
                </w:p>
              </w:tc>
              <w:tc>
                <w:tcPr>
                  <w:tcW w:w="873" w:type="dxa"/>
                  <w:vAlign w:val="center"/>
                </w:tcPr>
                <w:p w14:paraId="428D4C94">
                  <w:pPr>
                    <w:jc w:val="center"/>
                    <w:rPr>
                      <w:rFonts w:hint="eastAsia" w:ascii="Times New Roman" w:hAnsi="Times New Roman" w:eastAsia="宋体" w:cs="Times New Roman"/>
                      <w:b w:val="0"/>
                      <w:bCs/>
                      <w:color w:val="auto"/>
                      <w:kern w:val="0"/>
                      <w:szCs w:val="21"/>
                      <w:vertAlign w:val="baseline"/>
                      <w:lang w:val="en-US" w:eastAsia="zh-CN"/>
                    </w:rPr>
                  </w:pPr>
                  <w:r>
                    <w:rPr>
                      <w:rFonts w:hint="eastAsia" w:ascii="Times New Roman" w:hAnsi="Times New Roman" w:eastAsia="宋体" w:cs="Times New Roman"/>
                      <w:b w:val="0"/>
                      <w:bCs/>
                      <w:color w:val="auto"/>
                      <w:kern w:val="0"/>
                      <w:szCs w:val="21"/>
                      <w:lang w:val="en-US" w:eastAsia="zh-CN"/>
                    </w:rPr>
                    <w:t>mg/L</w:t>
                  </w:r>
                </w:p>
              </w:tc>
              <w:tc>
                <w:tcPr>
                  <w:tcW w:w="1676" w:type="dxa"/>
                  <w:vAlign w:val="center"/>
                </w:tcPr>
                <w:p w14:paraId="1A044D9A">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400</w:t>
                  </w:r>
                </w:p>
              </w:tc>
              <w:tc>
                <w:tcPr>
                  <w:tcW w:w="1948" w:type="dxa"/>
                  <w:vAlign w:val="center"/>
                </w:tcPr>
                <w:p w14:paraId="57C488B7">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350</w:t>
                  </w:r>
                </w:p>
              </w:tc>
              <w:tc>
                <w:tcPr>
                  <w:tcW w:w="1402" w:type="dxa"/>
                  <w:shd w:val="clear" w:color="auto" w:fill="auto"/>
                  <w:vAlign w:val="center"/>
                </w:tcPr>
                <w:p w14:paraId="0B3651F2">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350</w:t>
                  </w:r>
                </w:p>
              </w:tc>
              <w:tc>
                <w:tcPr>
                  <w:tcW w:w="1402" w:type="dxa"/>
                  <w:vMerge w:val="continue"/>
                  <w:vAlign w:val="center"/>
                </w:tcPr>
                <w:p w14:paraId="18A8A19E">
                  <w:pPr>
                    <w:jc w:val="center"/>
                    <w:rPr>
                      <w:rFonts w:hint="eastAsia" w:ascii="Times New Roman" w:hAnsi="Times New Roman" w:eastAsia="宋体" w:cs="Times New Roman"/>
                      <w:b w:val="0"/>
                      <w:bCs w:val="0"/>
                      <w:color w:val="auto"/>
                      <w:kern w:val="0"/>
                      <w:szCs w:val="21"/>
                      <w:vertAlign w:val="baseline"/>
                      <w:lang w:val="en-US" w:eastAsia="zh-CN"/>
                    </w:rPr>
                  </w:pPr>
                </w:p>
              </w:tc>
            </w:tr>
            <w:tr w14:paraId="6FBE8B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14:paraId="23C76984">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NH</w:t>
                  </w:r>
                  <w:r>
                    <w:rPr>
                      <w:rFonts w:hint="default"/>
                      <w:b w:val="0"/>
                      <w:bCs w:val="0"/>
                      <w:color w:val="auto"/>
                      <w:highlight w:val="none"/>
                      <w:vertAlign w:val="subscript"/>
                    </w:rPr>
                    <w:t>3</w:t>
                  </w:r>
                  <w:r>
                    <w:rPr>
                      <w:rFonts w:hint="default"/>
                      <w:b w:val="0"/>
                      <w:bCs w:val="0"/>
                      <w:color w:val="auto"/>
                      <w:highlight w:val="none"/>
                    </w:rPr>
                    <w:t>-N</w:t>
                  </w:r>
                </w:p>
              </w:tc>
              <w:tc>
                <w:tcPr>
                  <w:tcW w:w="873" w:type="dxa"/>
                  <w:vAlign w:val="center"/>
                </w:tcPr>
                <w:p w14:paraId="2596085F">
                  <w:pPr>
                    <w:jc w:val="center"/>
                    <w:rPr>
                      <w:rFonts w:hint="eastAsia" w:ascii="Times New Roman" w:hAnsi="Times New Roman" w:eastAsia="宋体" w:cs="Times New Roman"/>
                      <w:b w:val="0"/>
                      <w:bCs/>
                      <w:color w:val="auto"/>
                      <w:kern w:val="0"/>
                      <w:szCs w:val="21"/>
                      <w:vertAlign w:val="baseline"/>
                      <w:lang w:val="en-US" w:eastAsia="zh-CN"/>
                    </w:rPr>
                  </w:pPr>
                  <w:r>
                    <w:rPr>
                      <w:rFonts w:hint="eastAsia" w:ascii="Times New Roman" w:hAnsi="Times New Roman" w:eastAsia="宋体" w:cs="Times New Roman"/>
                      <w:b w:val="0"/>
                      <w:bCs/>
                      <w:color w:val="auto"/>
                      <w:kern w:val="0"/>
                      <w:szCs w:val="21"/>
                      <w:lang w:val="en-US" w:eastAsia="zh-CN"/>
                    </w:rPr>
                    <w:t>mg/L</w:t>
                  </w:r>
                </w:p>
              </w:tc>
              <w:tc>
                <w:tcPr>
                  <w:tcW w:w="1676" w:type="dxa"/>
                  <w:vAlign w:val="center"/>
                </w:tcPr>
                <w:p w14:paraId="7FBEC94C">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50</w:t>
                  </w:r>
                </w:p>
              </w:tc>
              <w:tc>
                <w:tcPr>
                  <w:tcW w:w="1948" w:type="dxa"/>
                  <w:vAlign w:val="center"/>
                </w:tcPr>
                <w:p w14:paraId="5844928C">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w:t>
                  </w:r>
                </w:p>
              </w:tc>
              <w:tc>
                <w:tcPr>
                  <w:tcW w:w="1402" w:type="dxa"/>
                  <w:shd w:val="clear" w:color="auto" w:fill="auto"/>
                  <w:vAlign w:val="center"/>
                </w:tcPr>
                <w:p w14:paraId="75B2CADE">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50</w:t>
                  </w:r>
                </w:p>
              </w:tc>
              <w:tc>
                <w:tcPr>
                  <w:tcW w:w="1402" w:type="dxa"/>
                  <w:vMerge w:val="continue"/>
                  <w:vAlign w:val="center"/>
                </w:tcPr>
                <w:p w14:paraId="6865A7A6">
                  <w:pPr>
                    <w:jc w:val="center"/>
                    <w:rPr>
                      <w:rFonts w:hint="eastAsia" w:ascii="Times New Roman" w:hAnsi="Times New Roman" w:eastAsia="宋体" w:cs="Times New Roman"/>
                      <w:b w:val="0"/>
                      <w:bCs w:val="0"/>
                      <w:color w:val="auto"/>
                      <w:kern w:val="0"/>
                      <w:szCs w:val="21"/>
                      <w:vertAlign w:val="baseline"/>
                      <w:lang w:val="en-US" w:eastAsia="zh-CN"/>
                    </w:rPr>
                  </w:pPr>
                </w:p>
              </w:tc>
            </w:tr>
            <w:tr w14:paraId="03798E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1" w:type="dxa"/>
                  <w:vAlign w:val="center"/>
                </w:tcPr>
                <w:p w14:paraId="067855F0">
                  <w:pPr>
                    <w:jc w:val="center"/>
                    <w:rPr>
                      <w:rFonts w:hint="default" w:eastAsia="宋体"/>
                      <w:b w:val="0"/>
                      <w:bCs w:val="0"/>
                      <w:color w:val="auto"/>
                      <w:highlight w:val="none"/>
                      <w:lang w:val="en-US" w:eastAsia="zh-CN"/>
                    </w:rPr>
                  </w:pPr>
                  <w:r>
                    <w:rPr>
                      <w:rFonts w:hint="eastAsia"/>
                      <w:b w:val="0"/>
                      <w:bCs w:val="0"/>
                      <w:color w:val="auto"/>
                      <w:highlight w:val="none"/>
                      <w:lang w:val="en-US" w:eastAsia="zh-CN"/>
                    </w:rPr>
                    <w:t>TP</w:t>
                  </w:r>
                </w:p>
              </w:tc>
              <w:tc>
                <w:tcPr>
                  <w:tcW w:w="873" w:type="dxa"/>
                  <w:vAlign w:val="center"/>
                </w:tcPr>
                <w:p w14:paraId="01814209">
                  <w:pPr>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mg/L</w:t>
                  </w:r>
                </w:p>
              </w:tc>
              <w:tc>
                <w:tcPr>
                  <w:tcW w:w="1676" w:type="dxa"/>
                  <w:vAlign w:val="center"/>
                </w:tcPr>
                <w:p w14:paraId="22E1D57C">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5</w:t>
                  </w:r>
                </w:p>
              </w:tc>
              <w:tc>
                <w:tcPr>
                  <w:tcW w:w="1948" w:type="dxa"/>
                  <w:vAlign w:val="center"/>
                </w:tcPr>
                <w:p w14:paraId="588CEAB8">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w:t>
                  </w:r>
                </w:p>
              </w:tc>
              <w:tc>
                <w:tcPr>
                  <w:tcW w:w="1402" w:type="dxa"/>
                  <w:shd w:val="clear" w:color="auto" w:fill="auto"/>
                  <w:vAlign w:val="center"/>
                </w:tcPr>
                <w:p w14:paraId="0BA005F7">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5</w:t>
                  </w:r>
                </w:p>
              </w:tc>
              <w:tc>
                <w:tcPr>
                  <w:tcW w:w="1402" w:type="dxa"/>
                  <w:vMerge w:val="continue"/>
                  <w:vAlign w:val="center"/>
                </w:tcPr>
                <w:p w14:paraId="5C825B4D">
                  <w:pPr>
                    <w:jc w:val="center"/>
                    <w:rPr>
                      <w:rFonts w:hint="eastAsia" w:ascii="Times New Roman" w:hAnsi="Times New Roman" w:eastAsia="宋体" w:cs="Times New Roman"/>
                      <w:b w:val="0"/>
                      <w:bCs w:val="0"/>
                      <w:color w:val="auto"/>
                      <w:kern w:val="0"/>
                      <w:szCs w:val="21"/>
                      <w:vertAlign w:val="baseline"/>
                      <w:lang w:val="en-US" w:eastAsia="zh-CN"/>
                    </w:rPr>
                  </w:pPr>
                </w:p>
              </w:tc>
            </w:tr>
            <w:tr w14:paraId="6E366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1" w:type="dxa"/>
                  <w:vAlign w:val="center"/>
                </w:tcPr>
                <w:p w14:paraId="6E872BA2">
                  <w:pPr>
                    <w:jc w:val="center"/>
                    <w:rPr>
                      <w:rFonts w:hint="default" w:eastAsia="宋体"/>
                      <w:b w:val="0"/>
                      <w:bCs w:val="0"/>
                      <w:color w:val="auto"/>
                      <w:highlight w:val="none"/>
                      <w:lang w:val="en-US" w:eastAsia="zh-CN"/>
                    </w:rPr>
                  </w:pPr>
                  <w:r>
                    <w:rPr>
                      <w:rFonts w:hint="eastAsia"/>
                      <w:b w:val="0"/>
                      <w:bCs w:val="0"/>
                      <w:color w:val="auto"/>
                      <w:highlight w:val="none"/>
                      <w:lang w:val="en-US" w:eastAsia="zh-CN"/>
                    </w:rPr>
                    <w:t>TN</w:t>
                  </w:r>
                </w:p>
              </w:tc>
              <w:tc>
                <w:tcPr>
                  <w:tcW w:w="873" w:type="dxa"/>
                  <w:vAlign w:val="center"/>
                </w:tcPr>
                <w:p w14:paraId="0A827941">
                  <w:pPr>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mg/L</w:t>
                  </w:r>
                </w:p>
              </w:tc>
              <w:tc>
                <w:tcPr>
                  <w:tcW w:w="1676" w:type="dxa"/>
                  <w:vAlign w:val="center"/>
                </w:tcPr>
                <w:p w14:paraId="1B714F8D">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70</w:t>
                  </w:r>
                </w:p>
              </w:tc>
              <w:tc>
                <w:tcPr>
                  <w:tcW w:w="1948" w:type="dxa"/>
                  <w:vAlign w:val="center"/>
                </w:tcPr>
                <w:p w14:paraId="20D6607B">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w:t>
                  </w:r>
                </w:p>
              </w:tc>
              <w:tc>
                <w:tcPr>
                  <w:tcW w:w="1402" w:type="dxa"/>
                  <w:shd w:val="clear" w:color="auto" w:fill="auto"/>
                  <w:vAlign w:val="center"/>
                </w:tcPr>
                <w:p w14:paraId="09BA9537">
                  <w:pPr>
                    <w:jc w:val="center"/>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70</w:t>
                  </w:r>
                </w:p>
              </w:tc>
              <w:tc>
                <w:tcPr>
                  <w:tcW w:w="1402" w:type="dxa"/>
                  <w:vMerge w:val="continue"/>
                  <w:vAlign w:val="center"/>
                </w:tcPr>
                <w:p w14:paraId="4574EC29">
                  <w:pPr>
                    <w:jc w:val="center"/>
                    <w:rPr>
                      <w:rFonts w:hint="eastAsia" w:ascii="Times New Roman" w:hAnsi="Times New Roman" w:eastAsia="宋体" w:cs="Times New Roman"/>
                      <w:b w:val="0"/>
                      <w:bCs w:val="0"/>
                      <w:color w:val="auto"/>
                      <w:kern w:val="0"/>
                      <w:szCs w:val="21"/>
                      <w:vertAlign w:val="baseline"/>
                      <w:lang w:val="en-US" w:eastAsia="zh-CN"/>
                    </w:rPr>
                  </w:pPr>
                </w:p>
              </w:tc>
            </w:tr>
            <w:tr w14:paraId="09A08D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14:paraId="33F95B92">
                  <w:pPr>
                    <w:jc w:val="center"/>
                    <w:rPr>
                      <w:rFonts w:hint="eastAsia" w:eastAsia="宋体"/>
                      <w:b w:val="0"/>
                      <w:bCs w:val="0"/>
                      <w:color w:val="auto"/>
                      <w:highlight w:val="none"/>
                      <w:lang w:val="en-US" w:eastAsia="zh-CN"/>
                    </w:rPr>
                  </w:pPr>
                  <w:r>
                    <w:rPr>
                      <w:rFonts w:hint="eastAsia"/>
                      <w:b w:val="0"/>
                      <w:bCs w:val="0"/>
                      <w:color w:val="auto"/>
                      <w:highlight w:val="none"/>
                      <w:lang w:val="en-US" w:eastAsia="zh-CN"/>
                    </w:rPr>
                    <w:t>动植物油</w:t>
                  </w:r>
                </w:p>
              </w:tc>
              <w:tc>
                <w:tcPr>
                  <w:tcW w:w="873" w:type="dxa"/>
                  <w:vAlign w:val="center"/>
                </w:tcPr>
                <w:p w14:paraId="2032B9BC">
                  <w:pPr>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mg/L</w:t>
                  </w:r>
                </w:p>
              </w:tc>
              <w:tc>
                <w:tcPr>
                  <w:tcW w:w="1676" w:type="dxa"/>
                  <w:vAlign w:val="center"/>
                </w:tcPr>
                <w:p w14:paraId="75EDEF1D">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3</w:t>
                  </w:r>
                </w:p>
              </w:tc>
              <w:tc>
                <w:tcPr>
                  <w:tcW w:w="1948" w:type="dxa"/>
                  <w:vAlign w:val="center"/>
                </w:tcPr>
                <w:p w14:paraId="5C78238A">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60</w:t>
                  </w:r>
                </w:p>
              </w:tc>
              <w:tc>
                <w:tcPr>
                  <w:tcW w:w="1402" w:type="dxa"/>
                  <w:shd w:val="clear" w:color="auto" w:fill="auto"/>
                  <w:vAlign w:val="center"/>
                </w:tcPr>
                <w:p w14:paraId="0867B5FB">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3</w:t>
                  </w:r>
                </w:p>
              </w:tc>
              <w:tc>
                <w:tcPr>
                  <w:tcW w:w="1402" w:type="dxa"/>
                  <w:vMerge w:val="continue"/>
                  <w:vAlign w:val="center"/>
                </w:tcPr>
                <w:p w14:paraId="0B1A4DAC">
                  <w:pPr>
                    <w:jc w:val="center"/>
                    <w:rPr>
                      <w:rFonts w:hint="eastAsia" w:ascii="Times New Roman" w:hAnsi="Times New Roman" w:eastAsia="宋体" w:cs="Times New Roman"/>
                      <w:b w:val="0"/>
                      <w:bCs w:val="0"/>
                      <w:color w:val="auto"/>
                      <w:kern w:val="0"/>
                      <w:szCs w:val="21"/>
                      <w:vertAlign w:val="baseline"/>
                      <w:lang w:val="en-US" w:eastAsia="zh-CN"/>
                    </w:rPr>
                  </w:pPr>
                </w:p>
              </w:tc>
            </w:tr>
          </w:tbl>
          <w:p w14:paraId="5598C2BD">
            <w:pPr>
              <w:ind w:firstLine="211" w:firstLineChars="100"/>
              <w:jc w:val="center"/>
              <w:rPr>
                <w:rFonts w:hint="eastAsia" w:ascii="Times New Roman" w:hAnsi="Times New Roman" w:eastAsia="宋体" w:cs="Times New Roman"/>
                <w:b/>
                <w:color w:val="auto"/>
                <w:kern w:val="0"/>
                <w:szCs w:val="21"/>
                <w:lang w:val="en-US" w:eastAsia="zh-CN"/>
              </w:rPr>
            </w:pPr>
            <w:r>
              <w:rPr>
                <w:rFonts w:hint="default" w:ascii="Times New Roman" w:hAnsi="Times New Roman" w:eastAsia="宋体" w:cs="Times New Roman"/>
                <w:b/>
                <w:color w:val="auto"/>
                <w:kern w:val="0"/>
                <w:szCs w:val="21"/>
              </w:rPr>
              <w:t>表</w:t>
            </w:r>
            <w:r>
              <w:rPr>
                <w:rFonts w:hint="default" w:ascii="Times New Roman" w:hAnsi="Times New Roman" w:eastAsia="宋体" w:cs="Times New Roman"/>
                <w:b/>
                <w:color w:val="auto"/>
                <w:kern w:val="0"/>
                <w:szCs w:val="21"/>
                <w:lang w:val="en-US" w:eastAsia="zh-CN"/>
              </w:rPr>
              <w:t>3-</w:t>
            </w:r>
            <w:r>
              <w:rPr>
                <w:rFonts w:hint="eastAsia" w:cs="Times New Roman"/>
                <w:b/>
                <w:color w:val="auto"/>
                <w:kern w:val="0"/>
                <w:szCs w:val="21"/>
                <w:lang w:val="en-US" w:eastAsia="zh-CN"/>
              </w:rPr>
              <w:t>9</w:t>
            </w:r>
            <w:r>
              <w:rPr>
                <w:rFonts w:hint="default" w:ascii="Times New Roman" w:hAnsi="Times New Roman" w:eastAsia="宋体" w:cs="Times New Roman"/>
                <w:b/>
                <w:color w:val="auto"/>
                <w:kern w:val="0"/>
                <w:szCs w:val="21"/>
                <w:lang w:val="en-US" w:eastAsia="zh-CN"/>
              </w:rPr>
              <w:t xml:space="preserve"> </w:t>
            </w:r>
            <w:r>
              <w:rPr>
                <w:rFonts w:hint="eastAsia" w:cs="Times New Roman"/>
                <w:b/>
                <w:color w:val="auto"/>
                <w:kern w:val="0"/>
                <w:szCs w:val="21"/>
                <w:lang w:val="en-US" w:eastAsia="zh-CN"/>
              </w:rPr>
              <w:t xml:space="preserve"> 废水污染物最终排放标准</w:t>
            </w:r>
            <w:r>
              <w:rPr>
                <w:rFonts w:hint="eastAsia" w:ascii="Times New Roman" w:hAnsi="Times New Roman" w:eastAsia="宋体" w:cs="Times New Roman"/>
                <w:b/>
                <w:color w:val="auto"/>
                <w:kern w:val="0"/>
                <w:szCs w:val="21"/>
                <w:lang w:val="en-US" w:eastAsia="zh-CN"/>
              </w:rPr>
              <w:t>（单位除pH值外，其它为mg/L）</w:t>
            </w:r>
          </w:p>
          <w:tbl>
            <w:tblPr>
              <w:tblStyle w:val="34"/>
              <w:tblW w:w="839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1511"/>
              <w:gridCol w:w="1836"/>
              <w:gridCol w:w="3146"/>
            </w:tblGrid>
            <w:tr w14:paraId="0B8FB2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644CF6DF">
                  <w:pPr>
                    <w:jc w:val="center"/>
                    <w:rPr>
                      <w:rFonts w:hint="default" w:ascii="Times New Roman" w:hAnsi="Times New Roman" w:eastAsia="宋体" w:cs="Times New Roman"/>
                      <w:b/>
                      <w:color w:val="auto"/>
                      <w:kern w:val="0"/>
                      <w:szCs w:val="21"/>
                      <w:vertAlign w:val="baseline"/>
                      <w:lang w:val="en-US" w:eastAsia="zh-CN"/>
                    </w:rPr>
                  </w:pPr>
                  <w:r>
                    <w:rPr>
                      <w:rFonts w:hint="eastAsia" w:cs="Times New Roman"/>
                      <w:b/>
                      <w:color w:val="auto"/>
                      <w:kern w:val="0"/>
                      <w:szCs w:val="21"/>
                      <w:vertAlign w:val="baseline"/>
                      <w:lang w:val="en-US" w:eastAsia="zh-CN"/>
                    </w:rPr>
                    <w:t>污染物</w:t>
                  </w:r>
                </w:p>
              </w:tc>
              <w:tc>
                <w:tcPr>
                  <w:tcW w:w="1511" w:type="dxa"/>
                  <w:vAlign w:val="center"/>
                </w:tcPr>
                <w:p w14:paraId="342E8A13">
                  <w:pPr>
                    <w:jc w:val="center"/>
                    <w:rPr>
                      <w:rFonts w:hint="default" w:ascii="Times New Roman" w:hAnsi="Times New Roman" w:eastAsia="宋体" w:cs="Times New Roman"/>
                      <w:b/>
                      <w:color w:val="auto"/>
                      <w:kern w:val="0"/>
                      <w:szCs w:val="21"/>
                      <w:vertAlign w:val="baseline"/>
                      <w:lang w:val="en-US" w:eastAsia="zh-CN"/>
                    </w:rPr>
                  </w:pPr>
                  <w:r>
                    <w:rPr>
                      <w:rFonts w:hint="eastAsia" w:cs="Times New Roman"/>
                      <w:b/>
                      <w:color w:val="auto"/>
                      <w:kern w:val="0"/>
                      <w:szCs w:val="21"/>
                      <w:vertAlign w:val="baseline"/>
                      <w:lang w:val="en-US" w:eastAsia="zh-CN"/>
                    </w:rPr>
                    <w:t>单位</w:t>
                  </w:r>
                </w:p>
              </w:tc>
              <w:tc>
                <w:tcPr>
                  <w:tcW w:w="1836" w:type="dxa"/>
                  <w:vAlign w:val="center"/>
                </w:tcPr>
                <w:p w14:paraId="3D586CE7">
                  <w:pPr>
                    <w:jc w:val="center"/>
                    <w:rPr>
                      <w:rFonts w:hint="default" w:ascii="Times New Roman" w:hAnsi="Times New Roman" w:eastAsia="宋体" w:cs="Times New Roman"/>
                      <w:b/>
                      <w:color w:val="auto"/>
                      <w:kern w:val="0"/>
                      <w:szCs w:val="21"/>
                      <w:vertAlign w:val="baseline"/>
                      <w:lang w:val="en-US" w:eastAsia="zh-CN"/>
                    </w:rPr>
                  </w:pPr>
                  <w:r>
                    <w:rPr>
                      <w:rFonts w:hint="eastAsia" w:cs="Times New Roman"/>
                      <w:b/>
                      <w:color w:val="auto"/>
                      <w:kern w:val="0"/>
                      <w:szCs w:val="21"/>
                      <w:vertAlign w:val="baseline"/>
                      <w:lang w:val="en-US" w:eastAsia="zh-CN"/>
                    </w:rPr>
                    <w:t>排放标准</w:t>
                  </w:r>
                </w:p>
              </w:tc>
              <w:tc>
                <w:tcPr>
                  <w:tcW w:w="3146" w:type="dxa"/>
                  <w:vAlign w:val="center"/>
                </w:tcPr>
                <w:p w14:paraId="39B02F3D">
                  <w:pPr>
                    <w:jc w:val="center"/>
                    <w:rPr>
                      <w:rFonts w:hint="default" w:cs="Times New Roman"/>
                      <w:b/>
                      <w:color w:val="auto"/>
                      <w:kern w:val="0"/>
                      <w:szCs w:val="21"/>
                      <w:vertAlign w:val="baseline"/>
                      <w:lang w:val="en-US" w:eastAsia="zh-CN"/>
                    </w:rPr>
                  </w:pPr>
                  <w:r>
                    <w:rPr>
                      <w:rFonts w:hint="eastAsia" w:cs="Times New Roman"/>
                      <w:b/>
                      <w:color w:val="auto"/>
                      <w:kern w:val="0"/>
                      <w:szCs w:val="21"/>
                      <w:vertAlign w:val="baseline"/>
                      <w:lang w:val="en-US" w:eastAsia="zh-CN"/>
                    </w:rPr>
                    <w:t>来源</w:t>
                  </w:r>
                </w:p>
              </w:tc>
            </w:tr>
            <w:tr w14:paraId="6F08D8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34EDD667">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pH</w:t>
                  </w:r>
                </w:p>
              </w:tc>
              <w:tc>
                <w:tcPr>
                  <w:tcW w:w="1511" w:type="dxa"/>
                  <w:vAlign w:val="center"/>
                </w:tcPr>
                <w:p w14:paraId="73C33B13">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无量纲</w:t>
                  </w:r>
                </w:p>
              </w:tc>
              <w:tc>
                <w:tcPr>
                  <w:tcW w:w="1836" w:type="dxa"/>
                  <w:vAlign w:val="center"/>
                </w:tcPr>
                <w:p w14:paraId="3ACC831C">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6-9</w:t>
                  </w:r>
                </w:p>
              </w:tc>
              <w:tc>
                <w:tcPr>
                  <w:tcW w:w="3146" w:type="dxa"/>
                  <w:vMerge w:val="restart"/>
                  <w:vAlign w:val="center"/>
                </w:tcPr>
                <w:p w14:paraId="4B88865A">
                  <w:pPr>
                    <w:jc w:val="center"/>
                    <w:rPr>
                      <w:rFonts w:hint="eastAsia" w:cs="Times New Roman"/>
                      <w:b w:val="0"/>
                      <w:bCs w:val="0"/>
                      <w:color w:val="auto"/>
                      <w:kern w:val="0"/>
                      <w:szCs w:val="21"/>
                      <w:vertAlign w:val="baseline"/>
                      <w:lang w:val="en-US" w:eastAsia="zh-CN"/>
                    </w:rPr>
                  </w:pPr>
                  <w:r>
                    <w:rPr>
                      <w:rFonts w:hint="eastAsia" w:ascii="Times New Roman" w:hAnsi="Times New Roman" w:cs="Times New Roman"/>
                      <w:color w:val="auto"/>
                      <w:lang w:val="en-US" w:eastAsia="zh-CN"/>
                    </w:rPr>
                    <w:t>《城镇污水处理厂污染物排放标准》（GB18918-2002）中</w:t>
                  </w:r>
                  <w:r>
                    <w:rPr>
                      <w:rFonts w:hint="eastAsia" w:cs="Times New Roman"/>
                      <w:color w:val="auto"/>
                      <w:lang w:val="en-US" w:eastAsia="zh-CN"/>
                    </w:rPr>
                    <w:t>一级A</w:t>
                  </w:r>
                  <w:r>
                    <w:rPr>
                      <w:rFonts w:hint="eastAsia" w:ascii="Times New Roman" w:hAnsi="Times New Roman" w:cs="Times New Roman"/>
                      <w:color w:val="auto"/>
                      <w:lang w:val="en-US" w:eastAsia="zh-CN"/>
                    </w:rPr>
                    <w:t>标准后</w:t>
                  </w:r>
                </w:p>
              </w:tc>
            </w:tr>
            <w:tr w14:paraId="69BBE9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58811C3C">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COD</w:t>
                  </w:r>
                  <w:r>
                    <w:rPr>
                      <w:rFonts w:hint="eastAsia"/>
                      <w:b w:val="0"/>
                      <w:bCs w:val="0"/>
                      <w:color w:val="auto"/>
                      <w:highlight w:val="none"/>
                      <w:lang w:val="en-US" w:eastAsia="zh-CN"/>
                    </w:rPr>
                    <w:t>cr</w:t>
                  </w:r>
                </w:p>
              </w:tc>
              <w:tc>
                <w:tcPr>
                  <w:tcW w:w="1511" w:type="dxa"/>
                  <w:vAlign w:val="center"/>
                </w:tcPr>
                <w:p w14:paraId="693A0A16">
                  <w:pPr>
                    <w:jc w:val="center"/>
                    <w:rPr>
                      <w:rFonts w:hint="eastAsia" w:ascii="Times New Roman" w:hAnsi="Times New Roman" w:eastAsia="宋体" w:cs="Times New Roman"/>
                      <w:b w:val="0"/>
                      <w:bCs/>
                      <w:color w:val="auto"/>
                      <w:kern w:val="0"/>
                      <w:szCs w:val="21"/>
                      <w:vertAlign w:val="baseline"/>
                      <w:lang w:val="en-US" w:eastAsia="zh-CN"/>
                    </w:rPr>
                  </w:pPr>
                  <w:r>
                    <w:rPr>
                      <w:rFonts w:hint="eastAsia" w:ascii="Times New Roman" w:hAnsi="Times New Roman" w:eastAsia="宋体" w:cs="Times New Roman"/>
                      <w:b w:val="0"/>
                      <w:bCs/>
                      <w:color w:val="auto"/>
                      <w:kern w:val="0"/>
                      <w:szCs w:val="21"/>
                      <w:lang w:val="en-US" w:eastAsia="zh-CN"/>
                    </w:rPr>
                    <w:t>mg/L</w:t>
                  </w:r>
                </w:p>
              </w:tc>
              <w:tc>
                <w:tcPr>
                  <w:tcW w:w="1836" w:type="dxa"/>
                  <w:vAlign w:val="center"/>
                </w:tcPr>
                <w:p w14:paraId="1A084033">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50</w:t>
                  </w:r>
                </w:p>
              </w:tc>
              <w:tc>
                <w:tcPr>
                  <w:tcW w:w="3146" w:type="dxa"/>
                  <w:vMerge w:val="continue"/>
                  <w:vAlign w:val="center"/>
                </w:tcPr>
                <w:p w14:paraId="1DD2877D">
                  <w:pPr>
                    <w:jc w:val="center"/>
                    <w:rPr>
                      <w:rFonts w:hint="eastAsia" w:cs="Times New Roman"/>
                      <w:b w:val="0"/>
                      <w:bCs w:val="0"/>
                      <w:color w:val="auto"/>
                      <w:kern w:val="0"/>
                      <w:szCs w:val="21"/>
                      <w:vertAlign w:val="baseline"/>
                      <w:lang w:val="en-US" w:eastAsia="zh-CN"/>
                    </w:rPr>
                  </w:pPr>
                </w:p>
              </w:tc>
            </w:tr>
            <w:tr w14:paraId="1D40F4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270868C4">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BOD</w:t>
                  </w:r>
                  <w:r>
                    <w:rPr>
                      <w:rFonts w:hint="default"/>
                      <w:b w:val="0"/>
                      <w:bCs w:val="0"/>
                      <w:color w:val="auto"/>
                      <w:highlight w:val="none"/>
                      <w:vertAlign w:val="subscript"/>
                    </w:rPr>
                    <w:t>5</w:t>
                  </w:r>
                </w:p>
              </w:tc>
              <w:tc>
                <w:tcPr>
                  <w:tcW w:w="1511" w:type="dxa"/>
                  <w:vAlign w:val="center"/>
                </w:tcPr>
                <w:p w14:paraId="57B47E32">
                  <w:pPr>
                    <w:jc w:val="center"/>
                    <w:rPr>
                      <w:rFonts w:hint="eastAsia" w:ascii="Times New Roman" w:hAnsi="Times New Roman" w:eastAsia="宋体" w:cs="Times New Roman"/>
                      <w:b w:val="0"/>
                      <w:bCs/>
                      <w:color w:val="auto"/>
                      <w:kern w:val="0"/>
                      <w:szCs w:val="21"/>
                      <w:vertAlign w:val="baseline"/>
                      <w:lang w:val="en-US" w:eastAsia="zh-CN"/>
                    </w:rPr>
                  </w:pPr>
                  <w:r>
                    <w:rPr>
                      <w:rFonts w:hint="eastAsia" w:ascii="Times New Roman" w:hAnsi="Times New Roman" w:eastAsia="宋体" w:cs="Times New Roman"/>
                      <w:b w:val="0"/>
                      <w:bCs/>
                      <w:color w:val="auto"/>
                      <w:kern w:val="0"/>
                      <w:szCs w:val="21"/>
                      <w:lang w:val="en-US" w:eastAsia="zh-CN"/>
                    </w:rPr>
                    <w:t>mg/L</w:t>
                  </w:r>
                </w:p>
              </w:tc>
              <w:tc>
                <w:tcPr>
                  <w:tcW w:w="1836" w:type="dxa"/>
                  <w:vAlign w:val="center"/>
                </w:tcPr>
                <w:p w14:paraId="43195B2A">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10</w:t>
                  </w:r>
                </w:p>
              </w:tc>
              <w:tc>
                <w:tcPr>
                  <w:tcW w:w="3146" w:type="dxa"/>
                  <w:vMerge w:val="continue"/>
                  <w:vAlign w:val="center"/>
                </w:tcPr>
                <w:p w14:paraId="3FC1E5C5">
                  <w:pPr>
                    <w:jc w:val="center"/>
                    <w:rPr>
                      <w:rFonts w:hint="eastAsia" w:cs="Times New Roman"/>
                      <w:b w:val="0"/>
                      <w:bCs w:val="0"/>
                      <w:color w:val="auto"/>
                      <w:kern w:val="0"/>
                      <w:szCs w:val="21"/>
                      <w:vertAlign w:val="baseline"/>
                      <w:lang w:val="en-US" w:eastAsia="zh-CN"/>
                    </w:rPr>
                  </w:pPr>
                </w:p>
              </w:tc>
            </w:tr>
            <w:tr w14:paraId="72B657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65813081">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SS</w:t>
                  </w:r>
                </w:p>
              </w:tc>
              <w:tc>
                <w:tcPr>
                  <w:tcW w:w="1511" w:type="dxa"/>
                  <w:vAlign w:val="center"/>
                </w:tcPr>
                <w:p w14:paraId="223827BF">
                  <w:pPr>
                    <w:jc w:val="center"/>
                    <w:rPr>
                      <w:rFonts w:hint="eastAsia" w:ascii="Times New Roman" w:hAnsi="Times New Roman" w:eastAsia="宋体" w:cs="Times New Roman"/>
                      <w:b w:val="0"/>
                      <w:bCs/>
                      <w:color w:val="auto"/>
                      <w:kern w:val="0"/>
                      <w:szCs w:val="21"/>
                      <w:vertAlign w:val="baseline"/>
                      <w:lang w:val="en-US" w:eastAsia="zh-CN"/>
                    </w:rPr>
                  </w:pPr>
                  <w:r>
                    <w:rPr>
                      <w:rFonts w:hint="eastAsia" w:ascii="Times New Roman" w:hAnsi="Times New Roman" w:eastAsia="宋体" w:cs="Times New Roman"/>
                      <w:b w:val="0"/>
                      <w:bCs/>
                      <w:color w:val="auto"/>
                      <w:kern w:val="0"/>
                      <w:szCs w:val="21"/>
                      <w:lang w:val="en-US" w:eastAsia="zh-CN"/>
                    </w:rPr>
                    <w:t>mg/L</w:t>
                  </w:r>
                </w:p>
              </w:tc>
              <w:tc>
                <w:tcPr>
                  <w:tcW w:w="1836" w:type="dxa"/>
                  <w:vAlign w:val="center"/>
                </w:tcPr>
                <w:p w14:paraId="05DA9E16">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10</w:t>
                  </w:r>
                </w:p>
              </w:tc>
              <w:tc>
                <w:tcPr>
                  <w:tcW w:w="3146" w:type="dxa"/>
                  <w:vMerge w:val="continue"/>
                  <w:vAlign w:val="center"/>
                </w:tcPr>
                <w:p w14:paraId="34B8FE67">
                  <w:pPr>
                    <w:jc w:val="center"/>
                    <w:rPr>
                      <w:rFonts w:hint="eastAsia" w:cs="Times New Roman"/>
                      <w:b w:val="0"/>
                      <w:bCs w:val="0"/>
                      <w:color w:val="auto"/>
                      <w:kern w:val="0"/>
                      <w:szCs w:val="21"/>
                      <w:vertAlign w:val="baseline"/>
                      <w:lang w:val="en-US" w:eastAsia="zh-CN"/>
                    </w:rPr>
                  </w:pPr>
                </w:p>
              </w:tc>
            </w:tr>
            <w:tr w14:paraId="60B4E1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47FFB495">
                  <w:pPr>
                    <w:jc w:val="center"/>
                    <w:rPr>
                      <w:rFonts w:hint="eastAsia" w:ascii="Times New Roman" w:hAnsi="Times New Roman" w:eastAsia="宋体" w:cs="Times New Roman"/>
                      <w:b w:val="0"/>
                      <w:bCs w:val="0"/>
                      <w:color w:val="auto"/>
                      <w:kern w:val="0"/>
                      <w:szCs w:val="21"/>
                      <w:vertAlign w:val="baseline"/>
                      <w:lang w:val="en-US" w:eastAsia="zh-CN"/>
                    </w:rPr>
                  </w:pPr>
                  <w:r>
                    <w:rPr>
                      <w:rFonts w:hint="default"/>
                      <w:b w:val="0"/>
                      <w:bCs w:val="0"/>
                      <w:color w:val="auto"/>
                      <w:highlight w:val="none"/>
                    </w:rPr>
                    <w:t>NH</w:t>
                  </w:r>
                  <w:r>
                    <w:rPr>
                      <w:rFonts w:hint="default"/>
                      <w:b w:val="0"/>
                      <w:bCs w:val="0"/>
                      <w:color w:val="auto"/>
                      <w:highlight w:val="none"/>
                      <w:vertAlign w:val="subscript"/>
                    </w:rPr>
                    <w:t>3</w:t>
                  </w:r>
                  <w:r>
                    <w:rPr>
                      <w:rFonts w:hint="default"/>
                      <w:b w:val="0"/>
                      <w:bCs w:val="0"/>
                      <w:color w:val="auto"/>
                      <w:highlight w:val="none"/>
                    </w:rPr>
                    <w:t>-N</w:t>
                  </w:r>
                </w:p>
              </w:tc>
              <w:tc>
                <w:tcPr>
                  <w:tcW w:w="1511" w:type="dxa"/>
                  <w:vAlign w:val="center"/>
                </w:tcPr>
                <w:p w14:paraId="5F6E5C01">
                  <w:pPr>
                    <w:jc w:val="center"/>
                    <w:rPr>
                      <w:rFonts w:hint="eastAsia" w:ascii="Times New Roman" w:hAnsi="Times New Roman" w:eastAsia="宋体" w:cs="Times New Roman"/>
                      <w:b w:val="0"/>
                      <w:bCs/>
                      <w:color w:val="auto"/>
                      <w:kern w:val="0"/>
                      <w:szCs w:val="21"/>
                      <w:vertAlign w:val="baseline"/>
                      <w:lang w:val="en-US" w:eastAsia="zh-CN"/>
                    </w:rPr>
                  </w:pPr>
                  <w:r>
                    <w:rPr>
                      <w:rFonts w:hint="eastAsia" w:ascii="Times New Roman" w:hAnsi="Times New Roman" w:eastAsia="宋体" w:cs="Times New Roman"/>
                      <w:b w:val="0"/>
                      <w:bCs/>
                      <w:color w:val="auto"/>
                      <w:kern w:val="0"/>
                      <w:szCs w:val="21"/>
                      <w:lang w:val="en-US" w:eastAsia="zh-CN"/>
                    </w:rPr>
                    <w:t>mg/L</w:t>
                  </w:r>
                </w:p>
              </w:tc>
              <w:tc>
                <w:tcPr>
                  <w:tcW w:w="1836" w:type="dxa"/>
                  <w:vAlign w:val="center"/>
                </w:tcPr>
                <w:p w14:paraId="4C2080BF">
                  <w:pPr>
                    <w:jc w:val="center"/>
                    <w:rPr>
                      <w:rFonts w:hint="default" w:ascii="Times New Roman" w:hAnsi="Times New Roman" w:eastAsia="宋体"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5</w:t>
                  </w:r>
                </w:p>
              </w:tc>
              <w:tc>
                <w:tcPr>
                  <w:tcW w:w="3146" w:type="dxa"/>
                  <w:vMerge w:val="continue"/>
                  <w:vAlign w:val="center"/>
                </w:tcPr>
                <w:p w14:paraId="1B1D91D6">
                  <w:pPr>
                    <w:jc w:val="center"/>
                    <w:rPr>
                      <w:rFonts w:hint="eastAsia" w:cs="Times New Roman"/>
                      <w:b w:val="0"/>
                      <w:bCs w:val="0"/>
                      <w:color w:val="auto"/>
                      <w:kern w:val="0"/>
                      <w:szCs w:val="21"/>
                      <w:vertAlign w:val="baseline"/>
                      <w:lang w:val="en-US" w:eastAsia="zh-CN"/>
                    </w:rPr>
                  </w:pPr>
                </w:p>
              </w:tc>
            </w:tr>
            <w:tr w14:paraId="6339FF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03191E83">
                  <w:pPr>
                    <w:jc w:val="center"/>
                    <w:rPr>
                      <w:rFonts w:hint="default" w:eastAsia="宋体"/>
                      <w:b w:val="0"/>
                      <w:bCs w:val="0"/>
                      <w:color w:val="auto"/>
                      <w:highlight w:val="none"/>
                      <w:lang w:val="en-US" w:eastAsia="zh-CN"/>
                    </w:rPr>
                  </w:pPr>
                  <w:r>
                    <w:rPr>
                      <w:rFonts w:hint="eastAsia"/>
                      <w:b w:val="0"/>
                      <w:bCs w:val="0"/>
                      <w:color w:val="auto"/>
                      <w:highlight w:val="none"/>
                      <w:lang w:val="en-US" w:eastAsia="zh-CN"/>
                    </w:rPr>
                    <w:t>TP</w:t>
                  </w:r>
                </w:p>
              </w:tc>
              <w:tc>
                <w:tcPr>
                  <w:tcW w:w="1511" w:type="dxa"/>
                  <w:vAlign w:val="center"/>
                </w:tcPr>
                <w:p w14:paraId="437D5CAA">
                  <w:pPr>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mg/L</w:t>
                  </w:r>
                </w:p>
              </w:tc>
              <w:tc>
                <w:tcPr>
                  <w:tcW w:w="1836" w:type="dxa"/>
                  <w:vAlign w:val="center"/>
                </w:tcPr>
                <w:p w14:paraId="2AE49119">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0.5</w:t>
                  </w:r>
                </w:p>
              </w:tc>
              <w:tc>
                <w:tcPr>
                  <w:tcW w:w="3146" w:type="dxa"/>
                  <w:vMerge w:val="continue"/>
                  <w:vAlign w:val="center"/>
                </w:tcPr>
                <w:p w14:paraId="144F309C">
                  <w:pPr>
                    <w:jc w:val="center"/>
                    <w:rPr>
                      <w:rFonts w:hint="eastAsia" w:cs="Times New Roman"/>
                      <w:b w:val="0"/>
                      <w:bCs w:val="0"/>
                      <w:color w:val="auto"/>
                      <w:kern w:val="0"/>
                      <w:szCs w:val="21"/>
                      <w:vertAlign w:val="baseline"/>
                      <w:lang w:val="en-US" w:eastAsia="zh-CN"/>
                    </w:rPr>
                  </w:pPr>
                </w:p>
              </w:tc>
            </w:tr>
            <w:tr w14:paraId="014FBB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5541A473">
                  <w:pPr>
                    <w:jc w:val="center"/>
                    <w:rPr>
                      <w:rFonts w:hint="default" w:eastAsia="宋体"/>
                      <w:b w:val="0"/>
                      <w:bCs w:val="0"/>
                      <w:color w:val="auto"/>
                      <w:highlight w:val="none"/>
                      <w:lang w:val="en-US" w:eastAsia="zh-CN"/>
                    </w:rPr>
                  </w:pPr>
                  <w:r>
                    <w:rPr>
                      <w:rFonts w:hint="eastAsia"/>
                      <w:b w:val="0"/>
                      <w:bCs w:val="0"/>
                      <w:color w:val="auto"/>
                      <w:highlight w:val="none"/>
                      <w:lang w:val="en-US" w:eastAsia="zh-CN"/>
                    </w:rPr>
                    <w:t>TN</w:t>
                  </w:r>
                </w:p>
              </w:tc>
              <w:tc>
                <w:tcPr>
                  <w:tcW w:w="1511" w:type="dxa"/>
                  <w:vAlign w:val="center"/>
                </w:tcPr>
                <w:p w14:paraId="0B493212">
                  <w:pPr>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mg/L</w:t>
                  </w:r>
                </w:p>
              </w:tc>
              <w:tc>
                <w:tcPr>
                  <w:tcW w:w="1836" w:type="dxa"/>
                  <w:vAlign w:val="center"/>
                </w:tcPr>
                <w:p w14:paraId="09C4DD60">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15</w:t>
                  </w:r>
                </w:p>
              </w:tc>
              <w:tc>
                <w:tcPr>
                  <w:tcW w:w="3146" w:type="dxa"/>
                  <w:vMerge w:val="continue"/>
                  <w:vAlign w:val="center"/>
                </w:tcPr>
                <w:p w14:paraId="6AB5D79D">
                  <w:pPr>
                    <w:jc w:val="center"/>
                    <w:rPr>
                      <w:rFonts w:hint="eastAsia" w:cs="Times New Roman"/>
                      <w:b w:val="0"/>
                      <w:bCs w:val="0"/>
                      <w:color w:val="auto"/>
                      <w:kern w:val="0"/>
                      <w:szCs w:val="21"/>
                      <w:vertAlign w:val="baseline"/>
                      <w:lang w:val="en-US" w:eastAsia="zh-CN"/>
                    </w:rPr>
                  </w:pPr>
                </w:p>
              </w:tc>
            </w:tr>
            <w:tr w14:paraId="227180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77A01686">
                  <w:pPr>
                    <w:jc w:val="center"/>
                    <w:rPr>
                      <w:rFonts w:hint="eastAsia" w:eastAsia="宋体"/>
                      <w:b w:val="0"/>
                      <w:bCs w:val="0"/>
                      <w:color w:val="auto"/>
                      <w:highlight w:val="none"/>
                      <w:lang w:val="en-US" w:eastAsia="zh-CN"/>
                    </w:rPr>
                  </w:pPr>
                  <w:r>
                    <w:rPr>
                      <w:rFonts w:hint="eastAsia"/>
                      <w:b w:val="0"/>
                      <w:bCs w:val="0"/>
                      <w:color w:val="auto"/>
                      <w:highlight w:val="none"/>
                      <w:lang w:val="en-US" w:eastAsia="zh-CN"/>
                    </w:rPr>
                    <w:t>动植物油</w:t>
                  </w:r>
                </w:p>
              </w:tc>
              <w:tc>
                <w:tcPr>
                  <w:tcW w:w="1511" w:type="dxa"/>
                  <w:vAlign w:val="center"/>
                </w:tcPr>
                <w:p w14:paraId="4C83B370">
                  <w:pPr>
                    <w:jc w:val="center"/>
                    <w:rPr>
                      <w:rFonts w:hint="eastAsia" w:ascii="Times New Roman" w:hAnsi="Times New Roman" w:eastAsia="宋体" w:cs="Times New Roman"/>
                      <w:b w:val="0"/>
                      <w:bCs/>
                      <w:color w:val="auto"/>
                      <w:kern w:val="0"/>
                      <w:szCs w:val="21"/>
                      <w:lang w:val="en-US" w:eastAsia="zh-CN"/>
                    </w:rPr>
                  </w:pPr>
                  <w:r>
                    <w:rPr>
                      <w:rFonts w:hint="eastAsia" w:ascii="Times New Roman" w:hAnsi="Times New Roman" w:eastAsia="宋体" w:cs="Times New Roman"/>
                      <w:b w:val="0"/>
                      <w:bCs/>
                      <w:color w:val="auto"/>
                      <w:kern w:val="0"/>
                      <w:szCs w:val="21"/>
                      <w:lang w:val="en-US" w:eastAsia="zh-CN"/>
                    </w:rPr>
                    <w:t>mg/L</w:t>
                  </w:r>
                </w:p>
              </w:tc>
              <w:tc>
                <w:tcPr>
                  <w:tcW w:w="1836" w:type="dxa"/>
                  <w:vAlign w:val="center"/>
                </w:tcPr>
                <w:p w14:paraId="6E70ECC1">
                  <w:pPr>
                    <w:jc w:val="center"/>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1</w:t>
                  </w:r>
                </w:p>
              </w:tc>
              <w:tc>
                <w:tcPr>
                  <w:tcW w:w="3146" w:type="dxa"/>
                  <w:vMerge w:val="continue"/>
                  <w:vAlign w:val="center"/>
                </w:tcPr>
                <w:p w14:paraId="67141051">
                  <w:pPr>
                    <w:jc w:val="center"/>
                    <w:rPr>
                      <w:rFonts w:hint="eastAsia" w:cs="Times New Roman"/>
                      <w:b w:val="0"/>
                      <w:bCs w:val="0"/>
                      <w:color w:val="auto"/>
                      <w:kern w:val="0"/>
                      <w:szCs w:val="21"/>
                      <w:vertAlign w:val="baseline"/>
                      <w:lang w:val="en-US" w:eastAsia="zh-CN"/>
                    </w:rPr>
                  </w:pPr>
                </w:p>
              </w:tc>
            </w:tr>
          </w:tbl>
          <w:p w14:paraId="35E2F7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（三）</w:t>
            </w:r>
            <w:r>
              <w:rPr>
                <w:rFonts w:hint="default" w:ascii="Times New Roman" w:hAnsi="Times New Roman" w:eastAsia="宋体" w:cs="Times New Roman"/>
                <w:b/>
                <w:bCs w:val="0"/>
                <w:color w:val="auto"/>
                <w:sz w:val="24"/>
                <w:szCs w:val="24"/>
                <w:highlight w:val="none"/>
                <w:lang w:val="en-US" w:eastAsia="zh-CN"/>
              </w:rPr>
              <w:t>噪声</w:t>
            </w:r>
          </w:p>
          <w:p w14:paraId="2E8A007B">
            <w:pPr>
              <w:pStyle w:val="63"/>
              <w:spacing w:line="360" w:lineRule="auto"/>
              <w:ind w:left="0" w:leftChars="0" w:firstLine="480" w:firstLineChars="200"/>
              <w:rPr>
                <w:rFonts w:hint="eastAsia" w:cs="Times New Roman"/>
                <w:color w:val="auto"/>
                <w:sz w:val="24"/>
                <w:szCs w:val="24"/>
                <w:lang w:eastAsia="zh-CN"/>
              </w:rPr>
            </w:pPr>
            <w:r>
              <w:rPr>
                <w:rFonts w:hint="eastAsia" w:ascii="Times New Roman" w:hAnsi="Times New Roman" w:cs="Times New Roman"/>
                <w:color w:val="000000"/>
                <w:lang w:val="en-US" w:eastAsia="zh-CN"/>
              </w:rPr>
              <w:t>本项目施工期噪声执行《建筑施工场界环境噪声排放标准》（GB12</w:t>
            </w:r>
            <w:r>
              <w:rPr>
                <w:rFonts w:hint="eastAsia" w:ascii="Times New Roman" w:cs="Times New Roman"/>
                <w:color w:val="000000"/>
                <w:lang w:val="en-US" w:eastAsia="zh-CN"/>
              </w:rPr>
              <w:t>523</w:t>
            </w:r>
            <w:r>
              <w:rPr>
                <w:rFonts w:hint="eastAsia" w:ascii="Times New Roman" w:hAnsi="Times New Roman" w:cs="Times New Roman"/>
                <w:color w:val="000000"/>
                <w:lang w:val="en-US" w:eastAsia="zh-CN"/>
              </w:rPr>
              <w:t>-2011）；</w:t>
            </w:r>
            <w:r>
              <w:rPr>
                <w:rFonts w:hint="eastAsia" w:cs="Times New Roman"/>
                <w:color w:val="auto"/>
                <w:sz w:val="24"/>
                <w:szCs w:val="24"/>
                <w:lang w:val="en-US" w:eastAsia="zh-CN"/>
              </w:rPr>
              <w:t>本项目</w:t>
            </w:r>
            <w:r>
              <w:rPr>
                <w:rFonts w:hint="default" w:ascii="Times New Roman" w:hAnsi="Times New Roman" w:eastAsia="Times New Roman" w:cs="Times New Roman"/>
                <w:sz w:val="24"/>
                <w:szCs w:val="24"/>
                <w:lang w:val="zh-CN"/>
              </w:rPr>
              <w:t>运营期</w:t>
            </w:r>
            <w:r>
              <w:rPr>
                <w:rFonts w:hint="eastAsia" w:eastAsia="宋体" w:cs="Times New Roman"/>
                <w:sz w:val="24"/>
                <w:szCs w:val="24"/>
                <w:lang w:val="en-US" w:eastAsia="zh-CN"/>
              </w:rPr>
              <w:t>厂界东侧噪声</w:t>
            </w:r>
            <w:r>
              <w:rPr>
                <w:rFonts w:hint="default" w:ascii="Times New Roman" w:hAnsi="Times New Roman" w:eastAsia="Times New Roman" w:cs="Times New Roman"/>
                <w:sz w:val="24"/>
                <w:szCs w:val="24"/>
                <w:lang w:val="zh-CN"/>
              </w:rPr>
              <w:t>执行《工业企业厂界环境噪声排放标准》（GB12348-2008）中的</w:t>
            </w:r>
            <w:r>
              <w:rPr>
                <w:rFonts w:hint="eastAsia" w:ascii="Times New Roman" w:hAnsi="Times New Roman" w:eastAsia="Times New Roman" w:cs="Times New Roman"/>
                <w:sz w:val="24"/>
                <w:szCs w:val="24"/>
                <w:lang w:val="en-US" w:eastAsia="zh-CN"/>
              </w:rPr>
              <w:t>4</w:t>
            </w:r>
            <w:r>
              <w:rPr>
                <w:rFonts w:hint="default" w:ascii="Times New Roman" w:hAnsi="Times New Roman" w:eastAsia="宋体" w:cs="Times New Roman"/>
                <w:color w:val="auto"/>
                <w:sz w:val="24"/>
                <w:szCs w:val="24"/>
              </w:rPr>
              <w:t>类区标准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其余三侧</w:t>
            </w:r>
            <w:r>
              <w:rPr>
                <w:rFonts w:hint="default" w:ascii="Times New Roman" w:hAnsi="Times New Roman" w:eastAsia="Times New Roman" w:cs="Times New Roman"/>
                <w:sz w:val="24"/>
                <w:szCs w:val="24"/>
                <w:lang w:val="zh-CN"/>
              </w:rPr>
              <w:t>执行</w:t>
            </w:r>
            <w:r>
              <w:rPr>
                <w:rFonts w:hint="eastAsia" w:ascii="Times New Roman" w:hAnsi="Times New Roman" w:eastAsia="Times New Roman" w:cs="Times New Roman"/>
                <w:sz w:val="24"/>
                <w:szCs w:val="24"/>
                <w:lang w:val="en-US" w:eastAsia="zh-CN"/>
              </w:rPr>
              <w:t>3</w:t>
            </w:r>
            <w:r>
              <w:rPr>
                <w:rFonts w:hint="default" w:ascii="Times New Roman" w:hAnsi="Times New Roman" w:eastAsia="宋体" w:cs="Times New Roman"/>
                <w:color w:val="auto"/>
                <w:sz w:val="24"/>
                <w:szCs w:val="24"/>
              </w:rPr>
              <w:t>类区标准</w:t>
            </w:r>
            <w:r>
              <w:rPr>
                <w:rFonts w:hint="eastAsia" w:cs="Times New Roman"/>
                <w:color w:val="auto"/>
                <w:sz w:val="24"/>
                <w:szCs w:val="24"/>
                <w:lang w:eastAsia="zh-CN"/>
              </w:rPr>
              <w:t>。</w:t>
            </w:r>
          </w:p>
          <w:p w14:paraId="1A2BC2AD">
            <w:pPr>
              <w:ind w:firstLine="211" w:firstLineChars="100"/>
              <w:jc w:val="center"/>
              <w:rPr>
                <w:rFonts w:hint="default" w:ascii="Times New Roman" w:hAnsi="Times New Roman" w:eastAsia="宋体" w:cs="Times New Roman"/>
                <w:b/>
                <w:color w:val="000000"/>
                <w:kern w:val="0"/>
                <w:szCs w:val="21"/>
              </w:rPr>
            </w:pPr>
            <w:r>
              <w:rPr>
                <w:rFonts w:hint="default" w:ascii="Times New Roman" w:hAnsi="Times New Roman" w:eastAsia="宋体" w:cs="Times New Roman"/>
                <w:b/>
                <w:color w:val="000000"/>
                <w:kern w:val="0"/>
                <w:szCs w:val="21"/>
              </w:rPr>
              <w:t>表</w:t>
            </w:r>
            <w:r>
              <w:rPr>
                <w:rFonts w:hint="default" w:ascii="Times New Roman" w:hAnsi="Times New Roman" w:eastAsia="宋体" w:cs="Times New Roman"/>
                <w:b/>
                <w:color w:val="000000"/>
                <w:kern w:val="0"/>
                <w:szCs w:val="21"/>
                <w:lang w:val="en-US" w:eastAsia="zh-CN"/>
              </w:rPr>
              <w:t>3-</w:t>
            </w:r>
            <w:r>
              <w:rPr>
                <w:rFonts w:hint="eastAsia" w:cs="Times New Roman"/>
                <w:b/>
                <w:color w:val="000000"/>
                <w:kern w:val="0"/>
                <w:szCs w:val="21"/>
                <w:lang w:val="en-US" w:eastAsia="zh-CN"/>
              </w:rPr>
              <w:t xml:space="preserve">10  </w:t>
            </w:r>
            <w:r>
              <w:rPr>
                <w:rFonts w:hint="eastAsia" w:ascii="Times New Roman" w:hAnsi="Times New Roman" w:eastAsia="宋体" w:cs="Times New Roman"/>
                <w:b/>
                <w:color w:val="000000"/>
                <w:kern w:val="0"/>
                <w:szCs w:val="21"/>
                <w:lang w:val="en-US" w:eastAsia="zh-CN"/>
              </w:rPr>
              <w:t xml:space="preserve">噪声排放标准 </w:t>
            </w:r>
            <w:r>
              <w:rPr>
                <w:rFonts w:hint="default" w:ascii="Times New Roman" w:hAnsi="Times New Roman" w:eastAsia="宋体" w:cs="Times New Roman"/>
                <w:b/>
                <w:color w:val="000000"/>
                <w:kern w:val="0"/>
                <w:szCs w:val="21"/>
              </w:rPr>
              <w:t>单位：dB(A)</w:t>
            </w:r>
          </w:p>
          <w:tbl>
            <w:tblPr>
              <w:tblStyle w:val="33"/>
              <w:tblW w:w="82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418"/>
              <w:gridCol w:w="1360"/>
              <w:gridCol w:w="4025"/>
            </w:tblGrid>
            <w:tr w14:paraId="6B85F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453" w:type="dxa"/>
                  <w:noWrap w:val="0"/>
                  <w:vAlign w:val="center"/>
                </w:tcPr>
                <w:p w14:paraId="39006DB9">
                  <w:pPr>
                    <w:spacing w:line="276" w:lineRule="auto"/>
                    <w:jc w:val="center"/>
                    <w:rPr>
                      <w:color w:val="000000"/>
                      <w:kern w:val="0"/>
                      <w:szCs w:val="21"/>
                    </w:rPr>
                  </w:pPr>
                  <w:r>
                    <w:rPr>
                      <w:color w:val="000000"/>
                      <w:kern w:val="0"/>
                      <w:szCs w:val="21"/>
                    </w:rPr>
                    <w:t>时</w:t>
                  </w:r>
                  <w:r>
                    <w:rPr>
                      <w:rFonts w:hint="eastAsia"/>
                      <w:color w:val="000000"/>
                      <w:kern w:val="0"/>
                      <w:szCs w:val="21"/>
                    </w:rPr>
                    <w:t>段</w:t>
                  </w:r>
                </w:p>
              </w:tc>
              <w:tc>
                <w:tcPr>
                  <w:tcW w:w="1418" w:type="dxa"/>
                  <w:noWrap w:val="0"/>
                  <w:vAlign w:val="center"/>
                </w:tcPr>
                <w:p w14:paraId="7BDC7E04">
                  <w:pPr>
                    <w:spacing w:line="276" w:lineRule="auto"/>
                    <w:jc w:val="center"/>
                    <w:rPr>
                      <w:color w:val="000000"/>
                      <w:kern w:val="0"/>
                      <w:szCs w:val="21"/>
                    </w:rPr>
                  </w:pPr>
                  <w:r>
                    <w:rPr>
                      <w:color w:val="000000"/>
                      <w:kern w:val="0"/>
                      <w:szCs w:val="21"/>
                    </w:rPr>
                    <w:t>昼间dB（A）</w:t>
                  </w:r>
                </w:p>
              </w:tc>
              <w:tc>
                <w:tcPr>
                  <w:tcW w:w="1360" w:type="dxa"/>
                  <w:noWrap w:val="0"/>
                  <w:vAlign w:val="center"/>
                </w:tcPr>
                <w:p w14:paraId="757C8457">
                  <w:pPr>
                    <w:spacing w:line="276" w:lineRule="auto"/>
                    <w:jc w:val="center"/>
                    <w:rPr>
                      <w:color w:val="000000"/>
                      <w:kern w:val="0"/>
                      <w:szCs w:val="21"/>
                    </w:rPr>
                  </w:pPr>
                  <w:r>
                    <w:rPr>
                      <w:color w:val="000000"/>
                      <w:kern w:val="0"/>
                      <w:szCs w:val="21"/>
                    </w:rPr>
                    <w:t>夜间dB（A）</w:t>
                  </w:r>
                </w:p>
              </w:tc>
              <w:tc>
                <w:tcPr>
                  <w:tcW w:w="4025" w:type="dxa"/>
                  <w:noWrap w:val="0"/>
                  <w:vAlign w:val="center"/>
                </w:tcPr>
                <w:p w14:paraId="45B8654A">
                  <w:pPr>
                    <w:spacing w:line="276" w:lineRule="auto"/>
                    <w:jc w:val="center"/>
                    <w:rPr>
                      <w:color w:val="000000"/>
                      <w:kern w:val="0"/>
                      <w:szCs w:val="21"/>
                    </w:rPr>
                  </w:pPr>
                  <w:r>
                    <w:rPr>
                      <w:color w:val="000000"/>
                      <w:kern w:val="0"/>
                      <w:szCs w:val="21"/>
                    </w:rPr>
                    <w:t>标准来</w:t>
                  </w:r>
                  <w:r>
                    <w:rPr>
                      <w:rFonts w:hint="eastAsia"/>
                      <w:color w:val="000000"/>
                      <w:kern w:val="0"/>
                      <w:szCs w:val="21"/>
                    </w:rPr>
                    <w:t>源</w:t>
                  </w:r>
                </w:p>
              </w:tc>
            </w:tr>
            <w:tr w14:paraId="5A155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53" w:type="dxa"/>
                  <w:noWrap w:val="0"/>
                  <w:vAlign w:val="center"/>
                </w:tcPr>
                <w:p w14:paraId="1D4C3D43">
                  <w:pPr>
                    <w:spacing w:line="240" w:lineRule="auto"/>
                    <w:jc w:val="center"/>
                    <w:rPr>
                      <w:color w:val="000000"/>
                      <w:kern w:val="0"/>
                      <w:szCs w:val="21"/>
                    </w:rPr>
                  </w:pPr>
                  <w:r>
                    <w:rPr>
                      <w:rFonts w:hint="eastAsia"/>
                      <w:color w:val="000000"/>
                      <w:kern w:val="0"/>
                      <w:szCs w:val="21"/>
                    </w:rPr>
                    <w:t>施工期</w:t>
                  </w:r>
                </w:p>
              </w:tc>
              <w:tc>
                <w:tcPr>
                  <w:tcW w:w="1418" w:type="dxa"/>
                  <w:noWrap w:val="0"/>
                  <w:vAlign w:val="center"/>
                </w:tcPr>
                <w:p w14:paraId="2B1655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kern w:val="0"/>
                      <w:szCs w:val="21"/>
                    </w:rPr>
                  </w:pPr>
                  <w:r>
                    <w:rPr>
                      <w:rFonts w:hint="eastAsia"/>
                      <w:color w:val="000000"/>
                      <w:kern w:val="0"/>
                      <w:szCs w:val="21"/>
                    </w:rPr>
                    <w:t>70</w:t>
                  </w:r>
                </w:p>
              </w:tc>
              <w:tc>
                <w:tcPr>
                  <w:tcW w:w="1360" w:type="dxa"/>
                  <w:noWrap w:val="0"/>
                  <w:vAlign w:val="center"/>
                </w:tcPr>
                <w:p w14:paraId="4CB049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kern w:val="0"/>
                      <w:szCs w:val="21"/>
                    </w:rPr>
                  </w:pPr>
                  <w:r>
                    <w:rPr>
                      <w:rFonts w:hint="eastAsia"/>
                      <w:color w:val="000000"/>
                      <w:kern w:val="0"/>
                      <w:szCs w:val="21"/>
                    </w:rPr>
                    <w:t>55</w:t>
                  </w:r>
                </w:p>
              </w:tc>
              <w:tc>
                <w:tcPr>
                  <w:tcW w:w="4025" w:type="dxa"/>
                  <w:noWrap w:val="0"/>
                  <w:vAlign w:val="center"/>
                </w:tcPr>
                <w:p w14:paraId="42AD7005">
                  <w:pPr>
                    <w:spacing w:line="240" w:lineRule="auto"/>
                    <w:jc w:val="center"/>
                    <w:rPr>
                      <w:color w:val="000000"/>
                      <w:kern w:val="24"/>
                      <w:szCs w:val="21"/>
                    </w:rPr>
                  </w:pPr>
                  <w:r>
                    <w:rPr>
                      <w:rFonts w:hint="eastAsia"/>
                      <w:color w:val="000000"/>
                      <w:kern w:val="24"/>
                      <w:szCs w:val="21"/>
                    </w:rPr>
                    <w:t>《建筑施工场界环境噪声排放标准》（GB12</w:t>
                  </w:r>
                  <w:r>
                    <w:rPr>
                      <w:rFonts w:hint="eastAsia"/>
                      <w:color w:val="000000"/>
                      <w:kern w:val="24"/>
                      <w:szCs w:val="21"/>
                      <w:lang w:val="en-US" w:eastAsia="zh-CN"/>
                    </w:rPr>
                    <w:t>523</w:t>
                  </w:r>
                  <w:r>
                    <w:rPr>
                      <w:rFonts w:hint="eastAsia"/>
                      <w:color w:val="000000"/>
                      <w:kern w:val="24"/>
                      <w:szCs w:val="21"/>
                    </w:rPr>
                    <w:t>-2011）</w:t>
                  </w:r>
                </w:p>
              </w:tc>
            </w:tr>
            <w:tr w14:paraId="27AA8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3" w:type="dxa"/>
                  <w:vMerge w:val="restart"/>
                  <w:noWrap w:val="0"/>
                  <w:vAlign w:val="center"/>
                </w:tcPr>
                <w:p w14:paraId="0122D425">
                  <w:pPr>
                    <w:spacing w:line="240" w:lineRule="auto"/>
                    <w:jc w:val="center"/>
                    <w:rPr>
                      <w:rFonts w:hint="eastAsia" w:eastAsia="宋体"/>
                      <w:color w:val="000000"/>
                      <w:kern w:val="0"/>
                      <w:szCs w:val="21"/>
                      <w:lang w:val="en-US" w:eastAsia="zh-CN"/>
                    </w:rPr>
                  </w:pPr>
                  <w:r>
                    <w:rPr>
                      <w:rFonts w:hint="eastAsia"/>
                      <w:color w:val="000000"/>
                      <w:kern w:val="0"/>
                      <w:szCs w:val="21"/>
                      <w:lang w:val="en-US" w:eastAsia="zh-CN"/>
                    </w:rPr>
                    <w:t>运营期</w:t>
                  </w:r>
                </w:p>
              </w:tc>
              <w:tc>
                <w:tcPr>
                  <w:tcW w:w="1418" w:type="dxa"/>
                  <w:noWrap w:val="0"/>
                  <w:vAlign w:val="center"/>
                </w:tcPr>
                <w:p w14:paraId="20A447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kern w:val="0"/>
                      <w:szCs w:val="21"/>
                      <w:lang w:val="en-US" w:eastAsia="zh-CN"/>
                    </w:rPr>
                  </w:pPr>
                  <w:r>
                    <w:rPr>
                      <w:rFonts w:hint="eastAsia"/>
                      <w:color w:val="000000"/>
                      <w:kern w:val="0"/>
                      <w:szCs w:val="21"/>
                      <w:lang w:val="en-US" w:eastAsia="zh-CN"/>
                    </w:rPr>
                    <w:t>65</w:t>
                  </w:r>
                </w:p>
              </w:tc>
              <w:tc>
                <w:tcPr>
                  <w:tcW w:w="1360" w:type="dxa"/>
                  <w:noWrap w:val="0"/>
                  <w:vAlign w:val="center"/>
                </w:tcPr>
                <w:p w14:paraId="1FD708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kern w:val="0"/>
                      <w:szCs w:val="21"/>
                      <w:lang w:val="en-US" w:eastAsia="zh-CN"/>
                    </w:rPr>
                  </w:pPr>
                  <w:r>
                    <w:rPr>
                      <w:rFonts w:hint="eastAsia"/>
                      <w:color w:val="000000"/>
                      <w:kern w:val="0"/>
                      <w:szCs w:val="21"/>
                      <w:lang w:val="en-US" w:eastAsia="zh-CN"/>
                    </w:rPr>
                    <w:t>55</w:t>
                  </w:r>
                </w:p>
              </w:tc>
              <w:tc>
                <w:tcPr>
                  <w:tcW w:w="4025" w:type="dxa"/>
                  <w:noWrap w:val="0"/>
                  <w:vAlign w:val="center"/>
                </w:tcPr>
                <w:p w14:paraId="2ACF5FF7">
                  <w:pPr>
                    <w:spacing w:line="240" w:lineRule="auto"/>
                    <w:jc w:val="center"/>
                    <w:rPr>
                      <w:rFonts w:hint="default" w:eastAsia="宋体"/>
                      <w:color w:val="000000"/>
                      <w:kern w:val="24"/>
                      <w:szCs w:val="21"/>
                      <w:lang w:val="en-US" w:eastAsia="zh-CN"/>
                    </w:rPr>
                  </w:pPr>
                  <w:r>
                    <w:rPr>
                      <w:color w:val="000000"/>
                      <w:kern w:val="24"/>
                      <w:szCs w:val="21"/>
                    </w:rPr>
                    <w:t>《工业企业厂界环境噪声标准》（GB12348-2008）</w:t>
                  </w:r>
                  <w:r>
                    <w:rPr>
                      <w:rFonts w:hint="eastAsia"/>
                      <w:color w:val="000000"/>
                      <w:kern w:val="24"/>
                      <w:szCs w:val="21"/>
                      <w:lang w:val="en-US" w:eastAsia="zh-CN"/>
                    </w:rPr>
                    <w:t>3</w:t>
                  </w:r>
                  <w:r>
                    <w:rPr>
                      <w:color w:val="000000"/>
                      <w:kern w:val="24"/>
                      <w:szCs w:val="21"/>
                    </w:rPr>
                    <w:t>类</w:t>
                  </w:r>
                  <w:r>
                    <w:rPr>
                      <w:rFonts w:hint="eastAsia"/>
                      <w:color w:val="000000"/>
                      <w:kern w:val="24"/>
                      <w:szCs w:val="21"/>
                      <w:lang w:val="en-US" w:eastAsia="zh-CN"/>
                    </w:rPr>
                    <w:t>区</w:t>
                  </w:r>
                  <w:r>
                    <w:rPr>
                      <w:color w:val="000000"/>
                      <w:kern w:val="24"/>
                      <w:szCs w:val="21"/>
                    </w:rPr>
                    <w:t>标准</w:t>
                  </w:r>
                </w:p>
              </w:tc>
            </w:tr>
            <w:tr w14:paraId="2B6E9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3" w:type="dxa"/>
                  <w:vMerge w:val="continue"/>
                  <w:noWrap w:val="0"/>
                  <w:vAlign w:val="center"/>
                </w:tcPr>
                <w:p w14:paraId="14011C98">
                  <w:pPr>
                    <w:spacing w:line="240" w:lineRule="auto"/>
                    <w:jc w:val="center"/>
                    <w:rPr>
                      <w:rFonts w:hint="eastAsia"/>
                      <w:color w:val="000000"/>
                      <w:kern w:val="0"/>
                      <w:szCs w:val="21"/>
                      <w:lang w:val="en-US" w:eastAsia="zh-CN"/>
                    </w:rPr>
                  </w:pPr>
                </w:p>
              </w:tc>
              <w:tc>
                <w:tcPr>
                  <w:tcW w:w="1418" w:type="dxa"/>
                  <w:noWrap w:val="0"/>
                  <w:vAlign w:val="center"/>
                </w:tcPr>
                <w:p w14:paraId="56A3D1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kern w:val="0"/>
                      <w:szCs w:val="21"/>
                      <w:lang w:val="en-US" w:eastAsia="zh-CN"/>
                    </w:rPr>
                  </w:pPr>
                  <w:r>
                    <w:rPr>
                      <w:rFonts w:hint="eastAsia"/>
                      <w:color w:val="000000"/>
                      <w:kern w:val="0"/>
                      <w:szCs w:val="21"/>
                      <w:lang w:val="en-US" w:eastAsia="zh-CN"/>
                    </w:rPr>
                    <w:t>70</w:t>
                  </w:r>
                </w:p>
              </w:tc>
              <w:tc>
                <w:tcPr>
                  <w:tcW w:w="1360" w:type="dxa"/>
                  <w:noWrap w:val="0"/>
                  <w:vAlign w:val="center"/>
                </w:tcPr>
                <w:p w14:paraId="223FA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kern w:val="0"/>
                      <w:szCs w:val="21"/>
                      <w:lang w:val="en-US" w:eastAsia="zh-CN"/>
                    </w:rPr>
                  </w:pPr>
                  <w:r>
                    <w:rPr>
                      <w:rFonts w:hint="eastAsia"/>
                      <w:color w:val="000000"/>
                      <w:kern w:val="0"/>
                      <w:szCs w:val="21"/>
                      <w:lang w:val="en-US" w:eastAsia="zh-CN"/>
                    </w:rPr>
                    <w:t>55</w:t>
                  </w:r>
                </w:p>
              </w:tc>
              <w:tc>
                <w:tcPr>
                  <w:tcW w:w="4025" w:type="dxa"/>
                  <w:noWrap w:val="0"/>
                  <w:vAlign w:val="center"/>
                </w:tcPr>
                <w:p w14:paraId="19973FAD">
                  <w:pPr>
                    <w:spacing w:line="240" w:lineRule="auto"/>
                    <w:jc w:val="center"/>
                    <w:rPr>
                      <w:color w:val="000000"/>
                      <w:kern w:val="24"/>
                      <w:szCs w:val="21"/>
                    </w:rPr>
                  </w:pPr>
                  <w:r>
                    <w:rPr>
                      <w:color w:val="000000"/>
                      <w:kern w:val="24"/>
                      <w:szCs w:val="21"/>
                    </w:rPr>
                    <w:t>《工业企业厂界环境噪声标准》（GB12348-2008）</w:t>
                  </w:r>
                  <w:r>
                    <w:rPr>
                      <w:rFonts w:hint="eastAsia"/>
                      <w:color w:val="000000"/>
                      <w:kern w:val="24"/>
                      <w:szCs w:val="21"/>
                      <w:lang w:val="en-US" w:eastAsia="zh-CN"/>
                    </w:rPr>
                    <w:t>4</w:t>
                  </w:r>
                  <w:r>
                    <w:rPr>
                      <w:color w:val="000000"/>
                      <w:kern w:val="24"/>
                      <w:szCs w:val="21"/>
                    </w:rPr>
                    <w:t>类</w:t>
                  </w:r>
                  <w:r>
                    <w:rPr>
                      <w:rFonts w:hint="eastAsia"/>
                      <w:color w:val="000000"/>
                      <w:kern w:val="24"/>
                      <w:szCs w:val="21"/>
                      <w:lang w:val="en-US" w:eastAsia="zh-CN"/>
                    </w:rPr>
                    <w:t>区</w:t>
                  </w:r>
                  <w:r>
                    <w:rPr>
                      <w:color w:val="000000"/>
                      <w:kern w:val="24"/>
                      <w:szCs w:val="21"/>
                    </w:rPr>
                    <w:t>标准</w:t>
                  </w:r>
                </w:p>
              </w:tc>
            </w:tr>
          </w:tbl>
          <w:p w14:paraId="21C10B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（四）</w:t>
            </w:r>
            <w:r>
              <w:rPr>
                <w:rFonts w:hint="default" w:ascii="Times New Roman" w:hAnsi="Times New Roman" w:eastAsia="宋体" w:cs="Times New Roman"/>
                <w:b/>
                <w:bCs w:val="0"/>
                <w:color w:val="auto"/>
                <w:sz w:val="24"/>
                <w:szCs w:val="24"/>
                <w:highlight w:val="none"/>
                <w:lang w:val="en-US" w:eastAsia="zh-CN"/>
              </w:rPr>
              <w:t>固体废物</w:t>
            </w:r>
          </w:p>
          <w:p w14:paraId="14DE2B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Calibri" w:cs="Times New Roman"/>
                <w:color w:val="auto"/>
                <w:kern w:val="2"/>
                <w:sz w:val="24"/>
                <w:szCs w:val="24"/>
                <w:lang w:val="en-US" w:eastAsia="zh-CN" w:bidi="ar-SA"/>
              </w:rPr>
              <w:t>一般工业固体废物处置执行《一般工业固体废物贮存和填埋污染控制标准》（GB18599-2020）中的相关规定</w:t>
            </w:r>
            <w:r>
              <w:rPr>
                <w:rFonts w:hint="eastAsia" w:ascii="Times New Roman" w:hAnsi="Times New Roman" w:eastAsia="Calibri" w:cs="Times New Roman"/>
                <w:color w:val="auto"/>
                <w:kern w:val="2"/>
                <w:sz w:val="24"/>
                <w:szCs w:val="24"/>
                <w:lang w:val="en-US" w:eastAsia="zh-CN" w:bidi="ar-SA"/>
              </w:rPr>
              <w:t>，</w:t>
            </w:r>
            <w:r>
              <w:rPr>
                <w:rFonts w:hint="default" w:ascii="Times New Roman" w:hAnsi="Times New Roman" w:eastAsia="Calibri" w:cs="Times New Roman"/>
                <w:color w:val="auto"/>
                <w:kern w:val="2"/>
                <w:sz w:val="24"/>
                <w:szCs w:val="24"/>
                <w:lang w:val="en-US" w:eastAsia="zh-CN" w:bidi="ar-SA"/>
              </w:rPr>
              <w:t>危险废物执行《危险废物贮存污染控制标准》（GB18597-</w:t>
            </w:r>
            <w:r>
              <w:rPr>
                <w:rFonts w:hint="eastAsia" w:ascii="Times New Roman" w:hAnsi="Times New Roman" w:eastAsia="Calibri" w:cs="Times New Roman"/>
                <w:color w:val="auto"/>
                <w:kern w:val="2"/>
                <w:sz w:val="24"/>
                <w:szCs w:val="24"/>
                <w:lang w:val="en-US" w:eastAsia="zh-CN" w:bidi="ar-SA"/>
              </w:rPr>
              <w:t>2023</w:t>
            </w:r>
            <w:r>
              <w:rPr>
                <w:rFonts w:hint="default" w:ascii="Times New Roman" w:hAnsi="Times New Roman" w:eastAsia="Calibri" w:cs="Times New Roman"/>
                <w:color w:val="auto"/>
                <w:kern w:val="2"/>
                <w:sz w:val="24"/>
                <w:szCs w:val="24"/>
                <w:lang w:val="en-US" w:eastAsia="zh-CN" w:bidi="ar-SA"/>
              </w:rPr>
              <w:t>）的相关规定。</w:t>
            </w:r>
          </w:p>
        </w:tc>
      </w:tr>
      <w:tr w14:paraId="7E539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8" w:type="dxa"/>
            <w:noWrap w:val="0"/>
            <w:vAlign w:val="center"/>
          </w:tcPr>
          <w:p w14:paraId="147D8984">
            <w:pPr>
              <w:adjustRightInd w:val="0"/>
              <w:snapToGrid w:val="0"/>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rPr>
              <w:t>总量控制指标</w:t>
            </w:r>
          </w:p>
        </w:tc>
        <w:tc>
          <w:tcPr>
            <w:tcW w:w="8382" w:type="dxa"/>
            <w:noWrap w:val="0"/>
            <w:vAlign w:val="center"/>
          </w:tcPr>
          <w:p w14:paraId="20343AF1">
            <w:pPr>
              <w:pStyle w:val="46"/>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rPr>
              <w:t>根据《“十四五”节能减排综合工作方案》、《江西省“十四五”生态环境保护规划</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目前江西省</w:t>
            </w:r>
            <w:r>
              <w:rPr>
                <w:rFonts w:hint="default" w:ascii="Times New Roman" w:hAnsi="Times New Roman" w:eastAsia="宋体" w:cs="Times New Roman"/>
                <w:color w:val="auto"/>
                <w:sz w:val="24"/>
                <w:szCs w:val="24"/>
              </w:rPr>
              <w:t>对COD、NH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val="en-US" w:eastAsia="zh-CN"/>
              </w:rPr>
              <w:t>VOCs</w:t>
            </w:r>
            <w:r>
              <w:rPr>
                <w:rFonts w:hint="default" w:ascii="Times New Roman" w:hAnsi="Times New Roman" w:eastAsia="宋体" w:cs="Times New Roman"/>
                <w:color w:val="auto"/>
                <w:sz w:val="24"/>
                <w:szCs w:val="24"/>
              </w:rPr>
              <w:t>及NO</w:t>
            </w:r>
            <w:r>
              <w:rPr>
                <w:rFonts w:hint="default" w:ascii="Times New Roman" w:hAnsi="Times New Roman" w:eastAsia="宋体" w:cs="Times New Roman"/>
                <w:color w:val="auto"/>
                <w:sz w:val="24"/>
                <w:szCs w:val="24"/>
                <w:lang w:val="en-US" w:eastAsia="zh-CN"/>
              </w:rPr>
              <w:t>x</w:t>
            </w:r>
            <w:r>
              <w:rPr>
                <w:rFonts w:hint="default" w:ascii="Times New Roman" w:hAnsi="Times New Roman" w:eastAsia="宋体" w:cs="Times New Roman"/>
                <w:color w:val="auto"/>
                <w:sz w:val="24"/>
                <w:szCs w:val="24"/>
              </w:rPr>
              <w:t>四种污染物排放实行总量控制和计划管理</w:t>
            </w:r>
            <w:r>
              <w:rPr>
                <w:rFonts w:hint="default" w:ascii="Times New Roman" w:hAnsi="Times New Roman" w:eastAsia="宋体" w:cs="Times New Roman"/>
                <w:color w:val="auto"/>
                <w:sz w:val="24"/>
                <w:szCs w:val="24"/>
                <w:lang w:eastAsia="zh-CN"/>
              </w:rPr>
              <w:t>。</w:t>
            </w:r>
          </w:p>
          <w:p w14:paraId="26502F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cs="Times New Roman"/>
                <w:color w:val="000000"/>
                <w:kern w:val="0"/>
                <w:sz w:val="24"/>
                <w:szCs w:val="24"/>
                <w:lang w:val="en-US" w:eastAsia="zh-CN" w:bidi="ar"/>
              </w:rPr>
              <w:t>和纯水制备浓水</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纯水制备浓水可</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生活污水经化粪池处理后和生产废水一起</w:t>
            </w:r>
            <w:r>
              <w:rPr>
                <w:rFonts w:hint="default" w:ascii="Times New Roman" w:hAnsi="Times New Roman" w:eastAsia="宋体" w:cs="Times New Roman"/>
                <w:color w:val="000000"/>
                <w:kern w:val="0"/>
                <w:sz w:val="24"/>
                <w:szCs w:val="24"/>
                <w:lang w:val="en-US" w:eastAsia="zh-CN" w:bidi="ar"/>
              </w:rPr>
              <w:t>进入自建污水处理站处理达标后通过污水管网进入宁都县第二污水处理厂处理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auto"/>
                <w:kern w:val="0"/>
                <w:sz w:val="24"/>
                <w:szCs w:val="24"/>
                <w:lang w:val="en-US" w:eastAsia="zh-CN" w:bidi="ar"/>
              </w:rPr>
              <w:t>，最终排入梅江。</w:t>
            </w:r>
            <w:r>
              <w:rPr>
                <w:rFonts w:hint="eastAsia" w:ascii="Times New Roman" w:hAnsi="Times New Roman" w:eastAsia="宋体" w:cs="Times New Roman"/>
                <w:color w:val="auto"/>
                <w:kern w:val="0"/>
                <w:sz w:val="24"/>
                <w:szCs w:val="24"/>
                <w:lang w:val="en-US" w:eastAsia="zh-CN" w:bidi="ar"/>
              </w:rPr>
              <w:t xml:space="preserve">本项目 </w:t>
            </w:r>
            <w:r>
              <w:rPr>
                <w:rFonts w:hint="default" w:ascii="Times New Roman" w:hAnsi="Times New Roman" w:eastAsia="宋体" w:cs="Times New Roman"/>
                <w:color w:val="auto"/>
                <w:kern w:val="0"/>
                <w:sz w:val="24"/>
                <w:szCs w:val="24"/>
                <w:lang w:val="en-US" w:eastAsia="zh-CN" w:bidi="ar"/>
              </w:rPr>
              <w:t xml:space="preserve">COD </w:t>
            </w:r>
            <w:r>
              <w:rPr>
                <w:rFonts w:hint="eastAsia" w:ascii="Times New Roman" w:hAnsi="Times New Roman" w:eastAsia="宋体" w:cs="Times New Roman"/>
                <w:color w:val="auto"/>
                <w:kern w:val="0"/>
                <w:sz w:val="24"/>
                <w:szCs w:val="24"/>
                <w:lang w:val="en-US" w:eastAsia="zh-CN" w:bidi="ar"/>
              </w:rPr>
              <w:t>和氨氮总量控制指标已计入宁都县第二污水处理厂，本项目不再重复申请。</w:t>
            </w:r>
          </w:p>
          <w:p w14:paraId="25D6CC92">
            <w:pPr>
              <w:pStyle w:val="15"/>
              <w:keepNext w:val="0"/>
              <w:keepLines w:val="0"/>
              <w:pageBreakBefore w:val="0"/>
              <w:widowControl w:val="0"/>
              <w:kinsoku/>
              <w:wordWrap/>
              <w:overflowPunct/>
              <w:topLinePunct w:val="0"/>
              <w:autoSpaceDE/>
              <w:autoSpaceDN/>
              <w:bidi w:val="0"/>
              <w:adjustRightInd w:val="0"/>
              <w:snapToGrid/>
              <w:spacing w:before="0" w:beforeLines="0" w:line="360" w:lineRule="auto"/>
              <w:ind w:firstLine="472"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本项目产生的废气主要污染物为</w:t>
            </w:r>
            <w:r>
              <w:rPr>
                <w:rFonts w:hint="eastAsia" w:cs="Times New Roman"/>
                <w:b w:val="0"/>
                <w:bCs/>
                <w:color w:val="auto"/>
                <w:sz w:val="24"/>
                <w:szCs w:val="24"/>
                <w:lang w:val="en-US" w:eastAsia="zh-CN"/>
              </w:rPr>
              <w:t>油烟、颗粒物、二氧化硫、氮氧化物、硫化氢和氨</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lang w:val="en-US" w:eastAsia="zh-CN"/>
              </w:rPr>
              <w:t>废气核算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项目外排废气</w:t>
            </w:r>
            <w:r>
              <w:rPr>
                <w:rFonts w:hint="eastAsia" w:ascii="Times New Roman" w:hAnsi="Times New Roman" w:cs="Times New Roman"/>
                <w:color w:val="auto"/>
                <w:sz w:val="24"/>
                <w:szCs w:val="24"/>
                <w:lang w:val="en-US" w:eastAsia="zh-CN"/>
              </w:rPr>
              <w:t>有组织氮氧化物为</w:t>
            </w:r>
            <w:r>
              <w:rPr>
                <w:rFonts w:hint="eastAsia" w:ascii="Times New Roman" w:hAnsi="Times New Roman" w:cs="Times New Roman"/>
                <w:b/>
                <w:bCs/>
                <w:color w:val="auto"/>
                <w:sz w:val="24"/>
                <w:szCs w:val="24"/>
                <w:lang w:val="en-US" w:eastAsia="zh-CN"/>
              </w:rPr>
              <w:t>1.7855t/a</w:t>
            </w:r>
            <w:r>
              <w:rPr>
                <w:rFonts w:hint="eastAsia" w:ascii="Times New Roman" w:hAnsi="Times New Roman" w:cs="Times New Roman"/>
                <w:color w:val="auto"/>
                <w:sz w:val="24"/>
                <w:szCs w:val="24"/>
                <w:lang w:val="en-US" w:eastAsia="zh-CN"/>
              </w:rPr>
              <w:t>，原有环评已申请审批氮氧化物为</w:t>
            </w:r>
            <w:r>
              <w:rPr>
                <w:rFonts w:hint="eastAsia" w:ascii="Times New Roman" w:hAnsi="Times New Roman" w:cs="Times New Roman"/>
                <w:b/>
                <w:bCs/>
                <w:color w:val="auto"/>
                <w:sz w:val="24"/>
                <w:szCs w:val="24"/>
                <w:lang w:val="en-US" w:eastAsia="zh-CN"/>
              </w:rPr>
              <w:t>0.0696t/a</w:t>
            </w:r>
            <w:r>
              <w:rPr>
                <w:rFonts w:hint="eastAsia" w:ascii="Times New Roman" w:hAnsi="Times New Roman" w:cs="Times New Roman"/>
                <w:color w:val="auto"/>
                <w:sz w:val="24"/>
                <w:szCs w:val="24"/>
                <w:lang w:val="en-US" w:eastAsia="zh-CN"/>
              </w:rPr>
              <w:t>，现已根据当地生态环境局意见撤销原有环评申请审批的氮氧化物总量</w:t>
            </w:r>
            <w:r>
              <w:rPr>
                <w:rFonts w:hint="eastAsia" w:ascii="Times New Roman" w:hAnsi="Times New Roman" w:cs="Times New Roman"/>
                <w:b/>
                <w:bCs/>
                <w:color w:val="auto"/>
                <w:sz w:val="24"/>
                <w:szCs w:val="24"/>
                <w:lang w:val="en-US" w:eastAsia="zh-CN"/>
              </w:rPr>
              <w:t>0.0696t/a</w:t>
            </w:r>
            <w:r>
              <w:rPr>
                <w:rFonts w:hint="eastAsia" w:ascii="Times New Roman" w:hAnsi="Times New Roman" w:cs="Times New Roman"/>
                <w:color w:val="auto"/>
                <w:sz w:val="24"/>
                <w:szCs w:val="24"/>
                <w:lang w:val="en-US" w:eastAsia="zh-CN"/>
              </w:rPr>
              <w:t>，故本项目按氮氧化物</w:t>
            </w:r>
            <w:r>
              <w:rPr>
                <w:rFonts w:hint="eastAsia" w:ascii="Times New Roman" w:hAnsi="Times New Roman" w:cs="Times New Roman"/>
                <w:b/>
                <w:bCs/>
                <w:color w:val="auto"/>
                <w:sz w:val="24"/>
                <w:szCs w:val="24"/>
                <w:lang w:val="en-US" w:eastAsia="zh-CN"/>
              </w:rPr>
              <w:t>1.7855t/a申请</w:t>
            </w:r>
            <w:r>
              <w:rPr>
                <w:rFonts w:hint="eastAsia" w:ascii="Times New Roman" w:hAnsi="Times New Roman" w:cs="Times New Roman"/>
                <w:color w:val="auto"/>
                <w:sz w:val="24"/>
                <w:szCs w:val="24"/>
                <w:lang w:val="en-US" w:eastAsia="zh-CN"/>
              </w:rPr>
              <w:t>，则项目</w:t>
            </w:r>
            <w:r>
              <w:rPr>
                <w:rFonts w:hint="default" w:ascii="Times New Roman" w:hAnsi="Times New Roman" w:eastAsia="宋体" w:cs="Times New Roman"/>
                <w:color w:val="auto"/>
                <w:sz w:val="24"/>
                <w:szCs w:val="24"/>
                <w:lang w:val="en-US" w:eastAsia="zh-CN"/>
              </w:rPr>
              <w:t>总量控制指标</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为</w:t>
            </w:r>
            <w:r>
              <w:rPr>
                <w:rFonts w:hint="eastAsia" w:ascii="Times New Roman" w:hAnsi="Times New Roman" w:cs="Times New Roman"/>
                <w:b/>
                <w:bCs/>
                <w:color w:val="auto"/>
                <w:sz w:val="24"/>
                <w:szCs w:val="24"/>
                <w:lang w:val="en-US" w:eastAsia="zh-CN"/>
              </w:rPr>
              <w:t>1.7855</w:t>
            </w:r>
            <w:r>
              <w:rPr>
                <w:rFonts w:hint="default" w:ascii="Times New Roman" w:hAnsi="Times New Roman" w:eastAsia="宋体" w:cs="Times New Roman"/>
                <w:b/>
                <w:bCs/>
                <w:color w:val="auto"/>
                <w:sz w:val="24"/>
                <w:szCs w:val="24"/>
                <w:lang w:val="en-US" w:eastAsia="zh-CN"/>
              </w:rPr>
              <w:t>/a</w:t>
            </w:r>
            <w:r>
              <w:rPr>
                <w:rFonts w:hint="default" w:ascii="Times New Roman" w:hAnsi="Times New Roman" w:eastAsia="宋体" w:cs="Times New Roman"/>
                <w:color w:val="auto"/>
                <w:sz w:val="24"/>
                <w:szCs w:val="24"/>
                <w:lang w:val="en-US" w:eastAsia="zh-CN"/>
              </w:rPr>
              <w:t>。</w:t>
            </w:r>
          </w:p>
          <w:p w14:paraId="3CE1BE6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olor w:val="auto"/>
                <w:kern w:val="2"/>
                <w:sz w:val="24"/>
                <w:szCs w:val="24"/>
                <w:lang w:val="en-US" w:eastAsia="zh-CN" w:bidi="ar-SA"/>
              </w:rPr>
            </w:pPr>
            <w:r>
              <w:rPr>
                <w:rFonts w:hint="default" w:ascii="Times New Roman" w:hAnsi="Times New Roman" w:eastAsia="宋体" w:cs="Times New Roman"/>
                <w:color w:val="auto"/>
                <w:sz w:val="24"/>
                <w:szCs w:val="24"/>
                <w:highlight w:val="none"/>
                <w:lang w:val="en-US" w:eastAsia="zh-CN"/>
              </w:rPr>
              <w:t>综上所述，</w:t>
            </w:r>
            <w:r>
              <w:rPr>
                <w:rFonts w:hint="default" w:ascii="Times New Roman" w:hAnsi="Times New Roman" w:eastAsia="宋体" w:cs="Times New Roman"/>
                <w:color w:val="auto"/>
                <w:sz w:val="24"/>
                <w:szCs w:val="24"/>
                <w:lang w:eastAsia="zh-CN"/>
              </w:rPr>
              <w:t>本项目需申请</w:t>
            </w:r>
            <w:r>
              <w:rPr>
                <w:rFonts w:hint="default" w:ascii="Times New Roman" w:hAnsi="Times New Roman" w:eastAsia="宋体" w:cs="Times New Roman"/>
                <w:color w:val="auto"/>
                <w:spacing w:val="3"/>
                <w:sz w:val="24"/>
                <w:szCs w:val="24"/>
                <w:u w:val="none"/>
                <w:lang w:val="en-US" w:eastAsia="zh-CN"/>
              </w:rPr>
              <w:t>总量控制指标为</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为</w:t>
            </w:r>
            <w:r>
              <w:rPr>
                <w:rFonts w:hint="eastAsia" w:ascii="Times New Roman" w:hAnsi="Times New Roman" w:cs="Times New Roman"/>
                <w:b/>
                <w:bCs/>
                <w:color w:val="auto"/>
                <w:sz w:val="24"/>
                <w:szCs w:val="24"/>
                <w:lang w:val="en-US" w:eastAsia="zh-CN"/>
              </w:rPr>
              <w:t>1.785</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highlight w:val="none"/>
                <w:lang w:val="en-US" w:eastAsia="zh-CN"/>
              </w:rPr>
              <w:t>t</w:t>
            </w:r>
            <w:r>
              <w:rPr>
                <w:rFonts w:hint="default" w:ascii="Times New Roman" w:hAnsi="Times New Roman" w:eastAsia="宋体" w:cs="Times New Roman"/>
                <w:b/>
                <w:bCs/>
                <w:color w:val="auto"/>
                <w:sz w:val="24"/>
                <w:szCs w:val="24"/>
                <w:lang w:val="en-US" w:eastAsia="zh-CN"/>
              </w:rPr>
              <w:t>/a</w:t>
            </w:r>
            <w:r>
              <w:rPr>
                <w:rFonts w:hint="eastAsia"/>
                <w:color w:val="auto"/>
                <w:lang w:eastAsia="zh-CN"/>
              </w:rPr>
              <w:t>。</w:t>
            </w:r>
          </w:p>
        </w:tc>
      </w:tr>
    </w:tbl>
    <w:p w14:paraId="252E957D">
      <w:pPr>
        <w:pStyle w:val="29"/>
        <w:keepNext w:val="0"/>
        <w:keepLines w:val="0"/>
        <w:pageBreakBefore w:val="0"/>
        <w:widowControl/>
        <w:kinsoku/>
        <w:wordWrap/>
        <w:overflowPunct/>
        <w:topLinePunct w:val="0"/>
        <w:autoSpaceDE/>
        <w:autoSpaceDN/>
        <w:bidi w:val="0"/>
        <w:adjustRightInd/>
        <w:snapToGrid/>
        <w:spacing w:before="100" w:beforeAutospacing="1" w:after="100" w:afterAutospacing="1" w:line="240" w:lineRule="auto"/>
        <w:ind w:left="0" w:leftChars="0" w:right="0" w:rightChars="0" w:firstLine="0" w:firstLineChars="0"/>
        <w:jc w:val="center"/>
        <w:textAlignment w:val="auto"/>
        <w:outlineLvl w:val="0"/>
        <w:rPr>
          <w:rFonts w:ascii="黑体" w:hAnsi="黑体" w:eastAsia="黑体"/>
          <w:b/>
          <w:bCs/>
          <w:snapToGrid w:val="0"/>
          <w:color w:val="auto"/>
          <w:sz w:val="30"/>
          <w:szCs w:val="30"/>
          <w:highlight w:val="none"/>
        </w:rPr>
      </w:pPr>
      <w:r>
        <w:rPr>
          <w:rFonts w:ascii="黑体" w:hAnsi="黑体" w:eastAsia="黑体"/>
          <w:snapToGrid w:val="0"/>
          <w:color w:val="auto"/>
          <w:sz w:val="36"/>
          <w:szCs w:val="36"/>
          <w:highlight w:val="none"/>
        </w:rPr>
        <w:br w:type="page"/>
      </w:r>
      <w:bookmarkStart w:id="5" w:name="_Toc1056"/>
      <w:r>
        <w:rPr>
          <w:rFonts w:hint="eastAsia" w:ascii="黑体" w:hAnsi="黑体" w:eastAsia="黑体"/>
          <w:b/>
          <w:bCs/>
          <w:snapToGrid w:val="0"/>
          <w:color w:val="auto"/>
          <w:sz w:val="30"/>
          <w:szCs w:val="30"/>
          <w:highlight w:val="none"/>
        </w:rPr>
        <w:t>四、主要环境影响和保护措施</w:t>
      </w:r>
      <w:bookmarkEnd w:id="5"/>
    </w:p>
    <w:tbl>
      <w:tblPr>
        <w:tblStyle w:val="3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406"/>
      </w:tblGrid>
      <w:tr w14:paraId="3F2AF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dxa"/>
            <w:noWrap w:val="0"/>
            <w:tcMar>
              <w:left w:w="28" w:type="dxa"/>
              <w:right w:w="28" w:type="dxa"/>
            </w:tcMar>
            <w:vAlign w:val="center"/>
          </w:tcPr>
          <w:p w14:paraId="1FC9A4C9">
            <w:pPr>
              <w:pStyle w:val="29"/>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宋体" w:hAnsi="宋体" w:eastAsia="宋体" w:cs="宋体"/>
                <w:color w:val="auto"/>
                <w:kern w:val="0"/>
                <w:sz w:val="24"/>
                <w:szCs w:val="24"/>
                <w:lang w:val="en-US" w:eastAsia="zh-CN" w:bidi="ar-SA"/>
              </w:rPr>
              <w:t>施工期环境保护措施</w:t>
            </w:r>
          </w:p>
        </w:tc>
        <w:tc>
          <w:tcPr>
            <w:tcW w:w="8406" w:type="dxa"/>
            <w:noWrap w:val="0"/>
            <w:vAlign w:val="center"/>
          </w:tcPr>
          <w:p w14:paraId="0E2A648E">
            <w:pPr>
              <w:spacing w:line="360" w:lineRule="auto"/>
              <w:ind w:firstLine="482" w:firstLineChars="200"/>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color w:val="auto"/>
                <w:sz w:val="24"/>
                <w:szCs w:val="24"/>
                <w:lang w:eastAsia="zh-CN"/>
              </w:rPr>
              <w:t>（</w:t>
            </w:r>
            <w:r>
              <w:rPr>
                <w:rFonts w:hint="eastAsia" w:ascii="Times New Roman" w:hAnsi="Times New Roman" w:eastAsia="宋体" w:cs="Times New Roman"/>
                <w:b/>
                <w:color w:val="auto"/>
                <w:sz w:val="24"/>
                <w:szCs w:val="24"/>
                <w:lang w:val="en-US" w:eastAsia="zh-CN"/>
              </w:rPr>
              <w:t>一</w:t>
            </w:r>
            <w:r>
              <w:rPr>
                <w:rFonts w:hint="eastAsia" w:ascii="Times New Roman" w:hAnsi="Times New Roman" w:eastAsia="宋体" w:cs="Times New Roman"/>
                <w:b/>
                <w:color w:val="auto"/>
                <w:sz w:val="24"/>
                <w:szCs w:val="24"/>
                <w:lang w:eastAsia="zh-CN"/>
              </w:rPr>
              <w:t>）</w:t>
            </w:r>
            <w:r>
              <w:rPr>
                <w:rFonts w:hint="eastAsia" w:cs="Times New Roman"/>
                <w:b/>
                <w:bCs/>
                <w:color w:val="auto"/>
                <w:sz w:val="24"/>
                <w:szCs w:val="24"/>
                <w:lang w:val="en-US" w:eastAsia="zh-CN"/>
              </w:rPr>
              <w:t>废气</w:t>
            </w:r>
          </w:p>
          <w:p w14:paraId="13FAD9B5">
            <w:pPr>
              <w:spacing w:line="360" w:lineRule="auto"/>
              <w:ind w:firstLine="480" w:firstLineChars="200"/>
              <w:rPr>
                <w:rFonts w:hint="eastAsia" w:ascii="Times New Roman" w:hAnsi="Times New Roman" w:eastAsia="宋体" w:cs="Times New Roman"/>
                <w:bCs/>
                <w:color w:val="000000"/>
                <w:sz w:val="24"/>
                <w:szCs w:val="24"/>
                <w:lang w:val="en-US" w:eastAsia="zh-CN"/>
              </w:rPr>
            </w:pPr>
            <w:r>
              <w:rPr>
                <w:rFonts w:hint="eastAsia"/>
                <w:color w:val="auto"/>
                <w:sz w:val="24"/>
                <w:szCs w:val="24"/>
                <w:highlight w:val="none"/>
                <w:lang w:val="en-US" w:eastAsia="zh-CN"/>
              </w:rPr>
              <w:t>目前项</w:t>
            </w:r>
            <w:r>
              <w:rPr>
                <w:rFonts w:hint="eastAsia" w:ascii="Times New Roman" w:hAnsi="Times New Roman" w:eastAsia="宋体" w:cs="Times New Roman"/>
                <w:bCs/>
                <w:color w:val="000000"/>
                <w:sz w:val="24"/>
                <w:szCs w:val="24"/>
                <w:lang w:val="en-US" w:eastAsia="zh-CN"/>
              </w:rPr>
              <w:t>目厂区</w:t>
            </w:r>
            <w:r>
              <w:rPr>
                <w:rFonts w:hint="eastAsia" w:cs="Times New Roman"/>
                <w:b w:val="0"/>
                <w:bCs/>
                <w:color w:val="000000"/>
                <w:sz w:val="24"/>
                <w:szCs w:val="24"/>
                <w:lang w:val="en-US" w:eastAsia="zh-CN"/>
              </w:rPr>
              <w:t>中央厨房、肉类车间、果蔬车间、预制菜车间（1号和3号）、办公楼（1号和2号）、总办公大楼已建设完成，生产车间设备已安装完毕并投入生产，二期建设内容预制菜车间（2号、4号和5号）和总部经济大楼还在建设中，三期建设内容预留地和标准厂房还在规划中。</w:t>
            </w:r>
            <w:r>
              <w:rPr>
                <w:rFonts w:hint="eastAsia" w:cs="Times New Roman"/>
                <w:bCs/>
                <w:color w:val="000000"/>
                <w:sz w:val="24"/>
                <w:szCs w:val="24"/>
                <w:lang w:val="en-US" w:eastAsia="zh-CN"/>
              </w:rPr>
              <w:t>在此施工过程中</w:t>
            </w:r>
            <w:r>
              <w:rPr>
                <w:rFonts w:hint="eastAsia" w:ascii="Times New Roman" w:hAnsi="Times New Roman" w:eastAsia="宋体" w:cs="Times New Roman"/>
                <w:bCs/>
                <w:color w:val="000000"/>
                <w:sz w:val="24"/>
                <w:szCs w:val="24"/>
                <w:lang w:val="en-US" w:eastAsia="zh-CN"/>
              </w:rPr>
              <w:t>产生的主要的环境影响是</w:t>
            </w:r>
            <w:r>
              <w:rPr>
                <w:rFonts w:hint="default" w:ascii="Times New Roman" w:hAnsi="Times New Roman" w:eastAsia="宋体" w:cs="Times New Roman"/>
                <w:bCs/>
                <w:color w:val="000000"/>
                <w:sz w:val="24"/>
                <w:szCs w:val="24"/>
              </w:rPr>
              <w:t>施工机械</w:t>
            </w:r>
            <w:r>
              <w:rPr>
                <w:rFonts w:hint="eastAsia" w:cs="Times New Roman"/>
                <w:bCs/>
                <w:color w:val="000000"/>
                <w:sz w:val="24"/>
                <w:szCs w:val="24"/>
                <w:lang w:val="en-US" w:eastAsia="zh-CN"/>
              </w:rPr>
              <w:t>废气、施工扬尘</w:t>
            </w:r>
            <w:r>
              <w:rPr>
                <w:rFonts w:hint="eastAsia" w:ascii="Times New Roman" w:hAnsi="Times New Roman" w:eastAsia="宋体" w:cs="Times New Roman"/>
                <w:bCs/>
                <w:color w:val="000000"/>
                <w:sz w:val="24"/>
                <w:szCs w:val="24"/>
                <w:lang w:eastAsia="zh-CN"/>
              </w:rPr>
              <w:t>、</w:t>
            </w:r>
            <w:r>
              <w:rPr>
                <w:rFonts w:hint="eastAsia" w:ascii="Times New Roman" w:hAnsi="Times New Roman" w:eastAsia="宋体" w:cs="Times New Roman"/>
                <w:bCs/>
                <w:color w:val="000000"/>
                <w:sz w:val="24"/>
                <w:szCs w:val="24"/>
                <w:lang w:val="en-US" w:eastAsia="zh-CN"/>
              </w:rPr>
              <w:t>施工期生活污水</w:t>
            </w:r>
            <w:r>
              <w:rPr>
                <w:rFonts w:hint="eastAsia" w:cs="Times New Roman"/>
                <w:bCs/>
                <w:color w:val="000000"/>
                <w:sz w:val="24"/>
                <w:szCs w:val="24"/>
                <w:lang w:val="en-US" w:eastAsia="zh-CN"/>
              </w:rPr>
              <w:t>、</w:t>
            </w:r>
            <w:r>
              <w:rPr>
                <w:rFonts w:hint="eastAsia" w:ascii="Times New Roman" w:hAnsi="Times New Roman" w:eastAsia="宋体" w:cs="Times New Roman"/>
                <w:bCs/>
                <w:color w:val="000000"/>
                <w:sz w:val="24"/>
                <w:szCs w:val="24"/>
                <w:lang w:val="en-US" w:eastAsia="zh-CN"/>
              </w:rPr>
              <w:t>设备安装时产生的噪声和建筑垃圾。施工期要做好建筑垃圾的清运和防止高噪声设备的使用对周围环境的影响。</w:t>
            </w:r>
          </w:p>
          <w:p w14:paraId="1F68454D">
            <w:pPr>
              <w:spacing w:line="360" w:lineRule="auto"/>
              <w:ind w:firstLine="482" w:firstLineChars="200"/>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color w:val="000000"/>
                <w:sz w:val="24"/>
                <w:szCs w:val="24"/>
                <w:lang w:eastAsia="zh-CN"/>
              </w:rPr>
              <w:t>（</w:t>
            </w:r>
            <w:r>
              <w:rPr>
                <w:rFonts w:hint="eastAsia" w:ascii="Times New Roman" w:hAnsi="Times New Roman" w:eastAsia="宋体" w:cs="Times New Roman"/>
                <w:b/>
                <w:color w:val="000000"/>
                <w:sz w:val="24"/>
                <w:szCs w:val="24"/>
                <w:lang w:val="en-US" w:eastAsia="zh-CN"/>
              </w:rPr>
              <w:t>一</w:t>
            </w:r>
            <w:r>
              <w:rPr>
                <w:rFonts w:hint="eastAsia" w:ascii="Times New Roman" w:hAnsi="Times New Roman" w:eastAsia="宋体" w:cs="Times New Roman"/>
                <w:b/>
                <w:color w:val="000000"/>
                <w:sz w:val="24"/>
                <w:szCs w:val="24"/>
                <w:lang w:eastAsia="zh-CN"/>
              </w:rPr>
              <w:t>）</w:t>
            </w:r>
            <w:r>
              <w:rPr>
                <w:rFonts w:hint="eastAsia" w:cs="Times New Roman"/>
                <w:b/>
                <w:bCs/>
                <w:color w:val="000000"/>
                <w:sz w:val="24"/>
                <w:szCs w:val="24"/>
                <w:lang w:val="en-US" w:eastAsia="zh-CN"/>
              </w:rPr>
              <w:t>废气</w:t>
            </w:r>
          </w:p>
          <w:p w14:paraId="7089E34C">
            <w:pPr>
              <w:spacing w:line="360" w:lineRule="auto"/>
              <w:ind w:firstLine="480" w:firstLineChars="200"/>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rPr>
              <w:t>项目施工期间对环境空气的污染主要来自施工机械废气</w:t>
            </w:r>
            <w:r>
              <w:rPr>
                <w:rFonts w:hint="eastAsia" w:cs="Times New Roman"/>
                <w:bCs/>
                <w:color w:val="000000"/>
                <w:sz w:val="24"/>
                <w:szCs w:val="24"/>
                <w:lang w:val="en-US" w:eastAsia="zh-CN"/>
              </w:rPr>
              <w:t>和施工扬尘。</w:t>
            </w:r>
          </w:p>
          <w:p w14:paraId="0DEC0E2E">
            <w:pPr>
              <w:pStyle w:val="46"/>
              <w:bidi w:val="0"/>
              <w:rPr>
                <w:rFonts w:hint="default"/>
                <w:lang w:val="en-US" w:eastAsia="zh-CN"/>
              </w:rPr>
            </w:pPr>
            <w:r>
              <w:rPr>
                <w:rFonts w:hint="default" w:ascii="Times New Roman" w:hAnsi="Times New Roman" w:eastAsia="宋体" w:cs="Times New Roman"/>
                <w:bCs/>
                <w:color w:val="000000"/>
                <w:sz w:val="24"/>
                <w:szCs w:val="24"/>
              </w:rPr>
              <w:t>由于</w:t>
            </w:r>
            <w:r>
              <w:rPr>
                <w:rFonts w:hint="eastAsia" w:ascii="Times New Roman" w:hAnsi="Times New Roman" w:eastAsia="宋体" w:cs="Times New Roman"/>
                <w:bCs/>
                <w:color w:val="000000"/>
                <w:sz w:val="24"/>
                <w:szCs w:val="24"/>
                <w:lang w:val="en-US" w:eastAsia="zh-CN"/>
              </w:rPr>
              <w:t>在装修阶段，</w:t>
            </w:r>
            <w:r>
              <w:rPr>
                <w:rFonts w:hint="default" w:ascii="Times New Roman" w:hAnsi="Times New Roman" w:eastAsia="宋体" w:cs="Times New Roman"/>
                <w:bCs/>
                <w:color w:val="000000"/>
                <w:sz w:val="24"/>
                <w:szCs w:val="24"/>
              </w:rPr>
              <w:t>施工机械产生的废气</w:t>
            </w:r>
            <w:r>
              <w:rPr>
                <w:rFonts w:hint="eastAsia" w:cs="Times New Roman"/>
                <w:bCs/>
                <w:color w:val="000000"/>
                <w:sz w:val="24"/>
                <w:szCs w:val="24"/>
                <w:lang w:val="en-US" w:eastAsia="zh-CN"/>
              </w:rPr>
              <w:t>和施工扬尘</w:t>
            </w:r>
            <w:r>
              <w:rPr>
                <w:rFonts w:hint="default" w:ascii="Times New Roman" w:hAnsi="Times New Roman" w:cs="Times New Roman"/>
                <w:color w:val="auto"/>
                <w:lang w:val="en-US" w:eastAsia="zh-CN"/>
              </w:rPr>
              <w:t>产生量较小为无组织排放</w:t>
            </w:r>
            <w:r>
              <w:rPr>
                <w:rFonts w:hint="default" w:ascii="Times New Roman" w:hAnsi="Times New Roman" w:eastAsia="宋体" w:cs="Times New Roman"/>
                <w:bCs/>
                <w:color w:val="000000"/>
                <w:sz w:val="24"/>
                <w:szCs w:val="24"/>
              </w:rPr>
              <w:t>，在不采取措施的情况下即可实现达标排放，但是，为了避免施工机械故障等原因导致其废气的超标排放，本环评建议</w:t>
            </w:r>
            <w:r>
              <w:rPr>
                <w:rFonts w:hint="default" w:ascii="Times New Roman" w:hAnsi="Times New Roman" w:cs="Times New Roman"/>
                <w:color w:val="auto"/>
                <w:lang w:val="en-US" w:eastAsia="zh-CN"/>
              </w:rPr>
              <w:t>施工单位</w:t>
            </w:r>
            <w:r>
              <w:rPr>
                <w:rFonts w:hint="eastAsia" w:ascii="Times New Roman" w:hAnsi="Times New Roman" w:cs="Times New Roman"/>
                <w:color w:val="auto"/>
                <w:lang w:val="en-US" w:eastAsia="zh-CN"/>
              </w:rPr>
              <w:t>在施工期</w:t>
            </w:r>
            <w:r>
              <w:rPr>
                <w:rFonts w:hint="default" w:ascii="Times New Roman" w:hAnsi="Times New Roman" w:cs="Times New Roman"/>
                <w:color w:val="auto"/>
                <w:lang w:val="en-US" w:eastAsia="zh-CN"/>
              </w:rPr>
              <w:t>应加强对施工机械的维修保养，确保其正常使用和尾气能达标排放。</w:t>
            </w:r>
            <w:r>
              <w:rPr>
                <w:rFonts w:hint="default" w:ascii="Times New Roman" w:hAnsi="Times New Roman" w:eastAsia="宋体" w:cs="Times New Roman"/>
                <w:bCs/>
                <w:color w:val="000000"/>
                <w:sz w:val="24"/>
                <w:szCs w:val="24"/>
              </w:rPr>
              <w:t>装修中使用环保型产品，从而可以避免不必要的环境损失。</w:t>
            </w:r>
          </w:p>
          <w:p w14:paraId="0714EDC1">
            <w:pPr>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综上所述，当施工单位严格执行本环评提出的措施之后，可以使其对大气环境质量影响降到最低，项目对大气影响将随着施工期的结束而结束。</w:t>
            </w:r>
          </w:p>
          <w:p w14:paraId="19EA8DB1">
            <w:pPr>
              <w:spacing w:line="360" w:lineRule="auto"/>
              <w:ind w:firstLine="482" w:firstLineChars="200"/>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lang w:eastAsia="zh-CN"/>
              </w:rPr>
              <w:t>（</w:t>
            </w:r>
            <w:r>
              <w:rPr>
                <w:rFonts w:hint="eastAsia" w:ascii="Times New Roman" w:hAnsi="Times New Roman" w:eastAsia="宋体" w:cs="Times New Roman"/>
                <w:b/>
                <w:bCs/>
                <w:color w:val="000000"/>
                <w:sz w:val="24"/>
                <w:szCs w:val="24"/>
                <w:lang w:val="en-US" w:eastAsia="zh-CN"/>
              </w:rPr>
              <w:t>二</w:t>
            </w:r>
            <w:r>
              <w:rPr>
                <w:rFonts w:hint="eastAsia" w:ascii="Times New Roman" w:hAnsi="Times New Roman" w:eastAsia="宋体" w:cs="Times New Roman"/>
                <w:b/>
                <w:bCs/>
                <w:color w:val="000000"/>
                <w:sz w:val="24"/>
                <w:szCs w:val="24"/>
                <w:lang w:eastAsia="zh-CN"/>
              </w:rPr>
              <w:t>）</w:t>
            </w:r>
            <w:r>
              <w:rPr>
                <w:rFonts w:hint="eastAsia" w:cs="Times New Roman"/>
                <w:b/>
                <w:bCs/>
                <w:color w:val="000000"/>
                <w:sz w:val="24"/>
                <w:szCs w:val="24"/>
                <w:lang w:val="en-US" w:eastAsia="zh-CN"/>
              </w:rPr>
              <w:t>废水</w:t>
            </w:r>
          </w:p>
          <w:p w14:paraId="59766B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rPr>
              <w:t>施工</w:t>
            </w:r>
            <w:r>
              <w:rPr>
                <w:rFonts w:hint="eastAsia" w:ascii="Times New Roman" w:hAnsi="Times New Roman" w:eastAsia="宋体" w:cs="Times New Roman"/>
                <w:bCs/>
                <w:color w:val="000000"/>
                <w:sz w:val="24"/>
                <w:szCs w:val="24"/>
                <w:lang w:val="en-US" w:eastAsia="zh-CN"/>
              </w:rPr>
              <w:t>期人员生活污水经化粪池处理</w:t>
            </w:r>
            <w:r>
              <w:rPr>
                <w:rFonts w:hint="default" w:ascii="Times New Roman" w:hAnsi="Times New Roman" w:eastAsia="宋体" w:cs="Times New Roman"/>
                <w:color w:val="000000"/>
                <w:kern w:val="0"/>
                <w:sz w:val="24"/>
                <w:szCs w:val="24"/>
                <w:lang w:val="en-US" w:eastAsia="zh-CN" w:bidi="ar"/>
              </w:rPr>
              <w:t>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000000"/>
                <w:kern w:val="0"/>
                <w:sz w:val="24"/>
                <w:szCs w:val="24"/>
                <w:lang w:val="en-US" w:eastAsia="zh-CN" w:bidi="ar"/>
              </w:rPr>
              <w:t>，最终排入梅江。</w:t>
            </w:r>
          </w:p>
          <w:p w14:paraId="3EFF4C3B">
            <w:pPr>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通过采取以上措施，可有效控制施工废水污染，措施是切实可行的。总之，在项目建设期间，建设单位应该尽可能通过加强管理，文明施工的手段来减少建设期间施工对环境的影响，做到发展与保护环境的协调。</w:t>
            </w:r>
          </w:p>
          <w:p w14:paraId="20D69D43">
            <w:pPr>
              <w:spacing w:line="360" w:lineRule="auto"/>
              <w:ind w:firstLine="482" w:firstLineChars="200"/>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lang w:eastAsia="zh-CN"/>
              </w:rPr>
              <w:t>（</w:t>
            </w:r>
            <w:r>
              <w:rPr>
                <w:rFonts w:hint="eastAsia" w:ascii="Times New Roman" w:hAnsi="Times New Roman" w:eastAsia="宋体" w:cs="Times New Roman"/>
                <w:b/>
                <w:bCs/>
                <w:color w:val="000000"/>
                <w:sz w:val="24"/>
                <w:szCs w:val="24"/>
                <w:lang w:val="en-US" w:eastAsia="zh-CN"/>
              </w:rPr>
              <w:t>三</w:t>
            </w:r>
            <w:r>
              <w:rPr>
                <w:rFonts w:hint="eastAsia" w:ascii="Times New Roman" w:hAnsi="Times New Roman" w:eastAsia="宋体" w:cs="Times New Roman"/>
                <w:b/>
                <w:bCs/>
                <w:color w:val="000000"/>
                <w:sz w:val="24"/>
                <w:szCs w:val="24"/>
                <w:lang w:eastAsia="zh-CN"/>
              </w:rPr>
              <w:t>）</w:t>
            </w:r>
            <w:r>
              <w:rPr>
                <w:rFonts w:hint="eastAsia" w:cs="Times New Roman"/>
                <w:b/>
                <w:bCs/>
                <w:color w:val="000000"/>
                <w:sz w:val="24"/>
                <w:szCs w:val="24"/>
                <w:lang w:val="en-US" w:eastAsia="zh-CN"/>
              </w:rPr>
              <w:t>噪声</w:t>
            </w:r>
          </w:p>
          <w:p w14:paraId="5A3E731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000000"/>
                <w:sz w:val="24"/>
                <w:highlight w:val="none"/>
              </w:rPr>
            </w:pPr>
            <w:r>
              <w:rPr>
                <w:rFonts w:hint="eastAsia" w:ascii="Times New Roman" w:hAnsi="Times New Roman" w:eastAsia="宋体" w:cs="Times New Roman"/>
                <w:b w:val="0"/>
                <w:bCs w:val="0"/>
                <w:color w:val="000000"/>
                <w:sz w:val="24"/>
                <w:highlight w:val="none"/>
                <w:lang w:val="en-US" w:eastAsia="zh-CN"/>
              </w:rPr>
              <w:t>1、</w:t>
            </w:r>
            <w:r>
              <w:rPr>
                <w:rFonts w:hint="default" w:ascii="Times New Roman" w:hAnsi="Times New Roman" w:eastAsia="宋体" w:cs="Times New Roman"/>
                <w:b w:val="0"/>
                <w:bCs w:val="0"/>
                <w:color w:val="000000"/>
                <w:sz w:val="24"/>
                <w:highlight w:val="none"/>
              </w:rPr>
              <w:t>施工噪声</w:t>
            </w:r>
          </w:p>
          <w:p w14:paraId="3E6034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施工噪声主要可分为机械噪声、施工作业噪声。机械噪声主要由施工机械及装修设备所造成，如</w:t>
            </w:r>
            <w:r>
              <w:rPr>
                <w:rFonts w:hint="eastAsia" w:cs="Times New Roman"/>
                <w:color w:val="000000"/>
                <w:sz w:val="24"/>
                <w:highlight w:val="none"/>
                <w:lang w:val="en-US" w:eastAsia="zh-CN"/>
              </w:rPr>
              <w:t>电钻</w:t>
            </w:r>
            <w:r>
              <w:rPr>
                <w:rFonts w:hint="default" w:ascii="Times New Roman" w:hAnsi="Times New Roman" w:eastAsia="宋体" w:cs="Times New Roman"/>
                <w:color w:val="000000"/>
                <w:sz w:val="24"/>
                <w:highlight w:val="none"/>
              </w:rPr>
              <w:t>等，多为点源；施工作业噪声主要指一些零星的敲打声、吆喝声、拆卸模板的撞击声等，多为瞬时噪声</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在这些施工噪声中，对声环境影响最大的是机械噪声。</w:t>
            </w:r>
          </w:p>
          <w:p w14:paraId="4737251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施工噪声对场外环境有一定的影响。根据经验及衰减效果分析，施工噪声对距施工点50m范围内影响较大，在100～150m的距离范围内部分施工噪声可能超过标准限值。项目夜间不施工，仅白天施工，因此项目施工期厂界噪声能达到《建筑施工场界环境噪声排放标准》(GB12523-2011)的相关排放标准。</w:t>
            </w:r>
          </w:p>
          <w:p w14:paraId="380725A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rPr>
              <w:t>建议在施工期间采取以下相应措施：</w:t>
            </w:r>
          </w:p>
          <w:p w14:paraId="304ECC6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①合理安排施工时间，尽量缩短施工期，尽量避免多台噪声设备同一地点同时使用。夜间禁止高噪声施工作业。</w:t>
            </w:r>
          </w:p>
          <w:p w14:paraId="1BA2A82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②在施工机械上尽可能采用先进、低噪声设备，并加强管理和维护。</w:t>
            </w:r>
          </w:p>
          <w:p w14:paraId="5252854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③混凝土搅拌作业采用外购或异地作业的方式，禁止采用高噪声搅拌设施现场进行混凝土搅拌作业；</w:t>
            </w:r>
          </w:p>
          <w:p w14:paraId="3427311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④在高噪声设备周围设置掩蔽物，以从源头控制噪声影响。</w:t>
            </w:r>
          </w:p>
          <w:p w14:paraId="115BB5C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000000"/>
                <w:sz w:val="24"/>
                <w:szCs w:val="24"/>
              </w:rPr>
            </w:pPr>
            <w:r>
              <w:rPr>
                <w:rFonts w:hint="default" w:ascii="Times New Roman" w:hAnsi="Times New Roman" w:eastAsia="宋体" w:cs="Times New Roman"/>
                <w:color w:val="000000"/>
                <w:sz w:val="24"/>
                <w:highlight w:val="none"/>
              </w:rPr>
              <w:t>采取以上措施治理后，项目施工期噪声在场界能满足《建筑施工场界环境噪声排放标准》</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rPr>
              <w:t>GB12523-2011</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rPr>
              <w:t>的相关标准。施工噪声的影响可以得到较大程度的缓解，施工结束后，噪声影响随即消失。</w:t>
            </w:r>
          </w:p>
          <w:p w14:paraId="5DADB028">
            <w:pPr>
              <w:spacing w:line="360" w:lineRule="auto"/>
              <w:ind w:firstLine="482" w:firstLineChars="200"/>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eastAsia="zh-CN"/>
              </w:rPr>
              <w:t>（</w:t>
            </w:r>
            <w:r>
              <w:rPr>
                <w:rFonts w:hint="eastAsia" w:ascii="Times New Roman" w:hAnsi="Times New Roman" w:eastAsia="宋体" w:cs="Times New Roman"/>
                <w:b/>
                <w:bCs/>
                <w:color w:val="000000"/>
                <w:sz w:val="24"/>
                <w:szCs w:val="24"/>
                <w:lang w:val="en-US" w:eastAsia="zh-CN"/>
              </w:rPr>
              <w:t>四</w:t>
            </w:r>
            <w:r>
              <w:rPr>
                <w:rFonts w:hint="eastAsia"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rPr>
              <w:t>固体废物</w:t>
            </w:r>
          </w:p>
          <w:p w14:paraId="062AA6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rPr>
            </w:pPr>
            <w:r>
              <w:rPr>
                <w:rFonts w:hint="default" w:ascii="Times New Roman" w:hAnsi="Times New Roman" w:eastAsia="宋体" w:cs="Times New Roman"/>
                <w:bCs/>
                <w:color w:val="000000"/>
                <w:sz w:val="24"/>
                <w:szCs w:val="24"/>
              </w:rPr>
              <w:t>项目施工期建筑垃圾应集中堆放</w:t>
            </w:r>
            <w:r>
              <w:rPr>
                <w:rFonts w:hint="eastAsia" w:cs="Times New Roman"/>
                <w:bCs/>
                <w:color w:val="000000"/>
                <w:sz w:val="24"/>
                <w:szCs w:val="24"/>
                <w:lang w:eastAsia="zh-CN"/>
              </w:rPr>
              <w:t>，</w:t>
            </w:r>
            <w:r>
              <w:rPr>
                <w:rFonts w:hint="default" w:ascii="Times New Roman" w:hAnsi="Times New Roman" w:eastAsia="宋体" w:cs="Times New Roman"/>
                <w:bCs/>
                <w:color w:val="000000"/>
                <w:sz w:val="24"/>
                <w:szCs w:val="24"/>
              </w:rPr>
              <w:t>以防止垃圾的散落，并应尽可能回用于其他建筑工地填方，如场地平整，铺设路基。建筑垃圾中可以回收利用的如钢筋等全部回收利用，其它的混凝土块连同弃渣等无法回收利用的，交由城市管理部门进行处置。在建设过程中，建设单位应请具有建筑垃圾运输许可证的单位规范运输，不得随意倾倒建筑垃圾，制造新的“垃圾堆场”。施工过程中，严格进行施工操作，以避免产生大量的扬尘和噪声影响周边居民。施工人员的生活垃圾也要收集到指定的垃圾箱内，由环卫部门统一及时清运处理。</w:t>
            </w:r>
          </w:p>
        </w:tc>
      </w:tr>
      <w:tr w14:paraId="1454A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dxa"/>
            <w:noWrap w:val="0"/>
            <w:tcMar>
              <w:left w:w="28" w:type="dxa"/>
              <w:right w:w="28" w:type="dxa"/>
            </w:tcMar>
            <w:vAlign w:val="center"/>
          </w:tcPr>
          <w:p w14:paraId="7098C077">
            <w:pPr>
              <w:pStyle w:val="29"/>
              <w:adjustRightInd w:val="0"/>
              <w:snapToGrid w:val="0"/>
              <w:spacing w:before="0" w:beforeAutospacing="0" w:after="0" w:afterAutospacing="0"/>
              <w:jc w:val="center"/>
              <w:rPr>
                <w:rFonts w:hint="default" w:ascii="宋体" w:hAnsi="宋体" w:eastAsia="宋体" w:cs="宋体"/>
                <w:color w:val="auto"/>
                <w:kern w:val="0"/>
                <w:sz w:val="24"/>
                <w:szCs w:val="24"/>
                <w:lang w:val="en-US" w:eastAsia="zh-CN" w:bidi="ar-SA"/>
              </w:rPr>
            </w:pPr>
            <w:r>
              <w:rPr>
                <w:rFonts w:hint="default" w:ascii="宋体" w:hAnsi="宋体" w:eastAsia="宋体" w:cs="宋体"/>
                <w:color w:val="auto"/>
                <w:kern w:val="0"/>
                <w:sz w:val="24"/>
                <w:szCs w:val="24"/>
                <w:lang w:val="en-US" w:eastAsia="zh-CN" w:bidi="ar-SA"/>
              </w:rPr>
              <w:t>运营期环境影响和保护措施</w:t>
            </w:r>
          </w:p>
        </w:tc>
        <w:tc>
          <w:tcPr>
            <w:tcW w:w="8406" w:type="dxa"/>
            <w:noWrap w:val="0"/>
            <w:vAlign w:val="center"/>
          </w:tcPr>
          <w:p w14:paraId="09BB37A6">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（一）废气</w:t>
            </w:r>
          </w:p>
          <w:p w14:paraId="123CC84A">
            <w:pPr>
              <w:pStyle w:val="12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1、废气产污环节</w:t>
            </w:r>
          </w:p>
          <w:p w14:paraId="68E1484E">
            <w:pPr>
              <w:pStyle w:val="124"/>
              <w:bidi w:val="0"/>
              <w:rPr>
                <w:rFonts w:hint="default" w:ascii="Times New Roman" w:hAnsi="Times New Roman" w:cs="Times New Roman"/>
                <w:color w:val="auto"/>
                <w:lang w:val="en-US" w:eastAsia="zh-CN"/>
              </w:rPr>
            </w:pPr>
            <w:r>
              <w:rPr>
                <w:rFonts w:hint="eastAsia"/>
                <w:color w:val="auto"/>
                <w:kern w:val="24"/>
                <w:szCs w:val="21"/>
                <w:lang w:val="en-US" w:eastAsia="zh-CN"/>
              </w:rPr>
              <w:t>本</w:t>
            </w:r>
            <w:r>
              <w:rPr>
                <w:rFonts w:hint="eastAsia"/>
                <w:color w:val="auto"/>
                <w:kern w:val="24"/>
                <w:szCs w:val="21"/>
              </w:rPr>
              <w:t>项目废气主要包括</w:t>
            </w:r>
            <w:r>
              <w:rPr>
                <w:rFonts w:hint="eastAsia"/>
                <w:color w:val="auto"/>
                <w:szCs w:val="21"/>
                <w:lang w:val="en-US" w:eastAsia="zh-CN"/>
              </w:rPr>
              <w:t>厨房废气、锅炉废气和</w:t>
            </w:r>
            <w:r>
              <w:rPr>
                <w:rFonts w:hint="eastAsia" w:cs="Times New Roman"/>
                <w:color w:val="auto"/>
                <w:kern w:val="24"/>
                <w:szCs w:val="21"/>
                <w:lang w:val="en-US" w:eastAsia="zh-CN"/>
              </w:rPr>
              <w:t>污水处理站恶臭污染物</w:t>
            </w:r>
            <w:r>
              <w:rPr>
                <w:rFonts w:hint="eastAsia"/>
                <w:color w:val="auto"/>
                <w:kern w:val="24"/>
                <w:szCs w:val="21"/>
                <w:lang w:eastAsia="zh-CN"/>
              </w:rPr>
              <w:t>，</w:t>
            </w:r>
            <w:r>
              <w:rPr>
                <w:rFonts w:hint="default" w:ascii="Times New Roman" w:hAnsi="Times New Roman" w:cs="Times New Roman"/>
                <w:color w:val="auto"/>
                <w:lang w:val="en-US" w:eastAsia="zh-CN"/>
              </w:rPr>
              <w:t>产污环节见表4-</w:t>
            </w:r>
            <w:r>
              <w:rPr>
                <w:rFonts w:hint="eastAsia" w:cs="Times New Roman"/>
                <w:color w:val="auto"/>
                <w:lang w:val="en-US" w:eastAsia="zh-CN"/>
              </w:rPr>
              <w:t>1</w:t>
            </w:r>
            <w:r>
              <w:rPr>
                <w:rFonts w:hint="default" w:ascii="Times New Roman" w:hAnsi="Times New Roman" w:cs="Times New Roman"/>
                <w:color w:val="auto"/>
                <w:lang w:val="en-US" w:eastAsia="zh-CN"/>
              </w:rPr>
              <w:t>。</w:t>
            </w:r>
          </w:p>
          <w:p w14:paraId="7B6B17BB">
            <w:pPr>
              <w:pStyle w:val="12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表4-</w:t>
            </w:r>
            <w:r>
              <w:rPr>
                <w:rFonts w:hint="eastAsia" w:cs="Times New Roman"/>
                <w:color w:val="auto"/>
                <w:lang w:val="en-US" w:eastAsia="zh-CN"/>
              </w:rPr>
              <w:t xml:space="preserve">1 </w:t>
            </w:r>
            <w:r>
              <w:rPr>
                <w:rFonts w:hint="default" w:ascii="Times New Roman" w:hAnsi="Times New Roman" w:eastAsia="宋体" w:cs="Times New Roman"/>
                <w:color w:val="auto"/>
                <w:lang w:val="en-US" w:eastAsia="zh-CN"/>
              </w:rPr>
              <w:t xml:space="preserve"> 本项目废气产污环节一览表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417"/>
              <w:gridCol w:w="3582"/>
              <w:gridCol w:w="2122"/>
            </w:tblGrid>
            <w:tr w14:paraId="2F9AB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17" w:type="pct"/>
                  <w:gridSpan w:val="2"/>
                  <w:tcBorders>
                    <w:tl2br w:val="nil"/>
                    <w:tr2bl w:val="nil"/>
                  </w:tcBorders>
                  <w:noWrap w:val="0"/>
                  <w:vAlign w:val="center"/>
                </w:tcPr>
                <w:p w14:paraId="16C9FC9A">
                  <w:pPr>
                    <w:pStyle w:val="126"/>
                    <w:bidi w:val="0"/>
                    <w:rPr>
                      <w:rFonts w:hint="eastAsia" w:ascii="Times New Roman" w:hAnsi="Times New Roman" w:eastAsia="宋体" w:cs="Times New Roman"/>
                      <w:color w:val="auto"/>
                      <w:lang w:eastAsia="zh-CN"/>
                    </w:rPr>
                  </w:pPr>
                  <w:r>
                    <w:rPr>
                      <w:rFonts w:hint="eastAsia" w:cs="Times New Roman"/>
                      <w:color w:val="auto"/>
                      <w:lang w:val="en-US" w:eastAsia="zh-CN"/>
                    </w:rPr>
                    <w:t>源强</w:t>
                  </w:r>
                </w:p>
              </w:tc>
              <w:tc>
                <w:tcPr>
                  <w:tcW w:w="2186" w:type="pct"/>
                  <w:tcBorders>
                    <w:tl2br w:val="nil"/>
                    <w:tr2bl w:val="nil"/>
                  </w:tcBorders>
                  <w:noWrap w:val="0"/>
                  <w:vAlign w:val="center"/>
                </w:tcPr>
                <w:p w14:paraId="3E2B1215">
                  <w:pPr>
                    <w:pStyle w:val="126"/>
                    <w:bidi w:val="0"/>
                    <w:rPr>
                      <w:rFonts w:hint="default" w:ascii="Times New Roman" w:hAnsi="Times New Roman" w:cs="Times New Roman"/>
                      <w:color w:val="auto"/>
                    </w:rPr>
                  </w:pPr>
                  <w:r>
                    <w:rPr>
                      <w:rFonts w:hint="default" w:ascii="Times New Roman" w:hAnsi="Times New Roman" w:cs="Times New Roman"/>
                      <w:color w:val="auto"/>
                    </w:rPr>
                    <w:t>主要污染产生分析</w:t>
                  </w:r>
                </w:p>
              </w:tc>
              <w:tc>
                <w:tcPr>
                  <w:tcW w:w="1295" w:type="pct"/>
                  <w:tcBorders>
                    <w:tl2br w:val="nil"/>
                    <w:tr2bl w:val="nil"/>
                  </w:tcBorders>
                  <w:noWrap w:val="0"/>
                  <w:vAlign w:val="center"/>
                </w:tcPr>
                <w:p w14:paraId="40233AF6">
                  <w:pPr>
                    <w:pStyle w:val="126"/>
                    <w:bidi w:val="0"/>
                    <w:rPr>
                      <w:rFonts w:hint="default" w:ascii="Times New Roman" w:hAnsi="Times New Roman" w:cs="Times New Roman"/>
                      <w:color w:val="auto"/>
                    </w:rPr>
                  </w:pPr>
                  <w:r>
                    <w:rPr>
                      <w:rFonts w:hint="default" w:ascii="Times New Roman" w:hAnsi="Times New Roman" w:cs="Times New Roman"/>
                      <w:color w:val="auto"/>
                    </w:rPr>
                    <w:t>污染物名称</w:t>
                  </w:r>
                </w:p>
              </w:tc>
            </w:tr>
            <w:tr w14:paraId="121C2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2" w:type="pct"/>
                  <w:vMerge w:val="restart"/>
                  <w:tcBorders>
                    <w:tl2br w:val="nil"/>
                    <w:tr2bl w:val="nil"/>
                  </w:tcBorders>
                  <w:noWrap w:val="0"/>
                  <w:vAlign w:val="center"/>
                </w:tcPr>
                <w:p w14:paraId="7CFFCE1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olor w:val="auto"/>
                      <w:szCs w:val="21"/>
                      <w:lang w:val="en-US" w:eastAsia="zh-CN"/>
                    </w:rPr>
                    <w:t>厨房废气</w:t>
                  </w:r>
                </w:p>
              </w:tc>
              <w:tc>
                <w:tcPr>
                  <w:tcW w:w="865" w:type="pct"/>
                  <w:tcBorders>
                    <w:tl2br w:val="nil"/>
                    <w:tr2bl w:val="nil"/>
                  </w:tcBorders>
                  <w:noWrap w:val="0"/>
                  <w:vAlign w:val="center"/>
                </w:tcPr>
                <w:p w14:paraId="612DE69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olor w:val="auto"/>
                      <w:szCs w:val="21"/>
                      <w:lang w:val="en-US" w:eastAsia="zh-CN"/>
                    </w:rPr>
                  </w:pPr>
                  <w:r>
                    <w:rPr>
                      <w:rFonts w:hint="eastAsia"/>
                      <w:color w:val="auto"/>
                      <w:szCs w:val="21"/>
                      <w:lang w:val="en-US" w:eastAsia="zh-CN"/>
                    </w:rPr>
                    <w:t>油烟废气</w:t>
                  </w:r>
                </w:p>
              </w:tc>
              <w:tc>
                <w:tcPr>
                  <w:tcW w:w="2186" w:type="pct"/>
                  <w:tcBorders>
                    <w:tl2br w:val="nil"/>
                    <w:tr2bl w:val="nil"/>
                  </w:tcBorders>
                  <w:noWrap w:val="0"/>
                  <w:vAlign w:val="center"/>
                </w:tcPr>
                <w:p w14:paraId="3B74DC3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食品烹饪过程中挥发的油脂、有机质及其加热分解或裂解产生</w:t>
                  </w:r>
                </w:p>
              </w:tc>
              <w:tc>
                <w:tcPr>
                  <w:tcW w:w="1295" w:type="pct"/>
                  <w:tcBorders>
                    <w:tl2br w:val="nil"/>
                    <w:tr2bl w:val="nil"/>
                  </w:tcBorders>
                  <w:noWrap w:val="0"/>
                  <w:vAlign w:val="center"/>
                </w:tcPr>
                <w:p w14:paraId="5200F98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油烟</w:t>
                  </w:r>
                </w:p>
              </w:tc>
            </w:tr>
            <w:tr w14:paraId="46201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2" w:type="pct"/>
                  <w:vMerge w:val="continue"/>
                  <w:tcBorders>
                    <w:tl2br w:val="nil"/>
                    <w:tr2bl w:val="nil"/>
                  </w:tcBorders>
                  <w:noWrap w:val="0"/>
                  <w:vAlign w:val="center"/>
                </w:tcPr>
                <w:p w14:paraId="03E38C7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olor w:val="auto"/>
                      <w:szCs w:val="21"/>
                      <w:lang w:val="en-US" w:eastAsia="zh-CN"/>
                    </w:rPr>
                  </w:pPr>
                </w:p>
              </w:tc>
              <w:tc>
                <w:tcPr>
                  <w:tcW w:w="865" w:type="pct"/>
                  <w:tcBorders>
                    <w:tl2br w:val="nil"/>
                    <w:tr2bl w:val="nil"/>
                  </w:tcBorders>
                  <w:noWrap w:val="0"/>
                  <w:vAlign w:val="center"/>
                </w:tcPr>
                <w:p w14:paraId="3A4B37A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olor w:val="auto"/>
                      <w:szCs w:val="21"/>
                      <w:lang w:val="en-US" w:eastAsia="zh-CN"/>
                    </w:rPr>
                  </w:pPr>
                  <w:r>
                    <w:rPr>
                      <w:rFonts w:hint="eastAsia"/>
                      <w:color w:val="auto"/>
                      <w:szCs w:val="21"/>
                      <w:lang w:val="en-US" w:eastAsia="zh-CN"/>
                    </w:rPr>
                    <w:t>燃气灶燃烧废气</w:t>
                  </w:r>
                </w:p>
              </w:tc>
              <w:tc>
                <w:tcPr>
                  <w:tcW w:w="2186" w:type="pct"/>
                  <w:tcBorders>
                    <w:tl2br w:val="nil"/>
                    <w:tr2bl w:val="nil"/>
                  </w:tcBorders>
                  <w:noWrap w:val="0"/>
                  <w:vAlign w:val="center"/>
                </w:tcPr>
                <w:p w14:paraId="67976CB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厨房天然气管道中的天然气燃烧给燃气灶供热时产生</w:t>
                  </w:r>
                </w:p>
              </w:tc>
              <w:tc>
                <w:tcPr>
                  <w:tcW w:w="1295" w:type="pct"/>
                  <w:tcBorders>
                    <w:tl2br w:val="nil"/>
                    <w:tr2bl w:val="nil"/>
                  </w:tcBorders>
                  <w:noWrap w:val="0"/>
                  <w:vAlign w:val="center"/>
                </w:tcPr>
                <w:p w14:paraId="22BCBE6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lang w:val="en-US" w:eastAsia="zh-CN"/>
                    </w:rPr>
                    <w:t>颗粒物、二氧化硫、氮氧化物</w:t>
                  </w:r>
                </w:p>
              </w:tc>
            </w:tr>
            <w:tr w14:paraId="74CEC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517" w:type="pct"/>
                  <w:gridSpan w:val="2"/>
                  <w:tcBorders>
                    <w:tl2br w:val="nil"/>
                    <w:tr2bl w:val="nil"/>
                  </w:tcBorders>
                  <w:noWrap w:val="0"/>
                  <w:vAlign w:val="center"/>
                </w:tcPr>
                <w:p w14:paraId="708FA88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olor w:val="auto"/>
                      <w:szCs w:val="21"/>
                      <w:lang w:val="en-US" w:eastAsia="zh-CN"/>
                    </w:rPr>
                  </w:pPr>
                  <w:r>
                    <w:rPr>
                      <w:rFonts w:hint="eastAsia"/>
                      <w:color w:val="auto"/>
                      <w:szCs w:val="21"/>
                      <w:lang w:val="en-US" w:eastAsia="zh-CN"/>
                    </w:rPr>
                    <w:t>锅炉废气</w:t>
                  </w:r>
                </w:p>
              </w:tc>
              <w:tc>
                <w:tcPr>
                  <w:tcW w:w="2186" w:type="pct"/>
                  <w:tcBorders>
                    <w:tl2br w:val="nil"/>
                    <w:tr2bl w:val="nil"/>
                  </w:tcBorders>
                  <w:noWrap w:val="0"/>
                  <w:vAlign w:val="center"/>
                </w:tcPr>
                <w:p w14:paraId="43B5CFA3">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燃气锅炉工作过程产生</w:t>
                  </w:r>
                </w:p>
              </w:tc>
              <w:tc>
                <w:tcPr>
                  <w:tcW w:w="1295" w:type="pct"/>
                  <w:tcBorders>
                    <w:tl2br w:val="nil"/>
                    <w:tr2bl w:val="nil"/>
                  </w:tcBorders>
                  <w:noWrap w:val="0"/>
                  <w:vAlign w:val="center"/>
                </w:tcPr>
                <w:p w14:paraId="31661ECB">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颗粒物、二氧化硫、氮氧化物、烟气黑度</w:t>
                  </w:r>
                </w:p>
              </w:tc>
            </w:tr>
            <w:tr w14:paraId="394EE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517" w:type="pct"/>
                  <w:gridSpan w:val="2"/>
                  <w:tcBorders>
                    <w:tl2br w:val="nil"/>
                    <w:tr2bl w:val="nil"/>
                  </w:tcBorders>
                  <w:noWrap w:val="0"/>
                  <w:vAlign w:val="center"/>
                </w:tcPr>
                <w:p w14:paraId="5DADAE7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olor w:val="auto"/>
                      <w:szCs w:val="21"/>
                      <w:lang w:val="en-US" w:eastAsia="zh-CN"/>
                    </w:rPr>
                  </w:pPr>
                  <w:r>
                    <w:rPr>
                      <w:rFonts w:hint="eastAsia" w:cs="Times New Roman"/>
                      <w:color w:val="auto"/>
                      <w:kern w:val="24"/>
                      <w:szCs w:val="21"/>
                      <w:lang w:val="en-US" w:eastAsia="zh-CN"/>
                    </w:rPr>
                    <w:t>污水处理站恶臭污染物</w:t>
                  </w:r>
                </w:p>
              </w:tc>
              <w:tc>
                <w:tcPr>
                  <w:tcW w:w="2186" w:type="pct"/>
                  <w:tcBorders>
                    <w:tl2br w:val="nil"/>
                    <w:tr2bl w:val="nil"/>
                  </w:tcBorders>
                  <w:noWrap w:val="0"/>
                  <w:vAlign w:val="center"/>
                </w:tcPr>
                <w:p w14:paraId="4FCBC52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废水处理时产生</w:t>
                  </w:r>
                </w:p>
              </w:tc>
              <w:tc>
                <w:tcPr>
                  <w:tcW w:w="1295" w:type="pct"/>
                  <w:tcBorders>
                    <w:tl2br w:val="nil"/>
                    <w:tr2bl w:val="nil"/>
                  </w:tcBorders>
                  <w:noWrap w:val="0"/>
                  <w:vAlign w:val="center"/>
                </w:tcPr>
                <w:p w14:paraId="694A215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vertAlign w:val="baseline"/>
                      <w:lang w:val="en-US" w:eastAsia="zh-CN"/>
                    </w:rPr>
                    <w:t>硫化氢、氨</w:t>
                  </w:r>
                </w:p>
              </w:tc>
            </w:tr>
          </w:tbl>
          <w:p w14:paraId="5D23ADC0">
            <w:pPr>
              <w:pStyle w:val="124"/>
              <w:keepNext w:val="0"/>
              <w:keepLines w:val="0"/>
              <w:pageBreakBefore w:val="0"/>
              <w:widowControl w:val="0"/>
              <w:kinsoku/>
              <w:wordWrap/>
              <w:overflowPunct/>
              <w:topLinePunct w:val="0"/>
              <w:bidi w:val="0"/>
              <w:adjustRightInd/>
              <w:snapToGrid/>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2、废气污染物源强核算</w:t>
            </w:r>
          </w:p>
          <w:p w14:paraId="025C0E62">
            <w:pPr>
              <w:pStyle w:val="124"/>
              <w:keepNext w:val="0"/>
              <w:keepLines w:val="0"/>
              <w:pageBreakBefore w:val="0"/>
              <w:widowControl w:val="0"/>
              <w:kinsoku/>
              <w:wordWrap/>
              <w:overflowPunct/>
              <w:topLinePunct w:val="0"/>
              <w:bidi w:val="0"/>
              <w:adjustRightInd/>
              <w:snapToGrid/>
              <w:textAlignment w:val="auto"/>
              <w:rPr>
                <w:rFonts w:hint="default" w:ascii="Times New Roman" w:hAnsi="Times New Roman" w:eastAsia="宋体" w:cs="Times New Roman"/>
                <w:b/>
                <w:bCs w:val="0"/>
                <w:color w:val="auto"/>
                <w:kern w:val="24"/>
                <w:szCs w:val="21"/>
                <w:lang w:val="en-US" w:eastAsia="zh-CN"/>
              </w:rPr>
            </w:pPr>
            <w:r>
              <w:rPr>
                <w:rFonts w:hint="default" w:ascii="Times New Roman" w:hAnsi="Times New Roman" w:eastAsia="宋体" w:cs="Times New Roman"/>
                <w:b/>
                <w:bCs w:val="0"/>
                <w:color w:val="auto"/>
                <w:kern w:val="24"/>
                <w:szCs w:val="21"/>
                <w:lang w:eastAsia="zh-CN"/>
              </w:rPr>
              <w:t>（</w:t>
            </w:r>
            <w:r>
              <w:rPr>
                <w:rFonts w:hint="default" w:ascii="Times New Roman" w:hAnsi="Times New Roman" w:eastAsia="宋体" w:cs="Times New Roman"/>
                <w:b/>
                <w:bCs w:val="0"/>
                <w:color w:val="auto"/>
                <w:kern w:val="24"/>
                <w:szCs w:val="21"/>
                <w:lang w:val="en-US" w:eastAsia="zh-CN"/>
              </w:rPr>
              <w:t>1</w:t>
            </w:r>
            <w:r>
              <w:rPr>
                <w:rFonts w:hint="default" w:ascii="Times New Roman" w:hAnsi="Times New Roman" w:eastAsia="宋体" w:cs="Times New Roman"/>
                <w:b/>
                <w:bCs w:val="0"/>
                <w:color w:val="auto"/>
                <w:kern w:val="24"/>
                <w:szCs w:val="21"/>
                <w:lang w:eastAsia="zh-CN"/>
              </w:rPr>
              <w:t>）</w:t>
            </w:r>
            <w:r>
              <w:rPr>
                <w:rFonts w:hint="eastAsia" w:cs="Times New Roman"/>
                <w:b/>
                <w:bCs w:val="0"/>
                <w:color w:val="auto"/>
                <w:kern w:val="24"/>
                <w:szCs w:val="21"/>
                <w:lang w:val="en-US" w:eastAsia="zh-CN"/>
              </w:rPr>
              <w:t>厨房废气</w:t>
            </w:r>
          </w:p>
          <w:p w14:paraId="70E9442D">
            <w:pPr>
              <w:pStyle w:val="124"/>
              <w:keepNext w:val="0"/>
              <w:keepLines w:val="0"/>
              <w:pageBreakBefore w:val="0"/>
              <w:widowControl w:val="0"/>
              <w:kinsoku/>
              <w:wordWrap/>
              <w:overflowPunct/>
              <w:topLinePunct w:val="0"/>
              <w:bidi w:val="0"/>
              <w:adjustRightInd/>
              <w:snapToGrid/>
              <w:textAlignment w:val="auto"/>
              <w:rPr>
                <w:rFonts w:hint="default" w:ascii="Times New Roman" w:hAnsi="Times New Roman" w:eastAsia="宋体" w:cs="Times New Roman"/>
                <w:b w:val="0"/>
                <w:bCs w:val="0"/>
                <w:color w:val="auto"/>
                <w:kern w:val="24"/>
                <w:sz w:val="24"/>
                <w:szCs w:val="24"/>
                <w:lang w:val="en-US" w:eastAsia="zh-CN" w:bidi="ar-SA"/>
              </w:rPr>
            </w:pPr>
            <w:r>
              <w:rPr>
                <w:rFonts w:hint="default" w:ascii="Times New Roman" w:hAnsi="Times New Roman" w:cs="Times New Roman"/>
                <w:b/>
                <w:bCs/>
                <w:color w:val="auto"/>
                <w:sz w:val="24"/>
                <w:szCs w:val="24"/>
                <w:highlight w:val="none"/>
              </w:rPr>
              <w:t>①</w:t>
            </w:r>
            <w:r>
              <w:rPr>
                <w:rFonts w:hint="eastAsia"/>
                <w:b/>
                <w:bCs/>
                <w:color w:val="auto"/>
                <w:szCs w:val="21"/>
                <w:lang w:val="en-US" w:eastAsia="zh-CN"/>
              </w:rPr>
              <w:t>油烟废气</w:t>
            </w:r>
            <w:r>
              <w:rPr>
                <w:rFonts w:hint="eastAsia" w:ascii="Times New Roman" w:hAnsi="Times New Roman" w:eastAsia="宋体" w:cs="Times New Roman"/>
                <w:b w:val="0"/>
                <w:bCs w:val="0"/>
                <w:color w:val="auto"/>
                <w:kern w:val="24"/>
                <w:sz w:val="24"/>
                <w:szCs w:val="24"/>
                <w:lang w:val="en-US" w:eastAsia="zh-CN" w:bidi="ar-SA"/>
              </w:rPr>
              <w:t xml:space="preserve"> </w:t>
            </w:r>
          </w:p>
          <w:p w14:paraId="4F1FF44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eastAsia="宋体" w:cs="Times New Roman"/>
                <w:b w:val="0"/>
                <w:bCs w:val="0"/>
                <w:color w:val="auto"/>
                <w:kern w:val="24"/>
                <w:sz w:val="24"/>
                <w:szCs w:val="24"/>
                <w:lang w:val="en-US" w:eastAsia="zh-CN" w:bidi="ar-SA"/>
              </w:rPr>
            </w:pPr>
            <w:r>
              <w:rPr>
                <w:rFonts w:hint="default" w:ascii="Times New Roman" w:hAnsi="Times New Roman" w:eastAsia="宋体" w:cs="Times New Roman"/>
                <w:b w:val="0"/>
                <w:bCs w:val="0"/>
                <w:color w:val="auto"/>
                <w:kern w:val="24"/>
                <w:sz w:val="24"/>
                <w:szCs w:val="24"/>
                <w:lang w:val="en-US" w:eastAsia="zh-CN" w:bidi="ar-SA"/>
              </w:rPr>
              <w:t>本项目设置两个炒制区，一个位于中央厨房，一个位于1号预制菜生产车间。在炒制区</w:t>
            </w:r>
            <w:r>
              <w:rPr>
                <w:rFonts w:hint="eastAsia" w:ascii="Times New Roman" w:cs="Times New Roman"/>
                <w:b w:val="0"/>
                <w:bCs w:val="0"/>
                <w:color w:val="auto"/>
                <w:kern w:val="24"/>
                <w:sz w:val="24"/>
                <w:szCs w:val="24"/>
                <w:lang w:val="en-US" w:eastAsia="zh-CN" w:bidi="ar-SA"/>
              </w:rPr>
              <w:t>炒锅、炒菜机等</w:t>
            </w:r>
            <w:r>
              <w:rPr>
                <w:rFonts w:hint="default" w:ascii="Times New Roman" w:hAnsi="Times New Roman" w:eastAsia="宋体" w:cs="Times New Roman"/>
                <w:b w:val="0"/>
                <w:bCs w:val="0"/>
                <w:color w:val="auto"/>
                <w:kern w:val="24"/>
                <w:sz w:val="24"/>
                <w:szCs w:val="24"/>
                <w:lang w:val="en-US" w:eastAsia="zh-CN" w:bidi="ar-SA"/>
              </w:rPr>
              <w:t>设备上方设置集气罩收集产生的油烟废气，经收集的油烟废气</w:t>
            </w:r>
            <w:r>
              <w:rPr>
                <w:rFonts w:hint="eastAsia" w:ascii="Times New Roman" w:cs="Times New Roman"/>
                <w:b w:val="0"/>
                <w:bCs w:val="0"/>
                <w:color w:val="auto"/>
                <w:kern w:val="24"/>
                <w:sz w:val="24"/>
                <w:szCs w:val="24"/>
                <w:lang w:val="en-US" w:eastAsia="zh-CN" w:bidi="ar-SA"/>
              </w:rPr>
              <w:t>经风机</w:t>
            </w:r>
            <w:r>
              <w:rPr>
                <w:rFonts w:hint="default" w:ascii="Times New Roman" w:hAnsi="Times New Roman" w:eastAsia="宋体" w:cs="Times New Roman"/>
                <w:b w:val="0"/>
                <w:bCs w:val="0"/>
                <w:color w:val="auto"/>
                <w:kern w:val="24"/>
                <w:sz w:val="24"/>
                <w:szCs w:val="24"/>
                <w:lang w:val="en-US" w:eastAsia="zh-CN" w:bidi="ar-SA"/>
              </w:rPr>
              <w:t>引至相应的</w:t>
            </w:r>
            <w:r>
              <w:rPr>
                <w:rFonts w:hint="eastAsia" w:ascii="Times New Roman" w:cs="Times New Roman"/>
                <w:b w:val="0"/>
                <w:bCs w:val="0"/>
                <w:color w:val="auto"/>
                <w:kern w:val="24"/>
                <w:sz w:val="24"/>
                <w:szCs w:val="24"/>
                <w:lang w:val="en-US" w:eastAsia="zh-CN" w:bidi="ar-SA"/>
              </w:rPr>
              <w:t>静电油烟净化装置</w:t>
            </w:r>
            <w:r>
              <w:rPr>
                <w:rFonts w:hint="default" w:ascii="Times New Roman" w:hAnsi="Times New Roman" w:eastAsia="宋体" w:cs="Times New Roman"/>
                <w:b w:val="0"/>
                <w:bCs w:val="0"/>
                <w:color w:val="auto"/>
                <w:kern w:val="24"/>
                <w:sz w:val="24"/>
                <w:szCs w:val="24"/>
                <w:lang w:val="en-US" w:eastAsia="zh-CN" w:bidi="ar-SA"/>
              </w:rPr>
              <w:t>处理，再经各自专用排烟管道高空排放</w:t>
            </w:r>
            <w:r>
              <w:rPr>
                <w:rFonts w:hint="eastAsia" w:ascii="Times New Roman" w:cs="Times New Roman"/>
                <w:b w:val="0"/>
                <w:bCs/>
                <w:sz w:val="24"/>
                <w:szCs w:val="24"/>
                <w:lang w:val="en-US" w:eastAsia="zh-CN"/>
              </w:rPr>
              <w:t>（中央厨房DA001-DA004排气筒、1号预制菜车间DA007-DA014排气筒）</w:t>
            </w:r>
            <w:r>
              <w:rPr>
                <w:rFonts w:hint="default" w:ascii="Times New Roman" w:hAnsi="Times New Roman" w:eastAsia="宋体" w:cs="Times New Roman"/>
                <w:b w:val="0"/>
                <w:bCs w:val="0"/>
                <w:color w:val="auto"/>
                <w:kern w:val="24"/>
                <w:sz w:val="24"/>
                <w:szCs w:val="24"/>
                <w:lang w:val="en-US" w:eastAsia="zh-CN" w:bidi="ar-SA"/>
              </w:rPr>
              <w:t>。</w:t>
            </w:r>
          </w:p>
          <w:p w14:paraId="24C5EBE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cs="Times New Roman"/>
                <w:b w:val="0"/>
                <w:bCs w:val="0"/>
                <w:color w:val="auto"/>
                <w:kern w:val="24"/>
                <w:sz w:val="24"/>
                <w:szCs w:val="24"/>
                <w:lang w:val="en-US" w:eastAsia="zh-CN" w:bidi="ar-SA"/>
              </w:rPr>
            </w:pPr>
            <w:r>
              <w:rPr>
                <w:rFonts w:hint="eastAsia" w:ascii="Times New Roman" w:hAnsi="Times New Roman" w:eastAsia="宋体" w:cs="Times New Roman"/>
                <w:b w:val="0"/>
                <w:bCs w:val="0"/>
                <w:color w:val="auto"/>
                <w:kern w:val="24"/>
                <w:sz w:val="24"/>
                <w:szCs w:val="24"/>
                <w:lang w:val="en-US" w:eastAsia="zh-CN" w:bidi="ar-SA"/>
              </w:rPr>
              <w:t xml:space="preserve">根据相关资料调查，烹饪时动植物油一般油烟挥发量占总耗油量的 </w:t>
            </w:r>
            <w:r>
              <w:rPr>
                <w:rFonts w:hint="default" w:ascii="Times New Roman" w:hAnsi="Times New Roman" w:eastAsia="宋体" w:cs="Times New Roman"/>
                <w:b w:val="0"/>
                <w:bCs w:val="0"/>
                <w:color w:val="auto"/>
                <w:kern w:val="24"/>
                <w:sz w:val="24"/>
                <w:szCs w:val="24"/>
                <w:lang w:val="en-US" w:eastAsia="zh-CN" w:bidi="ar-SA"/>
              </w:rPr>
              <w:t>2</w:t>
            </w:r>
            <w:r>
              <w:rPr>
                <w:rFonts w:hint="eastAsia" w:ascii="Times New Roman" w:hAnsi="Times New Roman" w:eastAsia="宋体" w:cs="Times New Roman"/>
                <w:b w:val="0"/>
                <w:bCs w:val="0"/>
                <w:color w:val="auto"/>
                <w:kern w:val="24"/>
                <w:sz w:val="24"/>
                <w:szCs w:val="24"/>
                <w:lang w:val="en-US" w:eastAsia="zh-CN" w:bidi="ar-SA"/>
              </w:rPr>
              <w:t>～</w:t>
            </w:r>
            <w:r>
              <w:rPr>
                <w:rFonts w:hint="default" w:ascii="Times New Roman" w:hAnsi="Times New Roman" w:eastAsia="宋体" w:cs="Times New Roman"/>
                <w:b w:val="0"/>
                <w:bCs w:val="0"/>
                <w:color w:val="auto"/>
                <w:kern w:val="24"/>
                <w:sz w:val="24"/>
                <w:szCs w:val="24"/>
                <w:lang w:val="en-US" w:eastAsia="zh-CN" w:bidi="ar-SA"/>
              </w:rPr>
              <w:t>4%</w:t>
            </w:r>
            <w:r>
              <w:rPr>
                <w:rFonts w:hint="eastAsia" w:ascii="Times New Roman" w:hAnsi="Times New Roman" w:eastAsia="宋体" w:cs="Times New Roman"/>
                <w:b w:val="0"/>
                <w:bCs w:val="0"/>
                <w:color w:val="auto"/>
                <w:kern w:val="24"/>
                <w:sz w:val="24"/>
                <w:szCs w:val="24"/>
                <w:lang w:val="en-US" w:eastAsia="zh-CN" w:bidi="ar-SA"/>
              </w:rPr>
              <w:t>，本环评取</w:t>
            </w:r>
            <w:r>
              <w:rPr>
                <w:rFonts w:hint="default" w:ascii="Times New Roman" w:hAnsi="Times New Roman" w:eastAsia="宋体" w:cs="Times New Roman"/>
                <w:b w:val="0"/>
                <w:bCs w:val="0"/>
                <w:color w:val="auto"/>
                <w:kern w:val="24"/>
                <w:sz w:val="24"/>
                <w:szCs w:val="24"/>
                <w:lang w:val="en-US" w:eastAsia="zh-CN" w:bidi="ar-SA"/>
              </w:rPr>
              <w:t>3%</w:t>
            </w:r>
            <w:r>
              <w:rPr>
                <w:rFonts w:hint="eastAsia" w:ascii="Times New Roman" w:hAnsi="Times New Roman" w:eastAsia="宋体" w:cs="Times New Roman"/>
                <w:b w:val="0"/>
                <w:bCs w:val="0"/>
                <w:color w:val="auto"/>
                <w:kern w:val="24"/>
                <w:sz w:val="24"/>
                <w:szCs w:val="24"/>
                <w:lang w:val="en-US" w:eastAsia="zh-CN" w:bidi="ar-SA"/>
              </w:rPr>
              <w:t>。本项目中央厨房用油量为</w:t>
            </w:r>
            <w:r>
              <w:rPr>
                <w:rFonts w:hint="eastAsia" w:ascii="Times New Roman" w:cs="Times New Roman"/>
                <w:b w:val="0"/>
                <w:bCs w:val="0"/>
                <w:color w:val="auto"/>
                <w:kern w:val="24"/>
                <w:sz w:val="24"/>
                <w:szCs w:val="24"/>
                <w:lang w:val="en-US" w:eastAsia="zh-CN" w:bidi="ar-SA"/>
              </w:rPr>
              <w:t>110</w:t>
            </w:r>
            <w:r>
              <w:rPr>
                <w:rFonts w:hint="default" w:ascii="Times New Roman" w:hAnsi="Times New Roman" w:eastAsia="宋体" w:cs="Times New Roman"/>
                <w:b w:val="0"/>
                <w:bCs w:val="0"/>
                <w:color w:val="auto"/>
                <w:kern w:val="24"/>
                <w:sz w:val="24"/>
                <w:szCs w:val="24"/>
                <w:lang w:val="en-US" w:eastAsia="zh-CN" w:bidi="ar-SA"/>
              </w:rPr>
              <w:t>t/a</w:t>
            </w:r>
            <w:r>
              <w:rPr>
                <w:rFonts w:hint="eastAsia" w:ascii="Times New Roman" w:hAnsi="Times New Roman" w:eastAsia="宋体" w:cs="Times New Roman"/>
                <w:b w:val="0"/>
                <w:bCs w:val="0"/>
                <w:color w:val="auto"/>
                <w:kern w:val="24"/>
                <w:sz w:val="24"/>
                <w:szCs w:val="24"/>
                <w:lang w:val="en-US" w:eastAsia="zh-CN" w:bidi="ar-SA"/>
              </w:rPr>
              <w:t>，1号预制菜生产车间用油量</w:t>
            </w:r>
            <w:r>
              <w:rPr>
                <w:rFonts w:hint="eastAsia" w:ascii="Times New Roman" w:cs="Times New Roman"/>
                <w:b w:val="0"/>
                <w:bCs w:val="0"/>
                <w:color w:val="auto"/>
                <w:kern w:val="24"/>
                <w:sz w:val="24"/>
                <w:szCs w:val="24"/>
                <w:lang w:val="en-US" w:eastAsia="zh-CN" w:bidi="ar-SA"/>
              </w:rPr>
              <w:t>100</w:t>
            </w:r>
            <w:r>
              <w:rPr>
                <w:rFonts w:hint="default" w:ascii="Times New Roman" w:hAnsi="Times New Roman" w:eastAsia="宋体" w:cs="Times New Roman"/>
                <w:b w:val="0"/>
                <w:bCs w:val="0"/>
                <w:color w:val="auto"/>
                <w:kern w:val="24"/>
                <w:sz w:val="24"/>
                <w:szCs w:val="24"/>
                <w:lang w:val="en-US" w:eastAsia="zh-CN" w:bidi="ar-SA"/>
              </w:rPr>
              <w:t>t/a</w:t>
            </w:r>
            <w:r>
              <w:rPr>
                <w:rFonts w:hint="eastAsia" w:ascii="Times New Roman" w:hAnsi="Times New Roman" w:eastAsia="宋体" w:cs="Times New Roman"/>
                <w:b w:val="0"/>
                <w:bCs w:val="0"/>
                <w:color w:val="auto"/>
                <w:kern w:val="24"/>
                <w:sz w:val="24"/>
                <w:szCs w:val="24"/>
                <w:lang w:val="en-US" w:eastAsia="zh-CN" w:bidi="ar-SA"/>
              </w:rPr>
              <w:t>，则本项目中央厨房油烟总产生量为</w:t>
            </w:r>
            <w:r>
              <w:rPr>
                <w:rFonts w:hint="eastAsia" w:ascii="Times New Roman" w:cs="Times New Roman"/>
                <w:b w:val="0"/>
                <w:bCs w:val="0"/>
                <w:color w:val="auto"/>
                <w:kern w:val="24"/>
                <w:sz w:val="24"/>
                <w:szCs w:val="24"/>
                <w:lang w:val="en-US" w:eastAsia="zh-CN" w:bidi="ar-SA"/>
              </w:rPr>
              <w:t>3.3</w:t>
            </w:r>
            <w:r>
              <w:rPr>
                <w:rFonts w:hint="default" w:ascii="Times New Roman" w:hAnsi="Times New Roman" w:eastAsia="宋体" w:cs="Times New Roman"/>
                <w:b w:val="0"/>
                <w:bCs w:val="0"/>
                <w:color w:val="auto"/>
                <w:kern w:val="24"/>
                <w:sz w:val="24"/>
                <w:szCs w:val="24"/>
                <w:lang w:val="en-US" w:eastAsia="zh-CN" w:bidi="ar-SA"/>
              </w:rPr>
              <w:t>t/a</w:t>
            </w:r>
            <w:r>
              <w:rPr>
                <w:rFonts w:hint="eastAsia" w:ascii="Times New Roman" w:hAnsi="Times New Roman" w:eastAsia="宋体" w:cs="Times New Roman"/>
                <w:b w:val="0"/>
                <w:bCs w:val="0"/>
                <w:color w:val="auto"/>
                <w:kern w:val="24"/>
                <w:sz w:val="24"/>
                <w:szCs w:val="24"/>
                <w:lang w:val="en-US" w:eastAsia="zh-CN" w:bidi="ar-SA"/>
              </w:rPr>
              <w:t>，1号预制菜生产车间油烟总产生量为</w:t>
            </w:r>
            <w:r>
              <w:rPr>
                <w:rFonts w:hint="eastAsia" w:ascii="Times New Roman" w:cs="Times New Roman"/>
                <w:b w:val="0"/>
                <w:bCs w:val="0"/>
                <w:color w:val="auto"/>
                <w:kern w:val="24"/>
                <w:sz w:val="24"/>
                <w:szCs w:val="24"/>
                <w:lang w:val="en-US" w:eastAsia="zh-CN" w:bidi="ar-SA"/>
              </w:rPr>
              <w:t>3.0</w:t>
            </w:r>
            <w:r>
              <w:rPr>
                <w:rFonts w:hint="default" w:ascii="Times New Roman" w:hAnsi="Times New Roman" w:eastAsia="宋体" w:cs="Times New Roman"/>
                <w:b w:val="0"/>
                <w:bCs w:val="0"/>
                <w:color w:val="auto"/>
                <w:kern w:val="24"/>
                <w:sz w:val="24"/>
                <w:szCs w:val="24"/>
                <w:lang w:val="en-US" w:eastAsia="zh-CN" w:bidi="ar-SA"/>
              </w:rPr>
              <w:t>t/a</w:t>
            </w:r>
            <w:r>
              <w:rPr>
                <w:rFonts w:hint="eastAsia" w:ascii="Times New Roman" w:hAnsi="Times New Roman" w:eastAsia="宋体" w:cs="Times New Roman"/>
                <w:b w:val="0"/>
                <w:bCs w:val="0"/>
                <w:color w:val="auto"/>
                <w:kern w:val="24"/>
                <w:sz w:val="24"/>
                <w:szCs w:val="24"/>
                <w:lang w:val="en-US" w:eastAsia="zh-CN" w:bidi="ar-SA"/>
              </w:rPr>
              <w:t>。油烟废气通过集气罩经风机引至相应的</w:t>
            </w:r>
            <w:r>
              <w:rPr>
                <w:rFonts w:hint="eastAsia" w:ascii="Times New Roman" w:cs="Times New Roman"/>
                <w:b w:val="0"/>
                <w:bCs w:val="0"/>
                <w:color w:val="auto"/>
                <w:kern w:val="24"/>
                <w:sz w:val="24"/>
                <w:szCs w:val="24"/>
                <w:lang w:val="en-US" w:eastAsia="zh-CN" w:bidi="ar-SA"/>
              </w:rPr>
              <w:t>静电油烟净化装置</w:t>
            </w:r>
            <w:r>
              <w:rPr>
                <w:rFonts w:hint="eastAsia" w:ascii="Times New Roman" w:hAnsi="Times New Roman" w:eastAsia="宋体" w:cs="Times New Roman"/>
                <w:b w:val="0"/>
                <w:bCs w:val="0"/>
                <w:color w:val="auto"/>
                <w:kern w:val="24"/>
                <w:sz w:val="24"/>
                <w:szCs w:val="24"/>
                <w:lang w:val="en-US" w:eastAsia="zh-CN" w:bidi="ar-SA"/>
              </w:rPr>
              <w:t xml:space="preserve">处理，年工作时间 </w:t>
            </w:r>
            <w:r>
              <w:rPr>
                <w:rFonts w:hint="default" w:ascii="Times New Roman" w:hAnsi="Times New Roman" w:eastAsia="宋体" w:cs="Times New Roman"/>
                <w:b w:val="0"/>
                <w:bCs w:val="0"/>
                <w:color w:val="auto"/>
                <w:kern w:val="24"/>
                <w:sz w:val="24"/>
                <w:szCs w:val="24"/>
                <w:lang w:val="en-US" w:eastAsia="zh-CN" w:bidi="ar-SA"/>
              </w:rPr>
              <w:t>2400h</w:t>
            </w:r>
            <w:r>
              <w:rPr>
                <w:rFonts w:hint="eastAsia" w:ascii="Times New Roman" w:hAnsi="Times New Roman" w:eastAsia="宋体" w:cs="Times New Roman"/>
                <w:b w:val="0"/>
                <w:bCs w:val="0"/>
                <w:color w:val="auto"/>
                <w:kern w:val="24"/>
                <w:sz w:val="24"/>
                <w:szCs w:val="24"/>
                <w:lang w:val="en-US" w:eastAsia="zh-CN" w:bidi="ar-SA"/>
              </w:rPr>
              <w:t>，</w:t>
            </w:r>
            <w:r>
              <w:rPr>
                <w:rFonts w:hint="eastAsia" w:ascii="Times New Roman" w:cs="Times New Roman"/>
                <w:b w:val="0"/>
                <w:bCs w:val="0"/>
                <w:color w:val="auto"/>
                <w:kern w:val="24"/>
                <w:sz w:val="24"/>
                <w:szCs w:val="24"/>
                <w:lang w:val="en-US" w:eastAsia="zh-CN" w:bidi="ar-SA"/>
              </w:rPr>
              <w:t>静电油烟净化装置</w:t>
            </w:r>
            <w:r>
              <w:rPr>
                <w:rFonts w:hint="eastAsia" w:ascii="Times New Roman" w:hAnsi="Times New Roman" w:eastAsia="宋体" w:cs="Times New Roman"/>
                <w:b w:val="0"/>
                <w:bCs w:val="0"/>
                <w:color w:val="auto"/>
                <w:kern w:val="24"/>
                <w:sz w:val="24"/>
                <w:szCs w:val="24"/>
                <w:lang w:val="en-US" w:eastAsia="zh-CN" w:bidi="ar-SA"/>
              </w:rPr>
              <w:t>处理效率取</w:t>
            </w:r>
            <w:r>
              <w:rPr>
                <w:rFonts w:hint="eastAsia" w:ascii="Times New Roman" w:cs="Times New Roman"/>
                <w:b w:val="0"/>
                <w:bCs w:val="0"/>
                <w:color w:val="auto"/>
                <w:kern w:val="24"/>
                <w:sz w:val="24"/>
                <w:szCs w:val="24"/>
                <w:lang w:val="en-US" w:eastAsia="zh-CN" w:bidi="ar-SA"/>
              </w:rPr>
              <w:t>90</w:t>
            </w:r>
            <w:r>
              <w:rPr>
                <w:rFonts w:hint="default" w:ascii="Times New Roman" w:hAnsi="Times New Roman" w:eastAsia="宋体" w:cs="Times New Roman"/>
                <w:b w:val="0"/>
                <w:bCs w:val="0"/>
                <w:color w:val="auto"/>
                <w:kern w:val="24"/>
                <w:sz w:val="24"/>
                <w:szCs w:val="24"/>
                <w:lang w:val="en-US" w:eastAsia="zh-CN" w:bidi="ar-SA"/>
              </w:rPr>
              <w:t>%</w:t>
            </w:r>
            <w:r>
              <w:rPr>
                <w:rFonts w:hint="eastAsia" w:ascii="Times New Roman" w:hAnsi="Times New Roman" w:eastAsia="宋体" w:cs="Times New Roman"/>
                <w:b w:val="0"/>
                <w:bCs w:val="0"/>
                <w:color w:val="auto"/>
                <w:kern w:val="24"/>
                <w:sz w:val="24"/>
                <w:szCs w:val="24"/>
                <w:lang w:val="en-US" w:eastAsia="zh-CN" w:bidi="ar-SA"/>
              </w:rPr>
              <w:t>，则中央厨房油烟总排放量为</w:t>
            </w:r>
            <w:r>
              <w:rPr>
                <w:rFonts w:hint="eastAsia" w:ascii="Times New Roman" w:cs="Times New Roman"/>
                <w:b w:val="0"/>
                <w:bCs w:val="0"/>
                <w:color w:val="auto"/>
                <w:kern w:val="24"/>
                <w:sz w:val="24"/>
                <w:szCs w:val="24"/>
                <w:lang w:val="en-US" w:eastAsia="zh-CN" w:bidi="ar-SA"/>
              </w:rPr>
              <w:t>0.33</w:t>
            </w:r>
            <w:r>
              <w:rPr>
                <w:rFonts w:hint="default" w:ascii="Times New Roman" w:hAnsi="Times New Roman" w:eastAsia="宋体" w:cs="Times New Roman"/>
                <w:b w:val="0"/>
                <w:bCs w:val="0"/>
                <w:color w:val="auto"/>
                <w:kern w:val="24"/>
                <w:sz w:val="24"/>
                <w:szCs w:val="24"/>
                <w:lang w:val="en-US" w:eastAsia="zh-CN" w:bidi="ar-SA"/>
              </w:rPr>
              <w:t>t/a</w:t>
            </w:r>
            <w:r>
              <w:rPr>
                <w:rFonts w:hint="eastAsia" w:ascii="Times New Roman" w:hAnsi="Times New Roman" w:eastAsia="宋体" w:cs="Times New Roman"/>
                <w:b w:val="0"/>
                <w:bCs w:val="0"/>
                <w:color w:val="auto"/>
                <w:kern w:val="24"/>
                <w:sz w:val="24"/>
                <w:szCs w:val="24"/>
                <w:lang w:val="en-US" w:eastAsia="zh-CN" w:bidi="ar-SA"/>
              </w:rPr>
              <w:t>（</w:t>
            </w:r>
            <w:r>
              <w:rPr>
                <w:rFonts w:hint="eastAsia" w:ascii="Times New Roman" w:cs="Times New Roman"/>
                <w:b w:val="0"/>
                <w:bCs w:val="0"/>
                <w:color w:val="auto"/>
                <w:kern w:val="24"/>
                <w:sz w:val="24"/>
                <w:szCs w:val="24"/>
                <w:lang w:val="en-US" w:eastAsia="zh-CN" w:bidi="ar-SA"/>
              </w:rPr>
              <w:t>0.1375</w:t>
            </w:r>
            <w:r>
              <w:rPr>
                <w:rFonts w:hint="eastAsia" w:ascii="Times New Roman" w:hAnsi="Times New Roman" w:eastAsia="宋体" w:cs="Times New Roman"/>
                <w:b w:val="0"/>
                <w:bCs w:val="0"/>
                <w:color w:val="auto"/>
                <w:kern w:val="24"/>
                <w:sz w:val="24"/>
                <w:szCs w:val="24"/>
                <w:lang w:val="en-US" w:eastAsia="zh-CN" w:bidi="ar-SA"/>
              </w:rPr>
              <w:t>kg/h），1号预制菜生产车间油烟总排放量为</w:t>
            </w:r>
            <w:r>
              <w:rPr>
                <w:rFonts w:hint="eastAsia" w:ascii="Times New Roman" w:cs="Times New Roman"/>
                <w:b w:val="0"/>
                <w:bCs w:val="0"/>
                <w:color w:val="auto"/>
                <w:kern w:val="24"/>
                <w:sz w:val="24"/>
                <w:szCs w:val="24"/>
                <w:lang w:val="en-US" w:eastAsia="zh-CN" w:bidi="ar-SA"/>
              </w:rPr>
              <w:t>0.3</w:t>
            </w:r>
            <w:r>
              <w:rPr>
                <w:rFonts w:hint="default" w:ascii="Times New Roman" w:hAnsi="Times New Roman" w:eastAsia="宋体" w:cs="Times New Roman"/>
                <w:b w:val="0"/>
                <w:bCs w:val="0"/>
                <w:color w:val="auto"/>
                <w:kern w:val="24"/>
                <w:sz w:val="24"/>
                <w:szCs w:val="24"/>
                <w:lang w:val="en-US" w:eastAsia="zh-CN" w:bidi="ar-SA"/>
              </w:rPr>
              <w:t>t/a</w:t>
            </w:r>
            <w:r>
              <w:rPr>
                <w:rFonts w:hint="eastAsia" w:ascii="Times New Roman" w:hAnsi="Times New Roman" w:eastAsia="宋体" w:cs="Times New Roman"/>
                <w:b w:val="0"/>
                <w:bCs w:val="0"/>
                <w:color w:val="auto"/>
                <w:kern w:val="24"/>
                <w:sz w:val="24"/>
                <w:szCs w:val="24"/>
                <w:lang w:val="en-US" w:eastAsia="zh-CN" w:bidi="ar-SA"/>
              </w:rPr>
              <w:t>（</w:t>
            </w:r>
            <w:r>
              <w:rPr>
                <w:rFonts w:hint="eastAsia" w:ascii="Times New Roman" w:cs="Times New Roman"/>
                <w:b w:val="0"/>
                <w:bCs w:val="0"/>
                <w:color w:val="auto"/>
                <w:kern w:val="24"/>
                <w:sz w:val="24"/>
                <w:szCs w:val="24"/>
                <w:lang w:val="en-US" w:eastAsia="zh-CN" w:bidi="ar-SA"/>
              </w:rPr>
              <w:t>0.125</w:t>
            </w:r>
            <w:r>
              <w:rPr>
                <w:rFonts w:hint="eastAsia" w:ascii="Times New Roman" w:hAnsi="Times New Roman" w:eastAsia="宋体" w:cs="Times New Roman"/>
                <w:b w:val="0"/>
                <w:bCs w:val="0"/>
                <w:color w:val="auto"/>
                <w:kern w:val="24"/>
                <w:sz w:val="24"/>
                <w:szCs w:val="24"/>
                <w:lang w:val="en-US" w:eastAsia="zh-CN" w:bidi="ar-SA"/>
              </w:rPr>
              <w:t>kg/h）。</w:t>
            </w:r>
          </w:p>
          <w:p w14:paraId="2A5ED40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firstLine="482" w:firstLineChars="200"/>
              <w:jc w:val="both"/>
              <w:textAlignment w:val="auto"/>
              <w:rPr>
                <w:rFonts w:hint="eastAsia"/>
                <w:b/>
                <w:bCs/>
                <w:color w:val="auto"/>
                <w:szCs w:val="21"/>
                <w:lang w:val="en-US" w:eastAsia="zh-CN"/>
              </w:rPr>
            </w:pPr>
            <w:r>
              <w:rPr>
                <w:rFonts w:hint="default" w:ascii="Times New Roman" w:hAnsi="Times New Roman" w:cs="Times New Roman"/>
                <w:b/>
                <w:bCs/>
                <w:color w:val="auto"/>
                <w:sz w:val="24"/>
                <w:szCs w:val="24"/>
                <w:highlight w:val="none"/>
              </w:rPr>
              <w:t>②</w:t>
            </w:r>
            <w:r>
              <w:rPr>
                <w:rFonts w:hint="eastAsia" w:ascii="Times New Roman" w:hAnsi="Times New Roman" w:cs="Times New Roman"/>
                <w:b/>
                <w:bCs/>
                <w:color w:val="auto"/>
                <w:sz w:val="24"/>
                <w:szCs w:val="24"/>
                <w:highlight w:val="none"/>
                <w:lang w:val="en-US" w:eastAsia="zh-CN"/>
              </w:rPr>
              <w:t>燃气灶</w:t>
            </w:r>
            <w:r>
              <w:rPr>
                <w:rFonts w:hint="eastAsia"/>
                <w:b/>
                <w:bCs/>
                <w:color w:val="auto"/>
                <w:szCs w:val="21"/>
                <w:lang w:val="en-US" w:eastAsia="zh-CN"/>
              </w:rPr>
              <w:t>燃烧废气</w:t>
            </w:r>
          </w:p>
          <w:p w14:paraId="75BEAC1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eastAsia="宋体" w:cs="Times New Roman"/>
                <w:b w:val="0"/>
                <w:bCs w:val="0"/>
                <w:color w:val="auto"/>
                <w:kern w:val="24"/>
                <w:sz w:val="24"/>
                <w:szCs w:val="24"/>
                <w:lang w:val="en-US" w:eastAsia="zh-CN" w:bidi="ar-SA"/>
              </w:rPr>
            </w:pPr>
            <w:r>
              <w:rPr>
                <w:rFonts w:hint="default" w:ascii="Times New Roman" w:hAnsi="Times New Roman" w:eastAsia="宋体" w:cs="Times New Roman"/>
                <w:b w:val="0"/>
                <w:bCs w:val="0"/>
                <w:color w:val="auto"/>
                <w:kern w:val="24"/>
                <w:sz w:val="24"/>
                <w:szCs w:val="24"/>
                <w:lang w:val="en-US" w:eastAsia="zh-CN" w:bidi="ar-SA"/>
              </w:rPr>
              <w:t>本项目设置两个炒制区，一个位于中央厨房，一个位于1号预制菜生产车间。</w:t>
            </w:r>
            <w:r>
              <w:rPr>
                <w:rFonts w:hint="eastAsia" w:cs="Times New Roman"/>
                <w:color w:val="auto"/>
                <w:kern w:val="2"/>
                <w:sz w:val="24"/>
                <w:szCs w:val="24"/>
                <w:lang w:val="en-US" w:eastAsia="zh-CN" w:bidi="ar-SA"/>
              </w:rPr>
              <w:t>厨房天然气管道中的天然气燃烧给燃气灶供热时产生燃气灶燃烧废气，燃气灶燃烧废气将和油烟废气一起</w:t>
            </w:r>
            <w:r>
              <w:rPr>
                <w:rFonts w:hint="eastAsia" w:ascii="Times New Roman" w:cs="Times New Roman"/>
                <w:b w:val="0"/>
                <w:bCs w:val="0"/>
                <w:color w:val="auto"/>
                <w:kern w:val="24"/>
                <w:sz w:val="24"/>
                <w:szCs w:val="24"/>
                <w:lang w:val="en-US" w:eastAsia="zh-CN" w:bidi="ar-SA"/>
              </w:rPr>
              <w:t>经风机</w:t>
            </w:r>
            <w:r>
              <w:rPr>
                <w:rFonts w:hint="default" w:ascii="Times New Roman" w:hAnsi="Times New Roman" w:eastAsia="宋体" w:cs="Times New Roman"/>
                <w:b w:val="0"/>
                <w:bCs w:val="0"/>
                <w:color w:val="auto"/>
                <w:kern w:val="24"/>
                <w:sz w:val="24"/>
                <w:szCs w:val="24"/>
                <w:lang w:val="en-US" w:eastAsia="zh-CN" w:bidi="ar-SA"/>
              </w:rPr>
              <w:t>引至相应的</w:t>
            </w:r>
            <w:r>
              <w:rPr>
                <w:rFonts w:hint="eastAsia" w:ascii="Times New Roman" w:cs="Times New Roman"/>
                <w:b w:val="0"/>
                <w:bCs w:val="0"/>
                <w:color w:val="auto"/>
                <w:kern w:val="24"/>
                <w:sz w:val="24"/>
                <w:szCs w:val="24"/>
                <w:lang w:val="en-US" w:eastAsia="zh-CN" w:bidi="ar-SA"/>
              </w:rPr>
              <w:t>静电油烟净化装置</w:t>
            </w:r>
            <w:r>
              <w:rPr>
                <w:rFonts w:hint="default" w:ascii="Times New Roman" w:hAnsi="Times New Roman" w:eastAsia="宋体" w:cs="Times New Roman"/>
                <w:b w:val="0"/>
                <w:bCs w:val="0"/>
                <w:color w:val="auto"/>
                <w:kern w:val="24"/>
                <w:sz w:val="24"/>
                <w:szCs w:val="24"/>
                <w:lang w:val="en-US" w:eastAsia="zh-CN" w:bidi="ar-SA"/>
              </w:rPr>
              <w:t>处理，再经各自专用排烟管道高空排放</w:t>
            </w:r>
            <w:r>
              <w:rPr>
                <w:rFonts w:hint="default" w:ascii="Times New Roman" w:hAnsi="Times New Roman" w:cs="Times New Roman"/>
                <w:b w:val="0"/>
                <w:bCs/>
                <w:sz w:val="24"/>
                <w:szCs w:val="24"/>
                <w:lang w:val="en-US" w:eastAsia="zh-CN"/>
              </w:rPr>
              <w:t>（中央厨房DA001-DA004排气筒、1号预制菜车间DA007-DA014排气筒）</w:t>
            </w:r>
            <w:r>
              <w:rPr>
                <w:rFonts w:hint="default" w:ascii="Times New Roman" w:hAnsi="Times New Roman" w:eastAsia="宋体" w:cs="Times New Roman"/>
                <w:b w:val="0"/>
                <w:bCs w:val="0"/>
                <w:color w:val="auto"/>
                <w:kern w:val="24"/>
                <w:sz w:val="24"/>
                <w:szCs w:val="24"/>
                <w:lang w:val="en-US" w:eastAsia="zh-CN" w:bidi="ar-SA"/>
              </w:rPr>
              <w:t>。</w:t>
            </w:r>
          </w:p>
          <w:p w14:paraId="19C94068">
            <w:pPr>
              <w:pStyle w:val="6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eastAsia" w:ascii="Times New Roman" w:hAnsi="Times New Roman" w:eastAsia="宋体" w:cs="Times New Roman"/>
                <w:sz w:val="24"/>
                <w:szCs w:val="24"/>
                <w:lang w:val="en-US" w:eastAsia="zh-CN"/>
              </w:rPr>
            </w:pPr>
            <w:r>
              <w:rPr>
                <w:rFonts w:hint="eastAsia" w:eastAsia="宋体"/>
                <w:sz w:val="24"/>
                <w:szCs w:val="24"/>
                <w:lang w:val="en-US" w:eastAsia="zh-CN"/>
              </w:rPr>
              <w:t>燃气灶燃烧废气中的污染物颗粒物、二氧化硫、氮氧化物排放系数参考</w:t>
            </w:r>
            <w:r>
              <w:rPr>
                <w:rFonts w:hint="default" w:ascii="Times New Roman" w:hAnsi="Times New Roman" w:eastAsia="宋体" w:cs="Times New Roman"/>
                <w:sz w:val="24"/>
                <w:szCs w:val="24"/>
                <w:lang w:val="en-US" w:eastAsia="zh-CN"/>
              </w:rPr>
              <w:t>《排放源统计调查产排污核算方法和系数手册》（生态环境部公告 2021 年第 24 号）中《附3生活源-附表 生活源产排污系数手册》表 3-1 生活及其他大气污染物排放系数表单计算</w:t>
            </w:r>
            <w:r>
              <w:rPr>
                <w:rFonts w:hint="eastAsia" w:ascii="Times New Roman" w:hAnsi="Times New Roman" w:eastAsia="宋体" w:cs="Times New Roman"/>
                <w:sz w:val="24"/>
                <w:szCs w:val="24"/>
                <w:lang w:val="en-US" w:eastAsia="zh-CN"/>
              </w:rPr>
              <w:t>，具体产污系数见下表：</w:t>
            </w:r>
          </w:p>
          <w:p w14:paraId="3C969F1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eastAsia"/>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 xml:space="preserve"> </w:t>
            </w:r>
            <w:r>
              <w:rPr>
                <w:rFonts w:hint="eastAsia" w:ascii="Times New Roman"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燃气灶燃烧废气产</w:t>
            </w:r>
            <w:r>
              <w:rPr>
                <w:rFonts w:hint="eastAsia" w:ascii="Times New Roman" w:cs="Times New Roman"/>
                <w:b/>
                <w:bCs/>
                <w:color w:val="auto"/>
                <w:sz w:val="21"/>
                <w:szCs w:val="21"/>
                <w:highlight w:val="none"/>
                <w:lang w:val="en-US" w:eastAsia="zh-CN"/>
              </w:rPr>
              <w:t>污</w:t>
            </w:r>
            <w:r>
              <w:rPr>
                <w:rFonts w:hint="eastAsia" w:ascii="Times New Roman" w:hAnsi="Times New Roman" w:cs="Times New Roman"/>
                <w:b/>
                <w:bCs/>
                <w:color w:val="auto"/>
                <w:sz w:val="21"/>
                <w:szCs w:val="21"/>
                <w:highlight w:val="none"/>
                <w:lang w:val="en-US" w:eastAsia="zh-CN"/>
              </w:rPr>
              <w:t>系数表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2045"/>
              <w:gridCol w:w="2045"/>
              <w:gridCol w:w="2045"/>
            </w:tblGrid>
            <w:tr w14:paraId="747E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14:paraId="7A81AEA8">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bCs/>
                      <w:color w:val="auto"/>
                      <w:sz w:val="21"/>
                      <w:szCs w:val="21"/>
                      <w:highlight w:val="none"/>
                      <w:vertAlign w:val="baseline"/>
                      <w:lang w:val="en-US" w:eastAsia="zh-CN"/>
                    </w:rPr>
                    <w:t>污染物指标</w:t>
                  </w:r>
                </w:p>
              </w:tc>
              <w:tc>
                <w:tcPr>
                  <w:tcW w:w="2045" w:type="dxa"/>
                  <w:vAlign w:val="center"/>
                </w:tcPr>
                <w:p w14:paraId="7F6D9D19">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vertAlign w:val="baseline"/>
                      <w:lang w:val="en-US" w:eastAsia="zh-CN"/>
                    </w:rPr>
                    <w:t>排放源类型</w:t>
                  </w:r>
                </w:p>
              </w:tc>
              <w:tc>
                <w:tcPr>
                  <w:tcW w:w="2045" w:type="dxa"/>
                  <w:vAlign w:val="center"/>
                </w:tcPr>
                <w:p w14:paraId="6D1BAE3F">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bCs/>
                      <w:color w:val="auto"/>
                      <w:sz w:val="21"/>
                      <w:szCs w:val="21"/>
                      <w:highlight w:val="none"/>
                      <w:vertAlign w:val="baseline"/>
                      <w:lang w:val="en-US" w:eastAsia="zh-CN"/>
                    </w:rPr>
                    <w:t>产污系数</w:t>
                  </w:r>
                </w:p>
              </w:tc>
              <w:tc>
                <w:tcPr>
                  <w:tcW w:w="2045" w:type="dxa"/>
                  <w:vAlign w:val="center"/>
                </w:tcPr>
                <w:p w14:paraId="74E60A90">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bCs/>
                      <w:color w:val="auto"/>
                      <w:sz w:val="21"/>
                      <w:szCs w:val="21"/>
                      <w:highlight w:val="none"/>
                      <w:vertAlign w:val="baseline"/>
                      <w:lang w:val="en-US" w:eastAsia="zh-CN"/>
                    </w:rPr>
                    <w:t>单位</w:t>
                  </w:r>
                </w:p>
              </w:tc>
            </w:tr>
            <w:tr w14:paraId="553E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14:paraId="384369FC">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val="0"/>
                      <w:bCs w:val="0"/>
                      <w:color w:val="auto"/>
                      <w:sz w:val="21"/>
                      <w:szCs w:val="21"/>
                      <w:highlight w:val="none"/>
                      <w:vertAlign w:val="baseline"/>
                      <w:lang w:val="en-US" w:eastAsia="zh-CN"/>
                    </w:rPr>
                    <w:t>二氧化硫</w:t>
                  </w:r>
                </w:p>
              </w:tc>
              <w:tc>
                <w:tcPr>
                  <w:tcW w:w="2045" w:type="dxa"/>
                  <w:vMerge w:val="restart"/>
                  <w:vAlign w:val="center"/>
                </w:tcPr>
                <w:p w14:paraId="1FD3C77A">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vertAlign w:val="baseline"/>
                      <w:lang w:val="en-US" w:eastAsia="zh-CN"/>
                    </w:rPr>
                    <w:t>生活及其他天然气</w:t>
                  </w:r>
                </w:p>
              </w:tc>
              <w:tc>
                <w:tcPr>
                  <w:tcW w:w="2045" w:type="dxa"/>
                  <w:vAlign w:val="center"/>
                </w:tcPr>
                <w:p w14:paraId="4E35EA72">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val="0"/>
                      <w:bCs w:val="0"/>
                      <w:color w:val="auto"/>
                      <w:sz w:val="21"/>
                      <w:szCs w:val="21"/>
                      <w:highlight w:val="none"/>
                      <w:vertAlign w:val="baseline"/>
                      <w:lang w:val="en-US" w:eastAsia="zh-CN"/>
                    </w:rPr>
                    <w:t>0.0054</w:t>
                  </w:r>
                </w:p>
              </w:tc>
              <w:tc>
                <w:tcPr>
                  <w:tcW w:w="2045" w:type="dxa"/>
                  <w:vAlign w:val="center"/>
                </w:tcPr>
                <w:p w14:paraId="6BB583C3">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val="0"/>
                      <w:bCs w:val="0"/>
                      <w:color w:val="auto"/>
                      <w:sz w:val="21"/>
                      <w:szCs w:val="21"/>
                      <w:highlight w:val="none"/>
                      <w:vertAlign w:val="baseline"/>
                      <w:lang w:val="en-US" w:eastAsia="zh-CN"/>
                    </w:rPr>
                    <w:t>千克/万立方米-燃料</w:t>
                  </w:r>
                </w:p>
              </w:tc>
            </w:tr>
            <w:tr w14:paraId="71C6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14:paraId="7546CBCA">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val="0"/>
                      <w:bCs w:val="0"/>
                      <w:color w:val="auto"/>
                      <w:sz w:val="21"/>
                      <w:szCs w:val="21"/>
                      <w:highlight w:val="none"/>
                      <w:vertAlign w:val="baseline"/>
                      <w:lang w:val="en-US" w:eastAsia="zh-CN"/>
                    </w:rPr>
                    <w:t>氮氧化物</w:t>
                  </w:r>
                </w:p>
              </w:tc>
              <w:tc>
                <w:tcPr>
                  <w:tcW w:w="2045" w:type="dxa"/>
                  <w:vMerge w:val="continue"/>
                  <w:vAlign w:val="center"/>
                </w:tcPr>
                <w:p w14:paraId="35A02B0E">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p>
              </w:tc>
              <w:tc>
                <w:tcPr>
                  <w:tcW w:w="2045" w:type="dxa"/>
                  <w:vAlign w:val="center"/>
                </w:tcPr>
                <w:p w14:paraId="16EC5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val="0"/>
                      <w:bCs w:val="0"/>
                      <w:color w:val="auto"/>
                      <w:sz w:val="21"/>
                      <w:szCs w:val="21"/>
                      <w:highlight w:val="none"/>
                      <w:vertAlign w:val="baseline"/>
                      <w:lang w:val="en-US" w:eastAsia="zh-CN"/>
                    </w:rPr>
                    <w:t>12</w:t>
                  </w:r>
                </w:p>
              </w:tc>
              <w:tc>
                <w:tcPr>
                  <w:tcW w:w="2045" w:type="dxa"/>
                  <w:vAlign w:val="center"/>
                </w:tcPr>
                <w:p w14:paraId="1C10B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val="0"/>
                      <w:bCs w:val="0"/>
                      <w:color w:val="auto"/>
                      <w:sz w:val="21"/>
                      <w:szCs w:val="21"/>
                      <w:highlight w:val="none"/>
                      <w:vertAlign w:val="baseline"/>
                      <w:lang w:val="en-US" w:eastAsia="zh-CN"/>
                    </w:rPr>
                    <w:t>千克/万立方米-燃料</w:t>
                  </w:r>
                </w:p>
              </w:tc>
            </w:tr>
            <w:tr w14:paraId="4FCD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14:paraId="3461A43F">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vertAlign w:val="baseline"/>
                      <w:lang w:val="en-US" w:eastAsia="zh-CN"/>
                    </w:rPr>
                    <w:t>颗粒物</w:t>
                  </w:r>
                </w:p>
              </w:tc>
              <w:tc>
                <w:tcPr>
                  <w:tcW w:w="2045" w:type="dxa"/>
                  <w:vMerge w:val="continue"/>
                  <w:vAlign w:val="center"/>
                </w:tcPr>
                <w:p w14:paraId="50D8AE37">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p>
              </w:tc>
              <w:tc>
                <w:tcPr>
                  <w:tcW w:w="2045" w:type="dxa"/>
                  <w:vAlign w:val="center"/>
                </w:tcPr>
                <w:p w14:paraId="1942C5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val="0"/>
                      <w:bCs w:val="0"/>
                      <w:color w:val="auto"/>
                      <w:sz w:val="21"/>
                      <w:szCs w:val="21"/>
                      <w:highlight w:val="none"/>
                      <w:vertAlign w:val="baseline"/>
                      <w:lang w:val="en-US" w:eastAsia="zh-CN"/>
                    </w:rPr>
                    <w:t>1.1</w:t>
                  </w:r>
                </w:p>
              </w:tc>
              <w:tc>
                <w:tcPr>
                  <w:tcW w:w="2045" w:type="dxa"/>
                  <w:vAlign w:val="center"/>
                </w:tcPr>
                <w:p w14:paraId="1EF3B8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b w:val="0"/>
                      <w:bCs w:val="0"/>
                      <w:color w:val="auto"/>
                      <w:sz w:val="21"/>
                      <w:szCs w:val="21"/>
                      <w:highlight w:val="none"/>
                      <w:vertAlign w:val="baseline"/>
                      <w:lang w:val="en-US" w:eastAsia="zh-CN"/>
                    </w:rPr>
                    <w:t>千克/万立方米-燃料</w:t>
                  </w:r>
                </w:p>
              </w:tc>
            </w:tr>
          </w:tbl>
          <w:p w14:paraId="229F7D72">
            <w:pPr>
              <w:pStyle w:val="64"/>
              <w:rPr>
                <w:rFonts w:hint="default" w:ascii="Times New Roman" w:hAnsi="Times New Roman" w:cs="Times New Roman"/>
                <w:b w:val="0"/>
                <w:bCs w:val="0"/>
                <w:color w:val="auto"/>
                <w:kern w:val="0"/>
                <w:sz w:val="24"/>
                <w:szCs w:val="24"/>
                <w:lang w:val="en-US" w:eastAsia="zh-CN" w:bidi="ar-SA"/>
              </w:rPr>
            </w:pPr>
            <w:r>
              <w:rPr>
                <w:rFonts w:hint="eastAsia"/>
                <w:lang w:val="en-US" w:eastAsia="zh-CN"/>
              </w:rPr>
              <w:t>本项目中央厨房燃气灶所使用的天然气</w:t>
            </w:r>
            <w:r>
              <w:rPr>
                <w:rFonts w:hint="eastAsia" w:ascii="Times New Roman" w:hAnsi="Times New Roman" w:eastAsia="宋体" w:cs="Times New Roman"/>
                <w:b w:val="0"/>
                <w:bCs w:val="0"/>
                <w:color w:val="auto"/>
                <w:kern w:val="0"/>
                <w:sz w:val="24"/>
                <w:szCs w:val="24"/>
                <w:lang w:val="en-US" w:eastAsia="zh-CN" w:bidi="ar-SA"/>
              </w:rPr>
              <w:t>消</w:t>
            </w:r>
            <w:r>
              <w:rPr>
                <w:rFonts w:hint="default" w:ascii="Times New Roman" w:hAnsi="Times New Roman" w:eastAsia="宋体" w:cs="Times New Roman"/>
                <w:b w:val="0"/>
                <w:bCs w:val="0"/>
                <w:color w:val="auto"/>
                <w:kern w:val="0"/>
                <w:sz w:val="24"/>
                <w:szCs w:val="24"/>
                <w:lang w:val="en-US" w:eastAsia="zh-CN" w:bidi="ar-SA"/>
              </w:rPr>
              <w:t>耗量为</w:t>
            </w:r>
            <w:r>
              <w:rPr>
                <w:rFonts w:hint="default" w:ascii="Times New Roman" w:hAnsi="Times New Roman" w:cs="Times New Roman"/>
                <w:b w:val="0"/>
                <w:bCs w:val="0"/>
                <w:color w:val="auto"/>
                <w:kern w:val="0"/>
                <w:sz w:val="24"/>
                <w:szCs w:val="24"/>
                <w:lang w:val="en-US" w:eastAsia="zh-CN" w:bidi="ar-SA"/>
              </w:rPr>
              <w:t>18.24</w:t>
            </w:r>
            <w:r>
              <w:rPr>
                <w:rFonts w:hint="default" w:ascii="Times New Roman" w:hAnsi="Times New Roman" w:eastAsia="宋体" w:cs="Times New Roman"/>
                <w:b w:val="0"/>
                <w:bCs w:val="0"/>
                <w:color w:val="auto"/>
                <w:kern w:val="0"/>
                <w:sz w:val="24"/>
                <w:szCs w:val="24"/>
                <w:lang w:val="en-US" w:eastAsia="zh-CN" w:bidi="ar-SA"/>
              </w:rPr>
              <w:t>万m</w:t>
            </w:r>
            <w:r>
              <w:rPr>
                <w:rFonts w:hint="default" w:ascii="Times New Roman" w:hAnsi="Times New Roman" w:eastAsia="宋体" w:cs="Times New Roman"/>
                <w:b w:val="0"/>
                <w:bCs w:val="0"/>
                <w:color w:val="auto"/>
                <w:kern w:val="0"/>
                <w:sz w:val="24"/>
                <w:szCs w:val="24"/>
                <w:vertAlign w:val="superscript"/>
                <w:lang w:val="en-US" w:eastAsia="zh-CN" w:bidi="ar-SA"/>
              </w:rPr>
              <w:t>3</w:t>
            </w:r>
            <w:r>
              <w:rPr>
                <w:rFonts w:hint="default" w:ascii="Times New Roman" w:hAnsi="Times New Roman" w:eastAsia="宋体" w:cs="Times New Roman"/>
                <w:b w:val="0"/>
                <w:bCs w:val="0"/>
                <w:color w:val="auto"/>
                <w:kern w:val="0"/>
                <w:sz w:val="24"/>
                <w:szCs w:val="24"/>
                <w:lang w:val="en-US" w:eastAsia="zh-CN" w:bidi="ar-SA"/>
              </w:rPr>
              <w:t>/a，则中央</w:t>
            </w:r>
            <w:r>
              <w:rPr>
                <w:rFonts w:hint="default" w:ascii="Times New Roman" w:hAnsi="Times New Roman" w:cs="Times New Roman"/>
                <w:lang w:val="en-US" w:eastAsia="zh-CN"/>
              </w:rPr>
              <w:t>厨房总</w:t>
            </w:r>
            <w:r>
              <w:rPr>
                <w:rFonts w:hint="default" w:ascii="Times New Roman" w:hAnsi="Times New Roman" w:eastAsia="宋体" w:cs="Times New Roman"/>
                <w:sz w:val="24"/>
                <w:szCs w:val="24"/>
                <w:lang w:val="en-US" w:eastAsia="zh-CN"/>
              </w:rPr>
              <w:t>燃气灶燃烧废气</w:t>
            </w:r>
            <w:r>
              <w:rPr>
                <w:rFonts w:hint="default" w:ascii="Times New Roman" w:hAnsi="Times New Roman" w:cs="Times New Roman"/>
                <w:b w:val="0"/>
                <w:bCs w:val="0"/>
                <w:color w:val="auto"/>
                <w:kern w:val="0"/>
                <w:sz w:val="24"/>
                <w:szCs w:val="24"/>
                <w:lang w:val="en-US" w:eastAsia="zh-CN" w:bidi="ar-SA"/>
              </w:rPr>
              <w:t>中颗粒物产生量约为0.</w:t>
            </w:r>
            <w:r>
              <w:rPr>
                <w:rFonts w:hint="eastAsia" w:ascii="Times New Roman" w:hAnsi="Times New Roman" w:cs="Times New Roman"/>
                <w:b w:val="0"/>
                <w:bCs w:val="0"/>
                <w:color w:val="auto"/>
                <w:kern w:val="0"/>
                <w:sz w:val="24"/>
                <w:szCs w:val="24"/>
                <w:lang w:val="en-US" w:eastAsia="zh-CN" w:bidi="ar-SA"/>
              </w:rPr>
              <w:t>0201</w:t>
            </w:r>
            <w:r>
              <w:rPr>
                <w:rFonts w:hint="default" w:ascii="Times New Roman" w:hAnsi="Times New Roman" w:cs="Times New Roman"/>
                <w:b w:val="0"/>
                <w:bCs w:val="0"/>
                <w:color w:val="auto"/>
                <w:kern w:val="0"/>
                <w:sz w:val="24"/>
                <w:szCs w:val="24"/>
                <w:lang w:val="en-US" w:eastAsia="zh-CN" w:bidi="ar-SA"/>
              </w:rPr>
              <w:t>t/a，二氧化硫产生量约为0.0</w:t>
            </w:r>
            <w:r>
              <w:rPr>
                <w:rFonts w:hint="eastAsia" w:ascii="Times New Roman" w:hAnsi="Times New Roman" w:cs="Times New Roman"/>
                <w:b w:val="0"/>
                <w:bCs w:val="0"/>
                <w:color w:val="auto"/>
                <w:kern w:val="0"/>
                <w:sz w:val="24"/>
                <w:szCs w:val="24"/>
                <w:lang w:val="en-US" w:eastAsia="zh-CN" w:bidi="ar-SA"/>
              </w:rPr>
              <w:t>001</w:t>
            </w:r>
            <w:r>
              <w:rPr>
                <w:rFonts w:hint="default" w:ascii="Times New Roman" w:hAnsi="Times New Roman" w:cs="Times New Roman"/>
                <w:b w:val="0"/>
                <w:bCs w:val="0"/>
                <w:color w:val="auto"/>
                <w:kern w:val="0"/>
                <w:sz w:val="24"/>
                <w:szCs w:val="24"/>
                <w:lang w:val="en-US" w:eastAsia="zh-CN" w:bidi="ar-SA"/>
              </w:rPr>
              <w:t>t/a，氮氧化物产生量约为0.</w:t>
            </w:r>
            <w:r>
              <w:rPr>
                <w:rFonts w:hint="eastAsia" w:ascii="Times New Roman" w:hAnsi="Times New Roman" w:cs="Times New Roman"/>
                <w:b w:val="0"/>
                <w:bCs w:val="0"/>
                <w:color w:val="auto"/>
                <w:kern w:val="0"/>
                <w:sz w:val="24"/>
                <w:szCs w:val="24"/>
                <w:lang w:val="en-US" w:eastAsia="zh-CN" w:bidi="ar-SA"/>
              </w:rPr>
              <w:t>2189</w:t>
            </w:r>
            <w:r>
              <w:rPr>
                <w:rFonts w:hint="default" w:ascii="Times New Roman" w:hAnsi="Times New Roman" w:cs="Times New Roman"/>
                <w:b w:val="0"/>
                <w:bCs w:val="0"/>
                <w:color w:val="auto"/>
                <w:kern w:val="0"/>
                <w:sz w:val="24"/>
                <w:szCs w:val="24"/>
                <w:lang w:val="en-US" w:eastAsia="zh-CN" w:bidi="ar-SA"/>
              </w:rPr>
              <w:t>t/a</w:t>
            </w:r>
            <w:r>
              <w:rPr>
                <w:rFonts w:hint="eastAsia" w:ascii="Times New Roman" w:hAnsi="Times New Roman" w:cs="Times New Roman"/>
                <w:b w:val="0"/>
                <w:bCs w:val="0"/>
                <w:color w:val="auto"/>
                <w:kern w:val="0"/>
                <w:sz w:val="24"/>
                <w:szCs w:val="24"/>
                <w:lang w:val="en-US" w:eastAsia="zh-CN" w:bidi="ar-SA"/>
              </w:rPr>
              <w:t>，经收集后和油烟废气一起</w:t>
            </w:r>
            <w:r>
              <w:rPr>
                <w:rFonts w:hint="eastAsia" w:ascii="Times New Roman" w:cs="Times New Roman"/>
                <w:b w:val="0"/>
                <w:bCs w:val="0"/>
                <w:color w:val="auto"/>
                <w:kern w:val="24"/>
                <w:sz w:val="24"/>
                <w:szCs w:val="24"/>
                <w:lang w:val="en-US" w:eastAsia="zh-CN" w:bidi="ar-SA"/>
              </w:rPr>
              <w:t>经风机</w:t>
            </w:r>
            <w:r>
              <w:rPr>
                <w:rFonts w:hint="default" w:ascii="Times New Roman" w:hAnsi="Times New Roman" w:eastAsia="宋体" w:cs="Times New Roman"/>
                <w:b w:val="0"/>
                <w:bCs w:val="0"/>
                <w:color w:val="auto"/>
                <w:kern w:val="24"/>
                <w:sz w:val="24"/>
                <w:szCs w:val="24"/>
                <w:lang w:val="en-US" w:eastAsia="zh-CN" w:bidi="ar-SA"/>
              </w:rPr>
              <w:t>引至相应的</w:t>
            </w:r>
            <w:r>
              <w:rPr>
                <w:rFonts w:hint="eastAsia" w:ascii="Times New Roman" w:cs="Times New Roman"/>
                <w:b w:val="0"/>
                <w:bCs w:val="0"/>
                <w:color w:val="auto"/>
                <w:kern w:val="24"/>
                <w:sz w:val="24"/>
                <w:szCs w:val="24"/>
                <w:lang w:val="en-US" w:eastAsia="zh-CN" w:bidi="ar-SA"/>
              </w:rPr>
              <w:t>静电油烟净化装置</w:t>
            </w:r>
            <w:r>
              <w:rPr>
                <w:rFonts w:hint="default" w:ascii="Times New Roman" w:hAnsi="Times New Roman" w:eastAsia="宋体" w:cs="Times New Roman"/>
                <w:b w:val="0"/>
                <w:bCs w:val="0"/>
                <w:color w:val="auto"/>
                <w:kern w:val="24"/>
                <w:sz w:val="24"/>
                <w:szCs w:val="24"/>
                <w:lang w:val="en-US" w:eastAsia="zh-CN" w:bidi="ar-SA"/>
              </w:rPr>
              <w:t>处理</w:t>
            </w:r>
            <w:r>
              <w:rPr>
                <w:rFonts w:hint="eastAsia" w:ascii="Times New Roman" w:hAnsi="Times New Roman" w:eastAsia="宋体" w:cs="Times New Roman"/>
                <w:b w:val="0"/>
                <w:bCs w:val="0"/>
                <w:color w:val="auto"/>
                <w:kern w:val="24"/>
                <w:sz w:val="24"/>
                <w:szCs w:val="24"/>
                <w:lang w:val="en-US" w:eastAsia="zh-CN" w:bidi="ar-SA"/>
              </w:rPr>
              <w:t>后，通过</w:t>
            </w:r>
            <w:r>
              <w:rPr>
                <w:rFonts w:hint="default" w:ascii="Times New Roman" w:hAnsi="Times New Roman" w:cs="Times New Roman"/>
                <w:b w:val="0"/>
                <w:bCs/>
                <w:sz w:val="24"/>
                <w:szCs w:val="24"/>
                <w:lang w:val="en-US" w:eastAsia="zh-CN"/>
              </w:rPr>
              <w:t>中央厨房DA001-DA004排气筒</w:t>
            </w:r>
            <w:r>
              <w:rPr>
                <w:rFonts w:hint="eastAsia" w:ascii="Times New Roman" w:hAnsi="Times New Roman" w:cs="Times New Roman"/>
                <w:b w:val="0"/>
                <w:bCs/>
                <w:sz w:val="24"/>
                <w:szCs w:val="24"/>
                <w:lang w:val="en-US" w:eastAsia="zh-CN"/>
              </w:rPr>
              <w:t>排放。</w:t>
            </w:r>
          </w:p>
          <w:p w14:paraId="111EAE4C">
            <w:pPr>
              <w:pStyle w:val="64"/>
              <w:rPr>
                <w:rFonts w:hint="default" w:ascii="Times New Roman" w:hAnsi="Times New Roman" w:cs="Times New Roman"/>
                <w:b w:val="0"/>
                <w:bCs w:val="0"/>
                <w:color w:val="auto"/>
                <w:kern w:val="0"/>
                <w:sz w:val="24"/>
                <w:szCs w:val="24"/>
                <w:lang w:val="en-US" w:eastAsia="zh-CN" w:bidi="ar-SA"/>
              </w:rPr>
            </w:pPr>
            <w:r>
              <w:rPr>
                <w:rFonts w:hint="eastAsia" w:ascii="Times New Roman" w:hAnsi="Times New Roman" w:cs="Times New Roman"/>
                <w:lang w:val="en-US" w:eastAsia="zh-CN"/>
              </w:rPr>
              <w:t>本项目</w:t>
            </w:r>
            <w:r>
              <w:rPr>
                <w:rFonts w:hint="default" w:ascii="Times New Roman" w:hAnsi="Times New Roman" w:cs="Times New Roman"/>
                <w:lang w:val="en-US" w:eastAsia="zh-CN"/>
              </w:rPr>
              <w:t>1号</w:t>
            </w:r>
            <w:r>
              <w:rPr>
                <w:rFonts w:hint="eastAsia"/>
                <w:lang w:val="en-US" w:eastAsia="zh-CN"/>
              </w:rPr>
              <w:t>预制菜车间所</w:t>
            </w:r>
            <w:r>
              <w:rPr>
                <w:rFonts w:hint="default" w:ascii="Times New Roman" w:hAnsi="Times New Roman" w:cs="Times New Roman"/>
                <w:lang w:val="en-US" w:eastAsia="zh-CN"/>
              </w:rPr>
              <w:t>使用的天然气</w:t>
            </w:r>
            <w:r>
              <w:rPr>
                <w:rFonts w:hint="default" w:ascii="Times New Roman" w:hAnsi="Times New Roman" w:eastAsia="宋体" w:cs="Times New Roman"/>
                <w:b w:val="0"/>
                <w:bCs w:val="0"/>
                <w:color w:val="auto"/>
                <w:kern w:val="0"/>
                <w:sz w:val="24"/>
                <w:szCs w:val="24"/>
                <w:lang w:val="en-US" w:eastAsia="zh-CN" w:bidi="ar-SA"/>
              </w:rPr>
              <w:t>消耗量为</w:t>
            </w:r>
            <w:r>
              <w:rPr>
                <w:rFonts w:hint="default" w:ascii="Times New Roman" w:hAnsi="Times New Roman" w:cs="Times New Roman"/>
                <w:b w:val="0"/>
                <w:bCs w:val="0"/>
                <w:color w:val="auto"/>
                <w:kern w:val="0"/>
                <w:sz w:val="24"/>
                <w:szCs w:val="24"/>
                <w:lang w:val="en-US" w:eastAsia="zh-CN" w:bidi="ar-SA"/>
              </w:rPr>
              <w:t>13.44</w:t>
            </w:r>
            <w:r>
              <w:rPr>
                <w:rFonts w:hint="default" w:ascii="Times New Roman" w:hAnsi="Times New Roman" w:eastAsia="宋体" w:cs="Times New Roman"/>
                <w:b w:val="0"/>
                <w:bCs w:val="0"/>
                <w:color w:val="auto"/>
                <w:kern w:val="0"/>
                <w:sz w:val="24"/>
                <w:szCs w:val="24"/>
                <w:lang w:val="en-US" w:eastAsia="zh-CN" w:bidi="ar-SA"/>
              </w:rPr>
              <w:t>万m</w:t>
            </w:r>
            <w:r>
              <w:rPr>
                <w:rFonts w:hint="default" w:ascii="Times New Roman" w:hAnsi="Times New Roman" w:eastAsia="宋体" w:cs="Times New Roman"/>
                <w:b w:val="0"/>
                <w:bCs w:val="0"/>
                <w:color w:val="auto"/>
                <w:kern w:val="0"/>
                <w:sz w:val="24"/>
                <w:szCs w:val="24"/>
                <w:vertAlign w:val="superscript"/>
                <w:lang w:val="en-US" w:eastAsia="zh-CN" w:bidi="ar-SA"/>
              </w:rPr>
              <w:t>3</w:t>
            </w:r>
            <w:r>
              <w:rPr>
                <w:rFonts w:hint="default" w:ascii="Times New Roman" w:hAnsi="Times New Roman" w:eastAsia="宋体" w:cs="Times New Roman"/>
                <w:b w:val="0"/>
                <w:bCs w:val="0"/>
                <w:color w:val="auto"/>
                <w:kern w:val="0"/>
                <w:sz w:val="24"/>
                <w:szCs w:val="24"/>
                <w:lang w:val="en-US" w:eastAsia="zh-CN" w:bidi="ar-SA"/>
              </w:rPr>
              <w:t>/a，则</w:t>
            </w:r>
            <w:r>
              <w:rPr>
                <w:rFonts w:hint="default" w:ascii="Times New Roman" w:hAnsi="Times New Roman" w:cs="Times New Roman"/>
                <w:lang w:val="en-US" w:eastAsia="zh-CN"/>
              </w:rPr>
              <w:t>1号</w:t>
            </w:r>
            <w:r>
              <w:rPr>
                <w:rFonts w:hint="eastAsia"/>
                <w:lang w:val="en-US" w:eastAsia="zh-CN"/>
              </w:rPr>
              <w:t>预制菜车间</w:t>
            </w:r>
            <w:r>
              <w:rPr>
                <w:rFonts w:hint="default" w:ascii="Times New Roman" w:hAnsi="Times New Roman" w:cs="Times New Roman"/>
                <w:lang w:val="en-US" w:eastAsia="zh-CN"/>
              </w:rPr>
              <w:t>总</w:t>
            </w:r>
            <w:r>
              <w:rPr>
                <w:rFonts w:hint="default" w:ascii="Times New Roman" w:hAnsi="Times New Roman" w:eastAsia="宋体" w:cs="Times New Roman"/>
                <w:sz w:val="24"/>
                <w:szCs w:val="24"/>
                <w:lang w:val="en-US" w:eastAsia="zh-CN"/>
              </w:rPr>
              <w:t>燃气灶燃烧废气</w:t>
            </w:r>
            <w:r>
              <w:rPr>
                <w:rFonts w:hint="default" w:ascii="Times New Roman" w:hAnsi="Times New Roman" w:cs="Times New Roman"/>
                <w:b w:val="0"/>
                <w:bCs w:val="0"/>
                <w:color w:val="auto"/>
                <w:kern w:val="0"/>
                <w:sz w:val="24"/>
                <w:szCs w:val="24"/>
                <w:lang w:val="en-US" w:eastAsia="zh-CN" w:bidi="ar-SA"/>
              </w:rPr>
              <w:t>中颗粒物产生量约为0.</w:t>
            </w:r>
            <w:r>
              <w:rPr>
                <w:rFonts w:hint="eastAsia" w:ascii="Times New Roman" w:hAnsi="Times New Roman" w:cs="Times New Roman"/>
                <w:b w:val="0"/>
                <w:bCs w:val="0"/>
                <w:color w:val="auto"/>
                <w:kern w:val="0"/>
                <w:sz w:val="24"/>
                <w:szCs w:val="24"/>
                <w:lang w:val="en-US" w:eastAsia="zh-CN" w:bidi="ar-SA"/>
              </w:rPr>
              <w:t>0148</w:t>
            </w:r>
            <w:r>
              <w:rPr>
                <w:rFonts w:hint="default" w:ascii="Times New Roman" w:hAnsi="Times New Roman" w:cs="Times New Roman"/>
                <w:b w:val="0"/>
                <w:bCs w:val="0"/>
                <w:color w:val="auto"/>
                <w:kern w:val="0"/>
                <w:sz w:val="24"/>
                <w:szCs w:val="24"/>
                <w:lang w:val="en-US" w:eastAsia="zh-CN" w:bidi="ar-SA"/>
              </w:rPr>
              <w:t>t/a，二氧化硫产生量约为0.0</w:t>
            </w:r>
            <w:r>
              <w:rPr>
                <w:rFonts w:hint="eastAsia" w:ascii="Times New Roman" w:hAnsi="Times New Roman" w:cs="Times New Roman"/>
                <w:b w:val="0"/>
                <w:bCs w:val="0"/>
                <w:color w:val="auto"/>
                <w:kern w:val="0"/>
                <w:sz w:val="24"/>
                <w:szCs w:val="24"/>
                <w:lang w:val="en-US" w:eastAsia="zh-CN" w:bidi="ar-SA"/>
              </w:rPr>
              <w:t>0007</w:t>
            </w:r>
            <w:r>
              <w:rPr>
                <w:rFonts w:hint="default" w:ascii="Times New Roman" w:hAnsi="Times New Roman" w:cs="Times New Roman"/>
                <w:b w:val="0"/>
                <w:bCs w:val="0"/>
                <w:color w:val="auto"/>
                <w:kern w:val="0"/>
                <w:sz w:val="24"/>
                <w:szCs w:val="24"/>
                <w:lang w:val="en-US" w:eastAsia="zh-CN" w:bidi="ar-SA"/>
              </w:rPr>
              <w:t>t/a，氮氧化物产生量约为0.</w:t>
            </w:r>
            <w:r>
              <w:rPr>
                <w:rFonts w:hint="eastAsia" w:ascii="Times New Roman" w:hAnsi="Times New Roman" w:cs="Times New Roman"/>
                <w:b w:val="0"/>
                <w:bCs w:val="0"/>
                <w:color w:val="auto"/>
                <w:kern w:val="0"/>
                <w:sz w:val="24"/>
                <w:szCs w:val="24"/>
                <w:lang w:val="en-US" w:eastAsia="zh-CN" w:bidi="ar-SA"/>
              </w:rPr>
              <w:t>1613</w:t>
            </w:r>
            <w:r>
              <w:rPr>
                <w:rFonts w:hint="default" w:ascii="Times New Roman" w:hAnsi="Times New Roman" w:cs="Times New Roman"/>
                <w:b w:val="0"/>
                <w:bCs w:val="0"/>
                <w:color w:val="auto"/>
                <w:kern w:val="0"/>
                <w:sz w:val="24"/>
                <w:szCs w:val="24"/>
                <w:lang w:val="en-US" w:eastAsia="zh-CN" w:bidi="ar-SA"/>
              </w:rPr>
              <w:t>t/a</w:t>
            </w:r>
            <w:r>
              <w:rPr>
                <w:rFonts w:hint="eastAsia" w:ascii="Times New Roman" w:hAnsi="Times New Roman" w:cs="Times New Roman"/>
                <w:b w:val="0"/>
                <w:bCs w:val="0"/>
                <w:color w:val="auto"/>
                <w:kern w:val="0"/>
                <w:sz w:val="24"/>
                <w:szCs w:val="24"/>
                <w:lang w:val="en-US" w:eastAsia="zh-CN" w:bidi="ar-SA"/>
              </w:rPr>
              <w:t>，经收集后和油烟废气一起</w:t>
            </w:r>
            <w:r>
              <w:rPr>
                <w:rFonts w:hint="eastAsia" w:ascii="Times New Roman" w:cs="Times New Roman"/>
                <w:b w:val="0"/>
                <w:bCs w:val="0"/>
                <w:color w:val="auto"/>
                <w:kern w:val="24"/>
                <w:sz w:val="24"/>
                <w:szCs w:val="24"/>
                <w:lang w:val="en-US" w:eastAsia="zh-CN" w:bidi="ar-SA"/>
              </w:rPr>
              <w:t>经风机</w:t>
            </w:r>
            <w:r>
              <w:rPr>
                <w:rFonts w:hint="default" w:ascii="Times New Roman" w:hAnsi="Times New Roman" w:eastAsia="宋体" w:cs="Times New Roman"/>
                <w:b w:val="0"/>
                <w:bCs w:val="0"/>
                <w:color w:val="auto"/>
                <w:kern w:val="24"/>
                <w:sz w:val="24"/>
                <w:szCs w:val="24"/>
                <w:lang w:val="en-US" w:eastAsia="zh-CN" w:bidi="ar-SA"/>
              </w:rPr>
              <w:t>引至相应的</w:t>
            </w:r>
            <w:r>
              <w:rPr>
                <w:rFonts w:hint="eastAsia" w:ascii="Times New Roman" w:cs="Times New Roman"/>
                <w:b w:val="0"/>
                <w:bCs w:val="0"/>
                <w:color w:val="auto"/>
                <w:kern w:val="24"/>
                <w:sz w:val="24"/>
                <w:szCs w:val="24"/>
                <w:lang w:val="en-US" w:eastAsia="zh-CN" w:bidi="ar-SA"/>
              </w:rPr>
              <w:t>静电油烟净化装置</w:t>
            </w:r>
            <w:r>
              <w:rPr>
                <w:rFonts w:hint="default" w:ascii="Times New Roman" w:hAnsi="Times New Roman" w:eastAsia="宋体" w:cs="Times New Roman"/>
                <w:b w:val="0"/>
                <w:bCs w:val="0"/>
                <w:color w:val="auto"/>
                <w:kern w:val="24"/>
                <w:sz w:val="24"/>
                <w:szCs w:val="24"/>
                <w:lang w:val="en-US" w:eastAsia="zh-CN" w:bidi="ar-SA"/>
              </w:rPr>
              <w:t>处理</w:t>
            </w:r>
            <w:r>
              <w:rPr>
                <w:rFonts w:hint="eastAsia" w:ascii="Times New Roman" w:hAnsi="Times New Roman" w:eastAsia="宋体" w:cs="Times New Roman"/>
                <w:b w:val="0"/>
                <w:bCs w:val="0"/>
                <w:color w:val="auto"/>
                <w:kern w:val="24"/>
                <w:sz w:val="24"/>
                <w:szCs w:val="24"/>
                <w:lang w:val="en-US" w:eastAsia="zh-CN" w:bidi="ar-SA"/>
              </w:rPr>
              <w:t>后，通过</w:t>
            </w:r>
            <w:r>
              <w:rPr>
                <w:rFonts w:hint="eastAsia" w:ascii="Times New Roman" w:hAnsi="Times New Roman" w:cs="Times New Roman"/>
                <w:b w:val="0"/>
                <w:bCs w:val="0"/>
                <w:color w:val="auto"/>
                <w:kern w:val="24"/>
                <w:sz w:val="24"/>
                <w:szCs w:val="24"/>
                <w:lang w:val="en-US" w:eastAsia="zh-CN" w:bidi="ar-SA"/>
              </w:rPr>
              <w:t>1号预制菜车间</w:t>
            </w:r>
            <w:r>
              <w:rPr>
                <w:rFonts w:hint="default" w:ascii="Times New Roman" w:hAnsi="Times New Roman" w:cs="Times New Roman"/>
                <w:b w:val="0"/>
                <w:bCs/>
                <w:sz w:val="24"/>
                <w:szCs w:val="24"/>
                <w:lang w:val="en-US" w:eastAsia="zh-CN"/>
              </w:rPr>
              <w:t>DA00</w:t>
            </w:r>
            <w:r>
              <w:rPr>
                <w:rFonts w:hint="eastAsia" w:ascii="Times New Roman" w:hAnsi="Times New Roman" w:cs="Times New Roman"/>
                <w:b w:val="0"/>
                <w:bCs/>
                <w:sz w:val="24"/>
                <w:szCs w:val="24"/>
                <w:lang w:val="en-US" w:eastAsia="zh-CN"/>
              </w:rPr>
              <w:t>7</w:t>
            </w:r>
            <w:r>
              <w:rPr>
                <w:rFonts w:hint="default" w:ascii="Times New Roman" w:hAnsi="Times New Roman" w:cs="Times New Roman"/>
                <w:b w:val="0"/>
                <w:bCs/>
                <w:sz w:val="24"/>
                <w:szCs w:val="24"/>
                <w:lang w:val="en-US" w:eastAsia="zh-CN"/>
              </w:rPr>
              <w:t>-DA0</w:t>
            </w:r>
            <w:r>
              <w:rPr>
                <w:rFonts w:hint="eastAsia" w:ascii="Times New Roman" w:hAnsi="Times New Roman" w:cs="Times New Roman"/>
                <w:b w:val="0"/>
                <w:bCs/>
                <w:sz w:val="24"/>
                <w:szCs w:val="24"/>
                <w:lang w:val="en-US" w:eastAsia="zh-CN"/>
              </w:rPr>
              <w:t>14</w:t>
            </w:r>
            <w:r>
              <w:rPr>
                <w:rFonts w:hint="default" w:ascii="Times New Roman" w:hAnsi="Times New Roman" w:cs="Times New Roman"/>
                <w:b w:val="0"/>
                <w:bCs/>
                <w:sz w:val="24"/>
                <w:szCs w:val="24"/>
                <w:lang w:val="en-US" w:eastAsia="zh-CN"/>
              </w:rPr>
              <w:t>排气筒</w:t>
            </w:r>
            <w:r>
              <w:rPr>
                <w:rFonts w:hint="eastAsia" w:ascii="Times New Roman" w:hAnsi="Times New Roman" w:cs="Times New Roman"/>
                <w:b w:val="0"/>
                <w:bCs/>
                <w:sz w:val="24"/>
                <w:szCs w:val="24"/>
                <w:lang w:val="en-US" w:eastAsia="zh-CN"/>
              </w:rPr>
              <w:t>排放。</w:t>
            </w:r>
          </w:p>
          <w:p w14:paraId="3ABD46DC">
            <w:pPr>
              <w:pStyle w:val="64"/>
              <w:rPr>
                <w:rFonts w:hint="default"/>
                <w:lang w:val="en-US" w:eastAsia="zh-CN"/>
              </w:rPr>
            </w:pPr>
            <w:r>
              <w:rPr>
                <w:rFonts w:hint="eastAsia" w:ascii="Times New Roman" w:hAnsi="Times New Roman" w:cs="Times New Roman"/>
                <w:b w:val="0"/>
                <w:bCs w:val="0"/>
                <w:color w:val="auto"/>
                <w:kern w:val="0"/>
                <w:sz w:val="24"/>
                <w:szCs w:val="24"/>
                <w:lang w:val="en-US" w:eastAsia="zh-CN" w:bidi="ar-SA"/>
              </w:rPr>
              <w:t>因燃气灶燃烧废气和油烟废气一起经集气罩收集后</w:t>
            </w:r>
            <w:r>
              <w:rPr>
                <w:rFonts w:hint="default" w:ascii="Times New Roman" w:hAnsi="Times New Roman" w:eastAsia="宋体" w:cs="Times New Roman"/>
                <w:b w:val="0"/>
                <w:bCs w:val="0"/>
                <w:color w:val="auto"/>
                <w:kern w:val="24"/>
                <w:sz w:val="24"/>
                <w:szCs w:val="24"/>
                <w:lang w:val="en-US" w:eastAsia="zh-CN" w:bidi="ar-SA"/>
              </w:rPr>
              <w:t>引至相应的</w:t>
            </w:r>
            <w:r>
              <w:rPr>
                <w:rFonts w:hint="eastAsia" w:ascii="Times New Roman" w:cs="Times New Roman"/>
                <w:b w:val="0"/>
                <w:bCs w:val="0"/>
                <w:color w:val="auto"/>
                <w:kern w:val="24"/>
                <w:sz w:val="24"/>
                <w:szCs w:val="24"/>
                <w:lang w:val="en-US" w:eastAsia="zh-CN" w:bidi="ar-SA"/>
              </w:rPr>
              <w:t>静电油烟净化装置</w:t>
            </w:r>
            <w:r>
              <w:rPr>
                <w:rFonts w:hint="default" w:ascii="Times New Roman" w:hAnsi="Times New Roman" w:eastAsia="宋体" w:cs="Times New Roman"/>
                <w:b w:val="0"/>
                <w:bCs w:val="0"/>
                <w:color w:val="auto"/>
                <w:kern w:val="24"/>
                <w:sz w:val="24"/>
                <w:szCs w:val="24"/>
                <w:lang w:val="en-US" w:eastAsia="zh-CN" w:bidi="ar-SA"/>
              </w:rPr>
              <w:t>处理</w:t>
            </w:r>
            <w:r>
              <w:rPr>
                <w:rFonts w:hint="eastAsia" w:ascii="Times New Roman" w:hAnsi="Times New Roman" w:eastAsia="宋体" w:cs="Times New Roman"/>
                <w:b w:val="0"/>
                <w:bCs w:val="0"/>
                <w:color w:val="auto"/>
                <w:kern w:val="24"/>
                <w:sz w:val="24"/>
                <w:szCs w:val="24"/>
                <w:lang w:val="en-US" w:eastAsia="zh-CN" w:bidi="ar-SA"/>
              </w:rPr>
              <w:t>，静电油烟净化装置对颗粒物、二氧化硫、氮氧化物的处理效率可忽略不计，故废气产生量即为排放量。</w:t>
            </w:r>
          </w:p>
          <w:p w14:paraId="5614E37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firstLine="482" w:firstLineChars="200"/>
              <w:jc w:val="both"/>
              <w:textAlignment w:val="auto"/>
              <w:rPr>
                <w:rFonts w:hint="eastAsia" w:ascii="Times New Roman" w:hAnsi="Times New Roman" w:eastAsia="宋体" w:cs="Times New Roman"/>
                <w:b/>
                <w:bCs/>
                <w:color w:val="auto"/>
                <w:kern w:val="24"/>
                <w:sz w:val="24"/>
                <w:szCs w:val="24"/>
                <w:lang w:val="en-US" w:eastAsia="zh-CN" w:bidi="ar-SA"/>
              </w:rPr>
            </w:pPr>
            <w:r>
              <w:rPr>
                <w:rFonts w:hint="default" w:ascii="Times New Roman" w:hAnsi="Times New Roman" w:eastAsia="宋体" w:cs="Times New Roman"/>
                <w:b/>
                <w:bCs/>
                <w:color w:val="auto"/>
                <w:kern w:val="24"/>
                <w:sz w:val="24"/>
                <w:szCs w:val="24"/>
                <w:lang w:val="en-US" w:eastAsia="zh-CN" w:bidi="ar-SA"/>
              </w:rPr>
              <w:t>（</w:t>
            </w:r>
            <w:r>
              <w:rPr>
                <w:rFonts w:hint="eastAsia" w:ascii="Times New Roman" w:hAnsi="Times New Roman" w:eastAsia="宋体" w:cs="Times New Roman"/>
                <w:b/>
                <w:bCs/>
                <w:color w:val="auto"/>
                <w:kern w:val="24"/>
                <w:sz w:val="24"/>
                <w:szCs w:val="24"/>
                <w:lang w:val="en-US" w:eastAsia="zh-CN" w:bidi="ar-SA"/>
              </w:rPr>
              <w:t>2</w:t>
            </w:r>
            <w:r>
              <w:rPr>
                <w:rFonts w:hint="default" w:ascii="Times New Roman" w:hAnsi="Times New Roman" w:eastAsia="宋体" w:cs="Times New Roman"/>
                <w:b/>
                <w:bCs/>
                <w:color w:val="auto"/>
                <w:kern w:val="24"/>
                <w:sz w:val="24"/>
                <w:szCs w:val="24"/>
                <w:lang w:val="en-US" w:eastAsia="zh-CN" w:bidi="ar-SA"/>
              </w:rPr>
              <w:t>）</w:t>
            </w:r>
            <w:r>
              <w:rPr>
                <w:rFonts w:hint="eastAsia" w:ascii="Times New Roman" w:hAnsi="Times New Roman" w:eastAsia="宋体" w:cs="Times New Roman"/>
                <w:b/>
                <w:bCs/>
                <w:color w:val="auto"/>
                <w:kern w:val="24"/>
                <w:sz w:val="24"/>
                <w:szCs w:val="24"/>
                <w:lang w:val="en-US" w:eastAsia="zh-CN" w:bidi="ar-SA"/>
              </w:rPr>
              <w:t xml:space="preserve">水蒸汽 </w:t>
            </w:r>
          </w:p>
          <w:p w14:paraId="01574BD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firstLine="480" w:firstLineChars="200"/>
              <w:jc w:val="both"/>
              <w:textAlignment w:val="auto"/>
              <w:rPr>
                <w:rFonts w:hint="eastAsia"/>
                <w:color w:val="auto"/>
                <w:sz w:val="24"/>
                <w:szCs w:val="20"/>
                <w:highlight w:val="none"/>
                <w:vertAlign w:val="superscript"/>
                <w:lang w:val="en-US" w:eastAsia="zh-CN"/>
              </w:rPr>
            </w:pPr>
            <w:r>
              <w:rPr>
                <w:rFonts w:hint="eastAsia" w:ascii="Times New Roman" w:hAnsi="Times New Roman" w:eastAsia="宋体" w:cs="Times New Roman"/>
                <w:b w:val="0"/>
                <w:bCs w:val="0"/>
                <w:color w:val="auto"/>
                <w:kern w:val="24"/>
                <w:sz w:val="24"/>
                <w:szCs w:val="24"/>
                <w:lang w:val="en-US" w:eastAsia="zh-CN" w:bidi="ar-SA"/>
              </w:rPr>
              <w:t>本项目在蒸煮、焯水等过程中会产生散热废气，主要为水蒸汽，含有少量食物熟化产生的气味，本项目在蒸煮设备上方设置集气罩收集蒸汽后通过排气管道引至楼顶排放，少量无组织逸散的蒸汽通过排风扇外排，避免车间内水汽过多冷凝和车间霉菌滋生。</w:t>
            </w:r>
          </w:p>
          <w:p w14:paraId="04D6BDDB">
            <w:pPr>
              <w:pStyle w:val="124"/>
              <w:bidi w:val="0"/>
              <w:rPr>
                <w:rFonts w:hint="eastAsia"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w:t>
            </w:r>
            <w:r>
              <w:rPr>
                <w:rFonts w:hint="eastAsia" w:ascii="Times New Roman" w:hAnsi="Times New Roman" w:eastAsia="宋体" w:cs="Times New Roman"/>
                <w:b/>
                <w:bCs/>
                <w:color w:val="auto"/>
                <w:kern w:val="0"/>
                <w:sz w:val="24"/>
                <w:szCs w:val="24"/>
                <w:lang w:val="en-US" w:eastAsia="zh-CN" w:bidi="ar-SA"/>
              </w:rPr>
              <w:t>3</w:t>
            </w:r>
            <w:r>
              <w:rPr>
                <w:rFonts w:hint="default" w:ascii="Times New Roman" w:hAnsi="Times New Roman" w:eastAsia="宋体" w:cs="Times New Roman"/>
                <w:b/>
                <w:bCs/>
                <w:color w:val="auto"/>
                <w:kern w:val="0"/>
                <w:sz w:val="24"/>
                <w:szCs w:val="24"/>
                <w:lang w:val="en-US" w:eastAsia="zh-CN" w:bidi="ar-SA"/>
              </w:rPr>
              <w:t>）</w:t>
            </w:r>
            <w:r>
              <w:rPr>
                <w:rFonts w:hint="eastAsia" w:ascii="Times New Roman" w:hAnsi="Times New Roman" w:eastAsia="宋体" w:cs="Times New Roman"/>
                <w:b/>
                <w:bCs/>
                <w:color w:val="auto"/>
                <w:kern w:val="0"/>
                <w:sz w:val="24"/>
                <w:szCs w:val="24"/>
                <w:lang w:val="en-US" w:eastAsia="zh-CN" w:bidi="ar-SA"/>
              </w:rPr>
              <w:t xml:space="preserve">食品加工异味 </w:t>
            </w:r>
          </w:p>
          <w:p w14:paraId="58E6A29F">
            <w:pPr>
              <w:pStyle w:val="124"/>
              <w:bidi w:val="0"/>
              <w:rPr>
                <w:rFonts w:hint="eastAsia"/>
                <w:color w:val="auto"/>
                <w:sz w:val="24"/>
                <w:szCs w:val="20"/>
                <w:highlight w:val="none"/>
                <w:vertAlign w:val="superscript"/>
                <w:lang w:val="en-US" w:eastAsia="zh-CN"/>
              </w:rPr>
            </w:pPr>
            <w:r>
              <w:rPr>
                <w:rFonts w:hint="eastAsia" w:ascii="Times New Roman" w:hAnsi="Times New Roman" w:eastAsia="宋体" w:cs="Times New Roman"/>
                <w:b w:val="0"/>
                <w:bCs w:val="0"/>
                <w:color w:val="auto"/>
                <w:kern w:val="0"/>
                <w:sz w:val="24"/>
                <w:szCs w:val="24"/>
                <w:lang w:val="en-US" w:eastAsia="zh-CN" w:bidi="ar-SA"/>
              </w:rPr>
              <w:t>本项目在加工过程中会产生一些带有特殊气味，这种异味能够刺激人的嗅觉器官并引起人们的不适，散发的异味浓度因原料、生产规模、操作工艺等而有较大差异，难以定量确定。国家对这种异味现状也暂无相关规定，经加强车间通风换气，不会对车间生产和环境产生不良影响。</w:t>
            </w:r>
          </w:p>
          <w:p w14:paraId="78F5F26F">
            <w:pPr>
              <w:pStyle w:val="124"/>
              <w:bidi w:val="0"/>
              <w:rPr>
                <w:rFonts w:hint="default" w:cs="Times New Roman"/>
                <w:b/>
                <w:bCs/>
                <w:color w:val="auto"/>
                <w:kern w:val="0"/>
                <w:sz w:val="24"/>
                <w:szCs w:val="24"/>
                <w:lang w:val="en-US" w:eastAsia="zh-CN" w:bidi="ar-SA"/>
              </w:rPr>
            </w:pPr>
            <w:r>
              <w:rPr>
                <w:rFonts w:hint="eastAsia" w:cs="Times New Roman"/>
                <w:b/>
                <w:bCs/>
                <w:color w:val="auto"/>
                <w:kern w:val="0"/>
                <w:sz w:val="24"/>
                <w:szCs w:val="24"/>
                <w:lang w:val="en-US" w:eastAsia="zh-CN" w:bidi="ar-SA"/>
              </w:rPr>
              <w:t>（4）锅炉废气</w:t>
            </w:r>
          </w:p>
          <w:p w14:paraId="6A2FCAD8">
            <w:pPr>
              <w:pStyle w:val="124"/>
              <w:bidi w:val="0"/>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本项目</w:t>
            </w:r>
            <w:r>
              <w:rPr>
                <w:rFonts w:hint="eastAsia" w:ascii="Times New Roman" w:hAnsi="Times New Roman" w:eastAsia="宋体" w:cs="Times New Roman"/>
                <w:color w:val="000000"/>
                <w:kern w:val="0"/>
                <w:sz w:val="24"/>
                <w:szCs w:val="24"/>
                <w:lang w:val="en-US" w:eastAsia="zh-CN" w:bidi="ar"/>
              </w:rPr>
              <w:t>中央厨房</w:t>
            </w:r>
            <w:r>
              <w:rPr>
                <w:rFonts w:hint="eastAsia" w:cs="Times New Roman"/>
                <w:b w:val="0"/>
                <w:bCs w:val="0"/>
                <w:color w:val="auto"/>
                <w:kern w:val="0"/>
                <w:sz w:val="24"/>
                <w:szCs w:val="24"/>
                <w:lang w:val="en-US" w:eastAsia="zh-CN" w:bidi="ar-SA"/>
              </w:rPr>
              <w:t>有</w:t>
            </w:r>
            <w:r>
              <w:rPr>
                <w:rFonts w:hint="eastAsia" w:ascii="Times New Roman" w:hAnsi="Times New Roman" w:eastAsia="宋体" w:cs="Times New Roman"/>
                <w:color w:val="000000"/>
                <w:kern w:val="0"/>
                <w:sz w:val="24"/>
                <w:szCs w:val="24"/>
                <w:lang w:val="en-US" w:eastAsia="zh-CN" w:bidi="ar"/>
              </w:rPr>
              <w:t>2台0.5t/h</w:t>
            </w:r>
            <w:r>
              <w:rPr>
                <w:rFonts w:hint="eastAsia" w:cs="Times New Roman"/>
                <w:color w:val="000000"/>
                <w:kern w:val="0"/>
                <w:sz w:val="24"/>
                <w:szCs w:val="24"/>
                <w:lang w:val="en-US" w:eastAsia="zh-CN" w:bidi="ar"/>
              </w:rPr>
              <w:t>燃气锅炉</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号预制菜车间</w:t>
            </w:r>
            <w:r>
              <w:rPr>
                <w:rFonts w:hint="eastAsia" w:cs="Times New Roman"/>
                <w:color w:val="000000"/>
                <w:kern w:val="0"/>
                <w:sz w:val="24"/>
                <w:szCs w:val="24"/>
                <w:lang w:val="en-US" w:eastAsia="zh-CN" w:bidi="ar"/>
              </w:rPr>
              <w:t>有</w:t>
            </w:r>
            <w:r>
              <w:rPr>
                <w:rFonts w:hint="eastAsia" w:ascii="Times New Roman" w:hAnsi="Times New Roman" w:eastAsia="宋体" w:cs="Times New Roman"/>
                <w:color w:val="000000"/>
                <w:kern w:val="0"/>
                <w:sz w:val="24"/>
                <w:szCs w:val="24"/>
                <w:lang w:val="en-US" w:eastAsia="zh-CN" w:bidi="ar"/>
              </w:rPr>
              <w:t>1台4t/h</w:t>
            </w:r>
            <w:r>
              <w:rPr>
                <w:rFonts w:hint="eastAsia" w:cs="Times New Roman"/>
                <w:color w:val="000000"/>
                <w:kern w:val="0"/>
                <w:sz w:val="24"/>
                <w:szCs w:val="24"/>
                <w:lang w:val="en-US" w:eastAsia="zh-CN" w:bidi="ar"/>
              </w:rPr>
              <w:t>燃气锅炉</w:t>
            </w:r>
            <w:r>
              <w:rPr>
                <w:rFonts w:hint="eastAsia" w:ascii="Times New Roman" w:hAnsi="Times New Roman" w:eastAsia="宋体" w:cs="Times New Roman"/>
                <w:color w:val="000000"/>
                <w:kern w:val="0"/>
                <w:sz w:val="24"/>
                <w:szCs w:val="24"/>
                <w:lang w:val="en-US" w:eastAsia="zh-CN" w:bidi="ar"/>
              </w:rPr>
              <w:t>（锅炉放置在1号预制菜车间北侧</w:t>
            </w:r>
            <w:r>
              <w:rPr>
                <w:rFonts w:hint="eastAsia" w:cs="Times New Roman"/>
                <w:color w:val="000000"/>
                <w:kern w:val="0"/>
                <w:sz w:val="24"/>
                <w:szCs w:val="24"/>
                <w:lang w:val="en-US" w:eastAsia="zh-CN" w:bidi="ar"/>
              </w:rPr>
              <w:t>，主要为3号预制菜车间生产工序提供蒸汽</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和</w:t>
            </w:r>
            <w:r>
              <w:rPr>
                <w:rFonts w:hint="eastAsia" w:ascii="Times New Roman" w:hAnsi="Times New Roman" w:eastAsia="宋体" w:cs="Times New Roman"/>
                <w:color w:val="000000"/>
                <w:kern w:val="0"/>
                <w:sz w:val="24"/>
                <w:szCs w:val="24"/>
                <w:lang w:val="en-US" w:eastAsia="zh-CN" w:bidi="ar"/>
              </w:rPr>
              <w:t>1台6t/h的</w:t>
            </w:r>
            <w:r>
              <w:rPr>
                <w:rFonts w:hint="eastAsia" w:cs="Times New Roman"/>
                <w:color w:val="000000"/>
                <w:kern w:val="0"/>
                <w:sz w:val="24"/>
                <w:szCs w:val="24"/>
                <w:lang w:val="en-US" w:eastAsia="zh-CN" w:bidi="ar"/>
              </w:rPr>
              <w:t>燃气锅炉</w:t>
            </w:r>
            <w:r>
              <w:rPr>
                <w:rFonts w:hint="eastAsia" w:ascii="Times New Roman" w:hAnsi="Times New Roman" w:eastAsia="宋体" w:cs="Times New Roman"/>
                <w:b w:val="0"/>
                <w:bCs w:val="0"/>
                <w:color w:val="auto"/>
                <w:kern w:val="0"/>
                <w:sz w:val="24"/>
                <w:szCs w:val="24"/>
                <w:lang w:val="en-US" w:eastAsia="zh-CN" w:bidi="ar-SA"/>
              </w:rPr>
              <w:t>。根据《污染源源强核算技术指南 锅炉》（</w:t>
            </w:r>
            <w:r>
              <w:rPr>
                <w:rFonts w:hint="default" w:ascii="Times New Roman" w:hAnsi="Times New Roman" w:eastAsia="宋体" w:cs="Times New Roman"/>
                <w:b w:val="0"/>
                <w:bCs w:val="0"/>
                <w:color w:val="auto"/>
                <w:kern w:val="0"/>
                <w:sz w:val="24"/>
                <w:szCs w:val="24"/>
                <w:lang w:val="en-US" w:eastAsia="zh-CN" w:bidi="ar-SA"/>
              </w:rPr>
              <w:t>HJ991-2018</w:t>
            </w:r>
            <w:r>
              <w:rPr>
                <w:rFonts w:hint="eastAsia" w:ascii="Times New Roman" w:hAnsi="Times New Roman" w:eastAsia="宋体" w:cs="Times New Roman"/>
                <w:b w:val="0"/>
                <w:bCs w:val="0"/>
                <w:color w:val="auto"/>
                <w:kern w:val="0"/>
                <w:sz w:val="24"/>
                <w:szCs w:val="24"/>
                <w:lang w:val="en-US" w:eastAsia="zh-CN" w:bidi="ar-SA"/>
              </w:rPr>
              <w:t>）标准中相关要求，结合项目特点，采用“</w:t>
            </w:r>
            <w:r>
              <w:rPr>
                <w:rFonts w:hint="default" w:ascii="Times New Roman" w:hAnsi="Times New Roman" w:eastAsia="宋体" w:cs="Times New Roman"/>
                <w:b w:val="0"/>
                <w:bCs w:val="0"/>
                <w:color w:val="auto"/>
                <w:kern w:val="0"/>
                <w:sz w:val="24"/>
                <w:szCs w:val="24"/>
                <w:lang w:val="en-US" w:eastAsia="zh-CN" w:bidi="ar-SA"/>
              </w:rPr>
              <w:t>5.4</w:t>
            </w:r>
            <w:r>
              <w:rPr>
                <w:rFonts w:hint="eastAsia" w:ascii="Times New Roman" w:hAnsi="Times New Roman" w:eastAsia="宋体" w:cs="Times New Roman"/>
                <w:b w:val="0"/>
                <w:bCs w:val="0"/>
                <w:color w:val="auto"/>
                <w:kern w:val="0"/>
                <w:sz w:val="24"/>
                <w:szCs w:val="24"/>
                <w:lang w:val="en-US" w:eastAsia="zh-CN" w:bidi="ar-SA"/>
              </w:rPr>
              <w:t>产污系数法”核算本项目锅炉烟气各污染物源强。各污染物源强按如下计算：</w:t>
            </w:r>
          </w:p>
          <w:p w14:paraId="59287E8F">
            <w:pPr>
              <w:pStyle w:val="124"/>
              <w:bidi w:val="0"/>
              <w:jc w:val="center"/>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drawing>
                <wp:inline distT="0" distB="0" distL="114300" distR="114300">
                  <wp:extent cx="1821180" cy="449580"/>
                  <wp:effectExtent l="0" t="0" r="7620" b="7620"/>
                  <wp:docPr id="9" name="图片 9" descr="18d271e50b9e37d566526ff2da44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8d271e50b9e37d566526ff2da44f65"/>
                          <pic:cNvPicPr>
                            <a:picLocks noChangeAspect="1"/>
                          </pic:cNvPicPr>
                        </pic:nvPicPr>
                        <pic:blipFill>
                          <a:blip r:embed="rId20"/>
                          <a:stretch>
                            <a:fillRect/>
                          </a:stretch>
                        </pic:blipFill>
                        <pic:spPr>
                          <a:xfrm>
                            <a:off x="0" y="0"/>
                            <a:ext cx="1821180" cy="449580"/>
                          </a:xfrm>
                          <a:prstGeom prst="rect">
                            <a:avLst/>
                          </a:prstGeom>
                        </pic:spPr>
                      </pic:pic>
                    </a:graphicData>
                  </a:graphic>
                </wp:inline>
              </w:drawing>
            </w:r>
          </w:p>
          <w:p w14:paraId="7A6C1642">
            <w:pPr>
              <w:pStyle w:val="124"/>
              <w:bidi w:val="0"/>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式中：</w:t>
            </w:r>
            <w:r>
              <w:rPr>
                <w:rFonts w:hint="default" w:ascii="Times New Roman" w:hAnsi="Times New Roman" w:eastAsia="宋体" w:cs="Times New Roman"/>
                <w:b w:val="0"/>
                <w:bCs w:val="0"/>
                <w:color w:val="auto"/>
                <w:kern w:val="0"/>
                <w:sz w:val="24"/>
                <w:szCs w:val="24"/>
                <w:lang w:val="en-US" w:eastAsia="zh-CN" w:bidi="ar-SA"/>
              </w:rPr>
              <w:t>Ej</w:t>
            </w:r>
            <w:r>
              <w:rPr>
                <w:rFonts w:hint="eastAsia" w:ascii="Times New Roman" w:hAnsi="Times New Roman" w:eastAsia="宋体" w:cs="Times New Roman"/>
                <w:b w:val="0"/>
                <w:bCs w:val="0"/>
                <w:color w:val="auto"/>
                <w:kern w:val="0"/>
                <w:sz w:val="24"/>
                <w:szCs w:val="24"/>
                <w:lang w:val="en-US" w:eastAsia="zh-CN" w:bidi="ar-SA"/>
              </w:rPr>
              <w:t xml:space="preserve">——核算时段内第 </w:t>
            </w:r>
            <w:r>
              <w:rPr>
                <w:rFonts w:hint="default" w:ascii="Times New Roman" w:hAnsi="Times New Roman" w:eastAsia="宋体" w:cs="Times New Roman"/>
                <w:b w:val="0"/>
                <w:bCs w:val="0"/>
                <w:color w:val="auto"/>
                <w:kern w:val="0"/>
                <w:sz w:val="24"/>
                <w:szCs w:val="24"/>
                <w:lang w:val="en-US" w:eastAsia="zh-CN" w:bidi="ar-SA"/>
              </w:rPr>
              <w:t xml:space="preserve">j </w:t>
            </w:r>
            <w:r>
              <w:rPr>
                <w:rFonts w:hint="eastAsia" w:ascii="Times New Roman" w:hAnsi="Times New Roman" w:eastAsia="宋体" w:cs="Times New Roman"/>
                <w:b w:val="0"/>
                <w:bCs w:val="0"/>
                <w:color w:val="auto"/>
                <w:kern w:val="0"/>
                <w:sz w:val="24"/>
                <w:szCs w:val="24"/>
                <w:lang w:val="en-US" w:eastAsia="zh-CN" w:bidi="ar-SA"/>
              </w:rPr>
              <w:t>种污染物排放量，</w:t>
            </w:r>
            <w:r>
              <w:rPr>
                <w:rFonts w:hint="default" w:ascii="Times New Roman" w:hAnsi="Times New Roman" w:eastAsia="宋体" w:cs="Times New Roman"/>
                <w:b w:val="0"/>
                <w:bCs w:val="0"/>
                <w:color w:val="auto"/>
                <w:kern w:val="0"/>
                <w:sz w:val="24"/>
                <w:szCs w:val="24"/>
                <w:lang w:val="en-US" w:eastAsia="zh-CN" w:bidi="ar-SA"/>
              </w:rPr>
              <w:t>t</w:t>
            </w:r>
            <w:r>
              <w:rPr>
                <w:rFonts w:hint="eastAsia" w:ascii="Times New Roman" w:hAnsi="Times New Roman" w:eastAsia="宋体" w:cs="Times New Roman"/>
                <w:b w:val="0"/>
                <w:bCs w:val="0"/>
                <w:color w:val="auto"/>
                <w:kern w:val="0"/>
                <w:sz w:val="24"/>
                <w:szCs w:val="24"/>
                <w:lang w:val="en-US" w:eastAsia="zh-CN" w:bidi="ar-SA"/>
              </w:rPr>
              <w:t xml:space="preserve">； </w:t>
            </w:r>
          </w:p>
          <w:p w14:paraId="03557D14">
            <w:pPr>
              <w:pStyle w:val="124"/>
              <w:bidi w:val="0"/>
              <w:rPr>
                <w:rFonts w:hint="eastAsia"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R</w:t>
            </w:r>
            <w:r>
              <w:rPr>
                <w:rFonts w:hint="eastAsia" w:ascii="Times New Roman" w:hAnsi="Times New Roman" w:eastAsia="宋体" w:cs="Times New Roman"/>
                <w:b w:val="0"/>
                <w:bCs w:val="0"/>
                <w:color w:val="auto"/>
                <w:kern w:val="0"/>
                <w:sz w:val="24"/>
                <w:szCs w:val="24"/>
                <w:lang w:val="en-US" w:eastAsia="zh-CN" w:bidi="ar-SA"/>
              </w:rPr>
              <w:t>——核算时段内燃料耗量，</w:t>
            </w:r>
            <w:r>
              <w:rPr>
                <w:rFonts w:hint="default" w:ascii="Times New Roman" w:hAnsi="Times New Roman" w:eastAsia="宋体" w:cs="Times New Roman"/>
                <w:b w:val="0"/>
                <w:bCs w:val="0"/>
                <w:color w:val="auto"/>
                <w:kern w:val="0"/>
                <w:sz w:val="24"/>
                <w:szCs w:val="24"/>
                <w:lang w:val="en-US" w:eastAsia="zh-CN" w:bidi="ar-SA"/>
              </w:rPr>
              <w:t xml:space="preserve">t </w:t>
            </w:r>
            <w:r>
              <w:rPr>
                <w:rFonts w:hint="eastAsia" w:ascii="Times New Roman" w:hAnsi="Times New Roman" w:eastAsia="宋体" w:cs="Times New Roman"/>
                <w:b w:val="0"/>
                <w:bCs w:val="0"/>
                <w:color w:val="auto"/>
                <w:kern w:val="0"/>
                <w:sz w:val="24"/>
                <w:szCs w:val="24"/>
                <w:lang w:val="en-US" w:eastAsia="zh-CN" w:bidi="ar-SA"/>
              </w:rPr>
              <w:t xml:space="preserve">或万 </w:t>
            </w:r>
            <w:r>
              <w:rPr>
                <w:rFonts w:hint="default" w:ascii="Times New Roman" w:hAnsi="Times New Roman" w:eastAsia="宋体" w:cs="Times New Roman"/>
                <w:b w:val="0"/>
                <w:bCs w:val="0"/>
                <w:color w:val="auto"/>
                <w:kern w:val="0"/>
                <w:sz w:val="24"/>
                <w:szCs w:val="24"/>
                <w:lang w:val="en-US" w:eastAsia="zh-CN" w:bidi="ar-SA"/>
              </w:rPr>
              <w:t>m</w:t>
            </w:r>
            <w:r>
              <w:rPr>
                <w:rFonts w:hint="default" w:ascii="Times New Roman" w:hAnsi="Times New Roman" w:eastAsia="宋体" w:cs="Times New Roman"/>
                <w:b w:val="0"/>
                <w:bCs w:val="0"/>
                <w:color w:val="auto"/>
                <w:kern w:val="0"/>
                <w:sz w:val="24"/>
                <w:szCs w:val="24"/>
                <w:vertAlign w:val="superscript"/>
                <w:lang w:val="en-US" w:eastAsia="zh-CN" w:bidi="ar-SA"/>
              </w:rPr>
              <w:t>3</w:t>
            </w:r>
            <w:r>
              <w:rPr>
                <w:rFonts w:hint="eastAsia" w:ascii="Times New Roman" w:hAnsi="Times New Roman" w:eastAsia="宋体" w:cs="Times New Roman"/>
                <w:b w:val="0"/>
                <w:bCs w:val="0"/>
                <w:color w:val="auto"/>
                <w:kern w:val="0"/>
                <w:sz w:val="24"/>
                <w:szCs w:val="24"/>
                <w:lang w:val="en-US" w:eastAsia="zh-CN" w:bidi="ar-SA"/>
              </w:rPr>
              <w:t xml:space="preserve">； </w:t>
            </w:r>
          </w:p>
          <w:p w14:paraId="4ACD58DF">
            <w:pPr>
              <w:pStyle w:val="124"/>
              <w:bidi w:val="0"/>
              <w:rPr>
                <w:rFonts w:hint="eastAsia"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β</w:t>
            </w:r>
            <w:r>
              <w:rPr>
                <w:rFonts w:hint="default" w:ascii="Times New Roman" w:hAnsi="Times New Roman" w:eastAsia="宋体" w:cs="Times New Roman"/>
                <w:b w:val="0"/>
                <w:bCs w:val="0"/>
                <w:color w:val="auto"/>
                <w:kern w:val="0"/>
                <w:sz w:val="24"/>
                <w:szCs w:val="24"/>
                <w:vertAlign w:val="subscript"/>
                <w:lang w:val="en-US" w:eastAsia="zh-CN" w:bidi="ar-SA"/>
              </w:rPr>
              <w:t>j</w:t>
            </w:r>
            <w:r>
              <w:rPr>
                <w:rFonts w:hint="eastAsia" w:ascii="Times New Roman" w:hAnsi="Times New Roman" w:eastAsia="宋体" w:cs="Times New Roman"/>
                <w:b w:val="0"/>
                <w:bCs w:val="0"/>
                <w:color w:val="auto"/>
                <w:kern w:val="0"/>
                <w:sz w:val="24"/>
                <w:szCs w:val="24"/>
                <w:lang w:val="en-US" w:eastAsia="zh-CN" w:bidi="ar-SA"/>
              </w:rPr>
              <w:t>——产污系数，</w:t>
            </w:r>
            <w:r>
              <w:rPr>
                <w:rFonts w:hint="default" w:ascii="Times New Roman" w:hAnsi="Times New Roman" w:eastAsia="宋体" w:cs="Times New Roman"/>
                <w:b w:val="0"/>
                <w:bCs w:val="0"/>
                <w:color w:val="auto"/>
                <w:kern w:val="0"/>
                <w:sz w:val="24"/>
                <w:szCs w:val="24"/>
                <w:lang w:val="en-US" w:eastAsia="zh-CN" w:bidi="ar-SA"/>
              </w:rPr>
              <w:t xml:space="preserve">kg/t </w:t>
            </w:r>
            <w:r>
              <w:rPr>
                <w:rFonts w:hint="eastAsia" w:ascii="Times New Roman" w:hAnsi="Times New Roman" w:eastAsia="宋体" w:cs="Times New Roman"/>
                <w:b w:val="0"/>
                <w:bCs w:val="0"/>
                <w:color w:val="auto"/>
                <w:kern w:val="0"/>
                <w:sz w:val="24"/>
                <w:szCs w:val="24"/>
                <w:lang w:val="en-US" w:eastAsia="zh-CN" w:bidi="ar-SA"/>
              </w:rPr>
              <w:t xml:space="preserve">或 </w:t>
            </w:r>
            <w:r>
              <w:rPr>
                <w:rFonts w:hint="default" w:ascii="Times New Roman" w:hAnsi="Times New Roman" w:eastAsia="宋体" w:cs="Times New Roman"/>
                <w:b w:val="0"/>
                <w:bCs w:val="0"/>
                <w:color w:val="auto"/>
                <w:kern w:val="0"/>
                <w:sz w:val="24"/>
                <w:szCs w:val="24"/>
                <w:lang w:val="en-US" w:eastAsia="zh-CN" w:bidi="ar-SA"/>
              </w:rPr>
              <w:t>kg/</w:t>
            </w:r>
            <w:r>
              <w:rPr>
                <w:rFonts w:hint="eastAsia" w:ascii="Times New Roman" w:hAnsi="Times New Roman" w:eastAsia="宋体" w:cs="Times New Roman"/>
                <w:b w:val="0"/>
                <w:bCs w:val="0"/>
                <w:color w:val="auto"/>
                <w:kern w:val="0"/>
                <w:sz w:val="24"/>
                <w:szCs w:val="24"/>
                <w:lang w:val="en-US" w:eastAsia="zh-CN" w:bidi="ar-SA"/>
              </w:rPr>
              <w:t xml:space="preserve">万 </w:t>
            </w:r>
            <w:r>
              <w:rPr>
                <w:rFonts w:hint="default" w:ascii="Times New Roman" w:hAnsi="Times New Roman" w:eastAsia="宋体" w:cs="Times New Roman"/>
                <w:b w:val="0"/>
                <w:bCs w:val="0"/>
                <w:color w:val="auto"/>
                <w:kern w:val="0"/>
                <w:sz w:val="24"/>
                <w:szCs w:val="24"/>
                <w:lang w:val="en-US" w:eastAsia="zh-CN" w:bidi="ar-SA"/>
              </w:rPr>
              <w:t>m</w:t>
            </w:r>
            <w:r>
              <w:rPr>
                <w:rFonts w:hint="default" w:ascii="Times New Roman" w:hAnsi="Times New Roman" w:eastAsia="宋体" w:cs="Times New Roman"/>
                <w:b w:val="0"/>
                <w:bCs w:val="0"/>
                <w:color w:val="auto"/>
                <w:kern w:val="0"/>
                <w:sz w:val="24"/>
                <w:szCs w:val="24"/>
                <w:vertAlign w:val="superscript"/>
                <w:lang w:val="en-US" w:eastAsia="zh-CN" w:bidi="ar-SA"/>
              </w:rPr>
              <w:t>3</w:t>
            </w:r>
            <w:r>
              <w:rPr>
                <w:rFonts w:hint="eastAsia" w:ascii="Times New Roman" w:hAnsi="Times New Roman" w:eastAsia="宋体" w:cs="Times New Roman"/>
                <w:b w:val="0"/>
                <w:bCs w:val="0"/>
                <w:color w:val="auto"/>
                <w:kern w:val="0"/>
                <w:sz w:val="24"/>
                <w:szCs w:val="24"/>
                <w:lang w:val="en-US" w:eastAsia="zh-CN" w:bidi="ar-SA"/>
              </w:rPr>
              <w:t xml:space="preserve">，参见全国污染源普查工业污染源普查数据（以最新版本为准）和 </w:t>
            </w:r>
            <w:r>
              <w:rPr>
                <w:rFonts w:hint="default" w:ascii="Times New Roman" w:hAnsi="Times New Roman" w:eastAsia="宋体" w:cs="Times New Roman"/>
                <w:b w:val="0"/>
                <w:bCs w:val="0"/>
                <w:color w:val="auto"/>
                <w:kern w:val="0"/>
                <w:sz w:val="24"/>
                <w:szCs w:val="24"/>
                <w:lang w:val="en-US" w:eastAsia="zh-CN" w:bidi="ar-SA"/>
              </w:rPr>
              <w:t>HJ953</w:t>
            </w:r>
            <w:r>
              <w:rPr>
                <w:rFonts w:hint="eastAsia" w:ascii="Times New Roman" w:hAnsi="Times New Roman" w:eastAsia="宋体" w:cs="Times New Roman"/>
                <w:b w:val="0"/>
                <w:bCs w:val="0"/>
                <w:color w:val="auto"/>
                <w:kern w:val="0"/>
                <w:sz w:val="24"/>
                <w:szCs w:val="24"/>
                <w:lang w:val="en-US" w:eastAsia="zh-CN" w:bidi="ar-SA"/>
              </w:rPr>
              <w:t xml:space="preserve">。采用罕见、特殊原料或工艺的，或手册中未涉及的，可类比国内外同类工艺对应的产排污系数文件或咨询行业专业技术人员选取近似产品、原料、炉型的产污系数代替； </w:t>
            </w:r>
          </w:p>
          <w:p w14:paraId="40F09729">
            <w:pPr>
              <w:pStyle w:val="124"/>
              <w:bidi w:val="0"/>
              <w:rPr>
                <w:rFonts w:hint="eastAsia"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η</w:t>
            </w:r>
            <w:r>
              <w:rPr>
                <w:rFonts w:hint="eastAsia" w:ascii="Times New Roman" w:hAnsi="Times New Roman" w:eastAsia="宋体" w:cs="Times New Roman"/>
                <w:b w:val="0"/>
                <w:bCs w:val="0"/>
                <w:color w:val="auto"/>
                <w:kern w:val="0"/>
                <w:sz w:val="24"/>
                <w:szCs w:val="24"/>
                <w:lang w:val="en-US" w:eastAsia="zh-CN" w:bidi="ar-SA"/>
              </w:rPr>
              <w:t>——污染物的脱除效率，</w:t>
            </w:r>
            <w:r>
              <w:rPr>
                <w:rFonts w:hint="default" w:ascii="Times New Roman" w:hAnsi="Times New Roman" w:eastAsia="宋体" w:cs="Times New Roman"/>
                <w:b w:val="0"/>
                <w:bCs w:val="0"/>
                <w:color w:val="auto"/>
                <w:kern w:val="0"/>
                <w:sz w:val="24"/>
                <w:szCs w:val="24"/>
                <w:lang w:val="en-US" w:eastAsia="zh-CN" w:bidi="ar-SA"/>
              </w:rPr>
              <w:t>%</w:t>
            </w:r>
            <w:r>
              <w:rPr>
                <w:rFonts w:hint="eastAsia" w:ascii="Times New Roman" w:hAnsi="Times New Roman" w:eastAsia="宋体" w:cs="Times New Roman"/>
                <w:b w:val="0"/>
                <w:bCs w:val="0"/>
                <w:color w:val="auto"/>
                <w:kern w:val="0"/>
                <w:sz w:val="24"/>
                <w:szCs w:val="24"/>
                <w:lang w:val="en-US" w:eastAsia="zh-CN" w:bidi="ar-SA"/>
              </w:rPr>
              <w:t>。</w:t>
            </w:r>
          </w:p>
          <w:p w14:paraId="53E1173E">
            <w:pPr>
              <w:pStyle w:val="124"/>
              <w:bidi w:val="0"/>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锅炉</w:t>
            </w:r>
            <w:r>
              <w:rPr>
                <w:rFonts w:hint="eastAsia" w:cs="Times New Roman"/>
                <w:b w:val="0"/>
                <w:bCs w:val="0"/>
                <w:color w:val="auto"/>
                <w:kern w:val="0"/>
                <w:sz w:val="24"/>
                <w:szCs w:val="24"/>
                <w:lang w:val="en-US" w:eastAsia="zh-CN" w:bidi="ar-SA"/>
              </w:rPr>
              <w:t>废气中的污染物</w:t>
            </w:r>
            <w:r>
              <w:rPr>
                <w:rFonts w:hint="eastAsia" w:ascii="Times New Roman" w:hAnsi="Times New Roman" w:eastAsia="宋体" w:cs="Times New Roman"/>
                <w:b w:val="0"/>
                <w:bCs w:val="0"/>
                <w:color w:val="auto"/>
                <w:kern w:val="0"/>
                <w:sz w:val="24"/>
                <w:szCs w:val="24"/>
                <w:lang w:val="en-US" w:eastAsia="zh-CN" w:bidi="ar-SA"/>
              </w:rPr>
              <w:t>二氧化硫、氮氧化物产污系数参考《关于发布</w:t>
            </w:r>
            <w:r>
              <w:rPr>
                <w:rFonts w:hint="default" w:ascii="Times New Roman" w:hAnsi="Times New Roman" w:eastAsia="宋体" w:cs="Times New Roman"/>
                <w:b w:val="0"/>
                <w:bCs w:val="0"/>
                <w:color w:val="auto"/>
                <w:kern w:val="0"/>
                <w:sz w:val="24"/>
                <w:szCs w:val="24"/>
                <w:lang w:val="en-US" w:eastAsia="zh-CN" w:bidi="ar-SA"/>
              </w:rPr>
              <w:t>&lt;</w:t>
            </w:r>
            <w:r>
              <w:rPr>
                <w:rFonts w:hint="eastAsia" w:ascii="Times New Roman" w:hAnsi="Times New Roman" w:eastAsia="宋体" w:cs="Times New Roman"/>
                <w:b w:val="0"/>
                <w:bCs w:val="0"/>
                <w:color w:val="auto"/>
                <w:kern w:val="0"/>
                <w:sz w:val="24"/>
                <w:szCs w:val="24"/>
                <w:lang w:val="en-US" w:eastAsia="zh-CN" w:bidi="ar-SA"/>
              </w:rPr>
              <w:t>排放源统计调查产排污核算方法和系数手册</w:t>
            </w:r>
            <w:r>
              <w:rPr>
                <w:rFonts w:hint="default" w:ascii="Times New Roman" w:hAnsi="Times New Roman" w:eastAsia="宋体" w:cs="Times New Roman"/>
                <w:b w:val="0"/>
                <w:bCs w:val="0"/>
                <w:color w:val="auto"/>
                <w:kern w:val="0"/>
                <w:sz w:val="24"/>
                <w:szCs w:val="24"/>
                <w:lang w:val="en-US" w:eastAsia="zh-CN" w:bidi="ar-SA"/>
              </w:rPr>
              <w:t>&gt;</w:t>
            </w:r>
            <w:r>
              <w:rPr>
                <w:rFonts w:hint="eastAsia" w:ascii="Times New Roman" w:hAnsi="Times New Roman" w:eastAsia="宋体" w:cs="Times New Roman"/>
                <w:b w:val="0"/>
                <w:bCs w:val="0"/>
                <w:color w:val="auto"/>
                <w:kern w:val="0"/>
                <w:sz w:val="24"/>
                <w:szCs w:val="24"/>
                <w:lang w:val="en-US" w:eastAsia="zh-CN" w:bidi="ar-SA"/>
              </w:rPr>
              <w:t xml:space="preserve">的公告》（生态环境部公告 </w:t>
            </w:r>
            <w:r>
              <w:rPr>
                <w:rFonts w:hint="default" w:ascii="Times New Roman" w:hAnsi="Times New Roman" w:eastAsia="宋体" w:cs="Times New Roman"/>
                <w:b w:val="0"/>
                <w:bCs w:val="0"/>
                <w:color w:val="auto"/>
                <w:kern w:val="0"/>
                <w:sz w:val="24"/>
                <w:szCs w:val="24"/>
                <w:lang w:val="en-US" w:eastAsia="zh-CN" w:bidi="ar-SA"/>
              </w:rPr>
              <w:t xml:space="preserve">2021 </w:t>
            </w:r>
            <w:r>
              <w:rPr>
                <w:rFonts w:hint="eastAsia" w:ascii="Times New Roman" w:hAnsi="Times New Roman" w:eastAsia="宋体" w:cs="Times New Roman"/>
                <w:b w:val="0"/>
                <w:bCs w:val="0"/>
                <w:color w:val="auto"/>
                <w:kern w:val="0"/>
                <w:sz w:val="24"/>
                <w:szCs w:val="24"/>
                <w:lang w:val="en-US" w:eastAsia="zh-CN" w:bidi="ar-SA"/>
              </w:rPr>
              <w:t xml:space="preserve">年 第 </w:t>
            </w:r>
            <w:r>
              <w:rPr>
                <w:rFonts w:hint="default" w:ascii="Times New Roman" w:hAnsi="Times New Roman" w:eastAsia="宋体" w:cs="Times New Roman"/>
                <w:b w:val="0"/>
                <w:bCs w:val="0"/>
                <w:color w:val="auto"/>
                <w:kern w:val="0"/>
                <w:sz w:val="24"/>
                <w:szCs w:val="24"/>
                <w:lang w:val="en-US" w:eastAsia="zh-CN" w:bidi="ar-SA"/>
              </w:rPr>
              <w:t xml:space="preserve">24 </w:t>
            </w:r>
            <w:r>
              <w:rPr>
                <w:rFonts w:hint="eastAsia" w:ascii="Times New Roman" w:hAnsi="Times New Roman" w:eastAsia="宋体" w:cs="Times New Roman"/>
                <w:b w:val="0"/>
                <w:bCs w:val="0"/>
                <w:color w:val="auto"/>
                <w:kern w:val="0"/>
                <w:sz w:val="24"/>
                <w:szCs w:val="24"/>
                <w:lang w:val="en-US" w:eastAsia="zh-CN" w:bidi="ar-SA"/>
              </w:rPr>
              <w:t>号）中“工业锅炉 （热力供应）行业系数手册”中“</w:t>
            </w:r>
            <w:r>
              <w:rPr>
                <w:rFonts w:hint="default" w:ascii="Times New Roman" w:hAnsi="Times New Roman" w:eastAsia="宋体" w:cs="Times New Roman"/>
                <w:b w:val="0"/>
                <w:bCs w:val="0"/>
                <w:color w:val="auto"/>
                <w:kern w:val="0"/>
                <w:sz w:val="24"/>
                <w:szCs w:val="24"/>
                <w:lang w:val="en-US" w:eastAsia="zh-CN" w:bidi="ar-SA"/>
              </w:rPr>
              <w:t xml:space="preserve">4430 </w:t>
            </w:r>
            <w:r>
              <w:rPr>
                <w:rFonts w:hint="eastAsia" w:ascii="Times New Roman" w:hAnsi="Times New Roman" w:eastAsia="宋体" w:cs="Times New Roman"/>
                <w:b w:val="0"/>
                <w:bCs w:val="0"/>
                <w:color w:val="auto"/>
                <w:kern w:val="0"/>
                <w:sz w:val="24"/>
                <w:szCs w:val="24"/>
                <w:lang w:val="en-US" w:eastAsia="zh-CN" w:bidi="ar-SA"/>
              </w:rPr>
              <w:t>工业锅炉（热力生产和供应行业）产污系数表</w:t>
            </w:r>
            <w:r>
              <w:rPr>
                <w:rFonts w:hint="default" w:ascii="Times New Roman" w:hAnsi="Times New Roman" w:eastAsia="宋体" w:cs="Times New Roman"/>
                <w:b w:val="0"/>
                <w:bCs w:val="0"/>
                <w:color w:val="auto"/>
                <w:kern w:val="0"/>
                <w:sz w:val="24"/>
                <w:szCs w:val="24"/>
                <w:lang w:val="en-US" w:eastAsia="zh-CN" w:bidi="ar-SA"/>
              </w:rPr>
              <w:t>-</w:t>
            </w:r>
            <w:r>
              <w:rPr>
                <w:rFonts w:hint="eastAsia" w:ascii="Times New Roman" w:hAnsi="Times New Roman" w:eastAsia="宋体" w:cs="Times New Roman"/>
                <w:b w:val="0"/>
                <w:bCs w:val="0"/>
                <w:color w:val="auto"/>
                <w:kern w:val="0"/>
                <w:sz w:val="24"/>
                <w:szCs w:val="24"/>
                <w:lang w:val="en-US" w:eastAsia="zh-CN" w:bidi="ar-SA"/>
              </w:rPr>
              <w:t>燃气工业锅炉</w:t>
            </w:r>
            <w:r>
              <w:rPr>
                <w:rFonts w:hint="eastAsia" w:cs="Times New Roman"/>
                <w:b w:val="0"/>
                <w:bCs w:val="0"/>
                <w:color w:val="auto"/>
                <w:kern w:val="0"/>
                <w:sz w:val="24"/>
                <w:szCs w:val="24"/>
                <w:lang w:val="en-US" w:eastAsia="zh-CN" w:bidi="ar-SA"/>
              </w:rPr>
              <w:t>-</w:t>
            </w:r>
            <w:r>
              <w:rPr>
                <w:rFonts w:hint="eastAsia" w:ascii="Times New Roman" w:hAnsi="Times New Roman" w:eastAsia="宋体" w:cs="Times New Roman"/>
                <w:b w:val="0"/>
                <w:bCs w:val="0"/>
                <w:color w:val="auto"/>
                <w:kern w:val="0"/>
                <w:sz w:val="24"/>
                <w:szCs w:val="24"/>
                <w:lang w:val="en-US" w:eastAsia="zh-CN" w:bidi="ar-SA"/>
              </w:rPr>
              <w:t>天然气-室燃炉”，其中颗粒物参照《排污许可证申请与核发技术规范锅炉》（HJ953-2018）</w:t>
            </w:r>
            <w:r>
              <w:rPr>
                <w:rFonts w:hint="eastAsia" w:cs="Times New Roman"/>
                <w:b w:val="0"/>
                <w:bCs w:val="0"/>
                <w:color w:val="auto"/>
                <w:kern w:val="0"/>
                <w:sz w:val="24"/>
                <w:szCs w:val="24"/>
                <w:lang w:val="en-US" w:eastAsia="zh-CN" w:bidi="ar-SA"/>
              </w:rPr>
              <w:t>，</w:t>
            </w:r>
            <w:r>
              <w:rPr>
                <w:rFonts w:hint="eastAsia" w:ascii="Times New Roman" w:hAnsi="Times New Roman" w:eastAsia="宋体" w:cs="Times New Roman"/>
                <w:b w:val="0"/>
                <w:bCs w:val="0"/>
                <w:color w:val="auto"/>
                <w:kern w:val="0"/>
                <w:sz w:val="24"/>
                <w:szCs w:val="24"/>
                <w:lang w:val="en-US" w:eastAsia="zh-CN" w:bidi="ar-SA"/>
              </w:rPr>
              <w:t>颗粒物产污系数2.86千克/万立方米-燃料。具体产污系数如下表4-2。</w:t>
            </w:r>
          </w:p>
          <w:p w14:paraId="2E7CE81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cs="Times New Roman"/>
                <w:b/>
                <w:bCs/>
                <w:color w:val="auto"/>
                <w:sz w:val="21"/>
                <w:szCs w:val="21"/>
                <w:highlight w:val="none"/>
                <w:lang w:val="en-US" w:eastAsia="zh-CN"/>
              </w:rPr>
              <w:t>3</w:t>
            </w:r>
            <w:r>
              <w:rPr>
                <w:rFonts w:hint="eastAsia" w:ascii="Times New Roman" w:hAnsi="Times New Roman" w:cs="Times New Roman"/>
                <w:b/>
                <w:bCs/>
                <w:color w:val="auto"/>
                <w:sz w:val="21"/>
                <w:szCs w:val="21"/>
                <w:highlight w:val="none"/>
                <w:lang w:val="en-US" w:eastAsia="zh-CN"/>
              </w:rPr>
              <w:t xml:space="preserve"> </w:t>
            </w:r>
            <w:r>
              <w:rPr>
                <w:rFonts w:hint="eastAsia" w:ascii="Times New Roman"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锅炉废气产</w:t>
            </w:r>
            <w:r>
              <w:rPr>
                <w:rFonts w:hint="eastAsia" w:ascii="Times New Roman" w:cs="Times New Roman"/>
                <w:b/>
                <w:bCs/>
                <w:color w:val="auto"/>
                <w:sz w:val="21"/>
                <w:szCs w:val="21"/>
                <w:highlight w:val="none"/>
                <w:lang w:val="en-US" w:eastAsia="zh-CN"/>
              </w:rPr>
              <w:t>污</w:t>
            </w:r>
            <w:r>
              <w:rPr>
                <w:rFonts w:hint="eastAsia" w:ascii="Times New Roman" w:hAnsi="Times New Roman" w:cs="Times New Roman"/>
                <w:b/>
                <w:bCs/>
                <w:color w:val="auto"/>
                <w:sz w:val="21"/>
                <w:szCs w:val="21"/>
                <w:highlight w:val="none"/>
                <w:lang w:val="en-US" w:eastAsia="zh-CN"/>
              </w:rPr>
              <w:t>系数表</w:t>
            </w:r>
          </w:p>
          <w:tbl>
            <w:tblPr>
              <w:tblStyle w:val="34"/>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840"/>
              <w:gridCol w:w="744"/>
              <w:gridCol w:w="768"/>
              <w:gridCol w:w="1476"/>
              <w:gridCol w:w="2088"/>
              <w:gridCol w:w="1452"/>
            </w:tblGrid>
            <w:tr w14:paraId="1394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Align w:val="center"/>
                </w:tcPr>
                <w:p w14:paraId="542E5FEC">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产品名称</w:t>
                  </w:r>
                </w:p>
              </w:tc>
              <w:tc>
                <w:tcPr>
                  <w:tcW w:w="840" w:type="dxa"/>
                  <w:vAlign w:val="center"/>
                </w:tcPr>
                <w:p w14:paraId="243816EE">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原料名称</w:t>
                  </w:r>
                </w:p>
              </w:tc>
              <w:tc>
                <w:tcPr>
                  <w:tcW w:w="744" w:type="dxa"/>
                  <w:vAlign w:val="center"/>
                </w:tcPr>
                <w:p w14:paraId="015AD7CE">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工艺名称</w:t>
                  </w:r>
                </w:p>
              </w:tc>
              <w:tc>
                <w:tcPr>
                  <w:tcW w:w="768" w:type="dxa"/>
                  <w:vAlign w:val="center"/>
                </w:tcPr>
                <w:p w14:paraId="7B6F2A5B">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规模等级</w:t>
                  </w:r>
                </w:p>
              </w:tc>
              <w:tc>
                <w:tcPr>
                  <w:tcW w:w="1476" w:type="dxa"/>
                  <w:vAlign w:val="center"/>
                </w:tcPr>
                <w:p w14:paraId="72FDF0E1">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污染物指标</w:t>
                  </w:r>
                </w:p>
              </w:tc>
              <w:tc>
                <w:tcPr>
                  <w:tcW w:w="2088" w:type="dxa"/>
                  <w:vAlign w:val="center"/>
                </w:tcPr>
                <w:p w14:paraId="6D4103A3">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单位</w:t>
                  </w:r>
                </w:p>
              </w:tc>
              <w:tc>
                <w:tcPr>
                  <w:tcW w:w="1452" w:type="dxa"/>
                  <w:vAlign w:val="center"/>
                </w:tcPr>
                <w:p w14:paraId="6CC259F2">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产物系数</w:t>
                  </w:r>
                </w:p>
              </w:tc>
            </w:tr>
            <w:tr w14:paraId="39AF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restart"/>
                  <w:vAlign w:val="center"/>
                </w:tcPr>
                <w:p w14:paraId="65BE1915">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蒸汽/热水/其他</w:t>
                  </w:r>
                </w:p>
              </w:tc>
              <w:tc>
                <w:tcPr>
                  <w:tcW w:w="840" w:type="dxa"/>
                  <w:vMerge w:val="restart"/>
                  <w:vAlign w:val="center"/>
                </w:tcPr>
                <w:p w14:paraId="1C6500E3">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天然气</w:t>
                  </w:r>
                </w:p>
              </w:tc>
              <w:tc>
                <w:tcPr>
                  <w:tcW w:w="744" w:type="dxa"/>
                  <w:vMerge w:val="restart"/>
                  <w:vAlign w:val="center"/>
                </w:tcPr>
                <w:p w14:paraId="0B7CD07A">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室燃炉</w:t>
                  </w:r>
                </w:p>
              </w:tc>
              <w:tc>
                <w:tcPr>
                  <w:tcW w:w="768" w:type="dxa"/>
                  <w:vMerge w:val="restart"/>
                  <w:vAlign w:val="center"/>
                </w:tcPr>
                <w:p w14:paraId="744678BE">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所有规模</w:t>
                  </w:r>
                </w:p>
              </w:tc>
              <w:tc>
                <w:tcPr>
                  <w:tcW w:w="1476" w:type="dxa"/>
                  <w:vAlign w:val="center"/>
                </w:tcPr>
                <w:p w14:paraId="2E91308A">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二氧化硫</w:t>
                  </w:r>
                </w:p>
              </w:tc>
              <w:tc>
                <w:tcPr>
                  <w:tcW w:w="2088" w:type="dxa"/>
                  <w:vAlign w:val="center"/>
                </w:tcPr>
                <w:p w14:paraId="3953BF86">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千克/万立方米-燃料</w:t>
                  </w:r>
                </w:p>
              </w:tc>
              <w:tc>
                <w:tcPr>
                  <w:tcW w:w="1452" w:type="dxa"/>
                  <w:vAlign w:val="center"/>
                </w:tcPr>
                <w:p w14:paraId="5A994B0C">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0.02S</w:t>
                  </w:r>
                </w:p>
              </w:tc>
            </w:tr>
            <w:tr w14:paraId="0499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14:paraId="568C54DA">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p>
              </w:tc>
              <w:tc>
                <w:tcPr>
                  <w:tcW w:w="840" w:type="dxa"/>
                  <w:vMerge w:val="continue"/>
                  <w:vAlign w:val="center"/>
                </w:tcPr>
                <w:p w14:paraId="4CEDD96F">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p>
              </w:tc>
              <w:tc>
                <w:tcPr>
                  <w:tcW w:w="744" w:type="dxa"/>
                  <w:vMerge w:val="continue"/>
                  <w:vAlign w:val="center"/>
                </w:tcPr>
                <w:p w14:paraId="2C3B1048">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p>
              </w:tc>
              <w:tc>
                <w:tcPr>
                  <w:tcW w:w="768" w:type="dxa"/>
                  <w:vMerge w:val="continue"/>
                  <w:vAlign w:val="center"/>
                </w:tcPr>
                <w:p w14:paraId="423CE54E">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p>
              </w:tc>
              <w:tc>
                <w:tcPr>
                  <w:tcW w:w="1476" w:type="dxa"/>
                  <w:vAlign w:val="center"/>
                </w:tcPr>
                <w:p w14:paraId="1A678663">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颗粒物</w:t>
                  </w:r>
                </w:p>
              </w:tc>
              <w:tc>
                <w:tcPr>
                  <w:tcW w:w="2088" w:type="dxa"/>
                  <w:vAlign w:val="center"/>
                </w:tcPr>
                <w:p w14:paraId="3AEF39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千克/万立方米-燃料</w:t>
                  </w:r>
                </w:p>
              </w:tc>
              <w:tc>
                <w:tcPr>
                  <w:tcW w:w="1452" w:type="dxa"/>
                  <w:vAlign w:val="center"/>
                </w:tcPr>
                <w:p w14:paraId="13B80859">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2.86</w:t>
                  </w:r>
                </w:p>
              </w:tc>
            </w:tr>
            <w:tr w14:paraId="7B31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14:paraId="09A4B016">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p>
              </w:tc>
              <w:tc>
                <w:tcPr>
                  <w:tcW w:w="840" w:type="dxa"/>
                  <w:vMerge w:val="continue"/>
                  <w:vAlign w:val="center"/>
                </w:tcPr>
                <w:p w14:paraId="3E79F6F3">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p>
              </w:tc>
              <w:tc>
                <w:tcPr>
                  <w:tcW w:w="744" w:type="dxa"/>
                  <w:vMerge w:val="continue"/>
                  <w:vAlign w:val="center"/>
                </w:tcPr>
                <w:p w14:paraId="448E1389">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p>
              </w:tc>
              <w:tc>
                <w:tcPr>
                  <w:tcW w:w="768" w:type="dxa"/>
                  <w:vMerge w:val="continue"/>
                  <w:vAlign w:val="center"/>
                </w:tcPr>
                <w:p w14:paraId="3464FEFF">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p>
              </w:tc>
              <w:tc>
                <w:tcPr>
                  <w:tcW w:w="1476" w:type="dxa"/>
                  <w:vAlign w:val="center"/>
                </w:tcPr>
                <w:p w14:paraId="00074CBE">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氮氧化物</w:t>
                  </w:r>
                </w:p>
              </w:tc>
              <w:tc>
                <w:tcPr>
                  <w:tcW w:w="2088" w:type="dxa"/>
                  <w:vAlign w:val="center"/>
                </w:tcPr>
                <w:p w14:paraId="0D4E66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千克/万立方米-燃料</w:t>
                  </w:r>
                </w:p>
              </w:tc>
              <w:tc>
                <w:tcPr>
                  <w:tcW w:w="1452" w:type="dxa"/>
                  <w:vAlign w:val="center"/>
                </w:tcPr>
                <w:p w14:paraId="7B250135">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6.97</w:t>
                  </w:r>
                </w:p>
                <w:p w14:paraId="3132FE2E">
                  <w:pPr>
                    <w:keepNext w:val="0"/>
                    <w:keepLines w:val="0"/>
                    <w:pageBreakBefore w:val="0"/>
                    <w:widowControl w:val="0"/>
                    <w:tabs>
                      <w:tab w:val="left" w:pos="5055"/>
                    </w:tabs>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（低氮燃烧-国内领先）</w:t>
                  </w:r>
                </w:p>
              </w:tc>
            </w:tr>
            <w:tr w14:paraId="4E65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0" w:type="dxa"/>
                  <w:gridSpan w:val="7"/>
                  <w:vAlign w:val="center"/>
                </w:tcPr>
                <w:p w14:paraId="45907E15">
                  <w:pPr>
                    <w:keepNext w:val="0"/>
                    <w:keepLines w:val="0"/>
                    <w:widowControl/>
                    <w:suppressLineNumbers w:val="0"/>
                    <w:jc w:val="left"/>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注：</w:t>
                  </w:r>
                </w:p>
                <w:p w14:paraId="7BE72FB9">
                  <w:pPr>
                    <w:keepNext w:val="0"/>
                    <w:keepLines w:val="0"/>
                    <w:widowControl/>
                    <w:suppressLineNumbers w:val="0"/>
                    <w:jc w:val="left"/>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1、产污系数表中气体燃料的二氧化硫的产污系数是以含硫量（</w:t>
                  </w:r>
                  <w:r>
                    <w:rPr>
                      <w:rFonts w:hint="default"/>
                      <w:b w:val="0"/>
                      <w:bCs w:val="0"/>
                      <w:color w:val="auto"/>
                      <w:sz w:val="21"/>
                      <w:szCs w:val="21"/>
                      <w:highlight w:val="none"/>
                      <w:vertAlign w:val="baseline"/>
                      <w:lang w:val="en-US" w:eastAsia="zh-CN"/>
                    </w:rPr>
                    <w:t>S</w:t>
                  </w:r>
                  <w:r>
                    <w:rPr>
                      <w:rFonts w:hint="eastAsia"/>
                      <w:b w:val="0"/>
                      <w:bCs w:val="0"/>
                      <w:color w:val="auto"/>
                      <w:sz w:val="21"/>
                      <w:szCs w:val="21"/>
                      <w:highlight w:val="none"/>
                      <w:vertAlign w:val="baseline"/>
                      <w:lang w:val="en-US" w:eastAsia="zh-CN"/>
                    </w:rPr>
                    <w:t>）的形式表示的，其中含硫量（</w:t>
                  </w:r>
                  <w:r>
                    <w:rPr>
                      <w:rFonts w:hint="default"/>
                      <w:b w:val="0"/>
                      <w:bCs w:val="0"/>
                      <w:color w:val="auto"/>
                      <w:sz w:val="21"/>
                      <w:szCs w:val="21"/>
                      <w:highlight w:val="none"/>
                      <w:vertAlign w:val="baseline"/>
                      <w:lang w:val="en-US" w:eastAsia="zh-CN"/>
                    </w:rPr>
                    <w:t>S</w:t>
                  </w:r>
                  <w:r>
                    <w:rPr>
                      <w:rFonts w:hint="eastAsia"/>
                      <w:b w:val="0"/>
                      <w:bCs w:val="0"/>
                      <w:color w:val="auto"/>
                      <w:sz w:val="21"/>
                      <w:szCs w:val="21"/>
                      <w:highlight w:val="none"/>
                      <w:vertAlign w:val="baseline"/>
                      <w:lang w:val="en-US" w:eastAsia="zh-CN"/>
                    </w:rPr>
                    <w:t>）是指气体燃料中的硫含量，单位为毫克</w:t>
                  </w:r>
                  <w:r>
                    <w:rPr>
                      <w:rFonts w:hint="default"/>
                      <w:b w:val="0"/>
                      <w:bCs w:val="0"/>
                      <w:color w:val="auto"/>
                      <w:sz w:val="21"/>
                      <w:szCs w:val="21"/>
                      <w:highlight w:val="none"/>
                      <w:vertAlign w:val="baseline"/>
                      <w:lang w:val="en-US" w:eastAsia="zh-CN"/>
                    </w:rPr>
                    <w:t>/</w:t>
                  </w:r>
                  <w:r>
                    <w:rPr>
                      <w:rFonts w:hint="eastAsia"/>
                      <w:b w:val="0"/>
                      <w:bCs w:val="0"/>
                      <w:color w:val="auto"/>
                      <w:sz w:val="21"/>
                      <w:szCs w:val="21"/>
                      <w:highlight w:val="none"/>
                      <w:vertAlign w:val="baseline"/>
                      <w:lang w:val="en-US" w:eastAsia="zh-CN"/>
                    </w:rPr>
                    <w:t>立方米。本项目燃料天然气中含硫量（</w:t>
                  </w:r>
                  <w:r>
                    <w:rPr>
                      <w:rFonts w:hint="default"/>
                      <w:b w:val="0"/>
                      <w:bCs w:val="0"/>
                      <w:color w:val="auto"/>
                      <w:sz w:val="21"/>
                      <w:szCs w:val="21"/>
                      <w:highlight w:val="none"/>
                      <w:vertAlign w:val="baseline"/>
                      <w:lang w:val="en-US" w:eastAsia="zh-CN"/>
                    </w:rPr>
                    <w:t>S</w:t>
                  </w:r>
                  <w:r>
                    <w:rPr>
                      <w:rFonts w:hint="eastAsia"/>
                      <w:b w:val="0"/>
                      <w:bCs w:val="0"/>
                      <w:color w:val="auto"/>
                      <w:sz w:val="21"/>
                      <w:szCs w:val="21"/>
                      <w:highlight w:val="none"/>
                      <w:vertAlign w:val="baseline"/>
                      <w:lang w:val="en-US" w:eastAsia="zh-CN"/>
                    </w:rPr>
                    <w:t xml:space="preserve">）为 </w:t>
                  </w:r>
                  <w:r>
                    <w:rPr>
                      <w:rFonts w:hint="default" w:ascii="Times New Roman" w:hAnsi="Times New Roman" w:eastAsia="宋体" w:cs="Times New Roman"/>
                      <w:color w:val="auto"/>
                      <w:lang w:val="en-US" w:eastAsia="zh-CN"/>
                    </w:rPr>
                    <w:t>200mg/m</w:t>
                  </w:r>
                  <w:r>
                    <w:rPr>
                      <w:rFonts w:hint="default" w:ascii="Times New Roman" w:hAnsi="Times New Roman" w:eastAsia="宋体" w:cs="Times New Roman"/>
                      <w:color w:val="auto"/>
                      <w:vertAlign w:val="superscript"/>
                      <w:lang w:val="en-US" w:eastAsia="zh-CN"/>
                    </w:rPr>
                    <w:t>3</w:t>
                  </w:r>
                  <w:r>
                    <w:rPr>
                      <w:rFonts w:hint="eastAsia"/>
                      <w:b w:val="0"/>
                      <w:bCs w:val="0"/>
                      <w:color w:val="auto"/>
                      <w:sz w:val="21"/>
                      <w:szCs w:val="21"/>
                      <w:highlight w:val="none"/>
                      <w:vertAlign w:val="baseline"/>
                      <w:lang w:val="en-US" w:eastAsia="zh-CN"/>
                    </w:rPr>
                    <w:t xml:space="preserve">，则 </w:t>
                  </w:r>
                  <w:r>
                    <w:rPr>
                      <w:rFonts w:hint="default"/>
                      <w:b w:val="0"/>
                      <w:bCs w:val="0"/>
                      <w:color w:val="auto"/>
                      <w:sz w:val="21"/>
                      <w:szCs w:val="21"/>
                      <w:highlight w:val="none"/>
                      <w:vertAlign w:val="baseline"/>
                      <w:lang w:val="en-US" w:eastAsia="zh-CN"/>
                    </w:rPr>
                    <w:t>S=200</w:t>
                  </w:r>
                  <w:r>
                    <w:rPr>
                      <w:rFonts w:hint="eastAsia"/>
                      <w:b w:val="0"/>
                      <w:bCs w:val="0"/>
                      <w:color w:val="auto"/>
                      <w:sz w:val="21"/>
                      <w:szCs w:val="21"/>
                      <w:highlight w:val="none"/>
                      <w:vertAlign w:val="baseline"/>
                      <w:lang w:val="en-US" w:eastAsia="zh-CN"/>
                    </w:rPr>
                    <w:t>。</w:t>
                  </w:r>
                </w:p>
                <w:p w14:paraId="7046A58A">
                  <w:pPr>
                    <w:keepNext w:val="0"/>
                    <w:keepLines w:val="0"/>
                    <w:widowControl/>
                    <w:suppressLineNumbers w:val="0"/>
                    <w:jc w:val="left"/>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2、低氮燃烧</w:t>
                  </w:r>
                  <w:r>
                    <w:rPr>
                      <w:rFonts w:hint="default"/>
                      <w:b w:val="0"/>
                      <w:bCs w:val="0"/>
                      <w:color w:val="auto"/>
                      <w:sz w:val="21"/>
                      <w:szCs w:val="21"/>
                      <w:highlight w:val="none"/>
                      <w:vertAlign w:val="baseline"/>
                      <w:lang w:val="en-US" w:eastAsia="zh-CN"/>
                    </w:rPr>
                    <w:t>-</w:t>
                  </w:r>
                  <w:r>
                    <w:rPr>
                      <w:rFonts w:hint="eastAsia"/>
                      <w:b w:val="0"/>
                      <w:bCs w:val="0"/>
                      <w:color w:val="auto"/>
                      <w:sz w:val="21"/>
                      <w:szCs w:val="21"/>
                      <w:highlight w:val="none"/>
                      <w:vertAlign w:val="baseline"/>
                      <w:lang w:val="en-US" w:eastAsia="zh-CN"/>
                    </w:rPr>
                    <w:t xml:space="preserve">国内领先技术的天然气锅炉设计 </w:t>
                  </w:r>
                  <w:r>
                    <w:rPr>
                      <w:rFonts w:hint="default"/>
                      <w:b w:val="0"/>
                      <w:bCs w:val="0"/>
                      <w:color w:val="auto"/>
                      <w:sz w:val="21"/>
                      <w:szCs w:val="21"/>
                      <w:highlight w:val="none"/>
                      <w:vertAlign w:val="baseline"/>
                      <w:lang w:val="en-US" w:eastAsia="zh-CN"/>
                    </w:rPr>
                    <w:t xml:space="preserve">NOx </w:t>
                  </w:r>
                  <w:r>
                    <w:rPr>
                      <w:rFonts w:hint="eastAsia"/>
                      <w:b w:val="0"/>
                      <w:bCs w:val="0"/>
                      <w:color w:val="auto"/>
                      <w:sz w:val="21"/>
                      <w:szCs w:val="21"/>
                      <w:highlight w:val="none"/>
                      <w:vertAlign w:val="baseline"/>
                      <w:lang w:val="en-US" w:eastAsia="zh-CN"/>
                    </w:rPr>
                    <w:t>排放控制要求一般介于</w:t>
                  </w:r>
                  <w:r>
                    <w:rPr>
                      <w:rFonts w:hint="default"/>
                      <w:b w:val="0"/>
                      <w:bCs w:val="0"/>
                      <w:color w:val="auto"/>
                      <w:sz w:val="21"/>
                      <w:szCs w:val="21"/>
                      <w:highlight w:val="none"/>
                      <w:vertAlign w:val="baseline"/>
                      <w:lang w:val="en-US" w:eastAsia="zh-CN"/>
                    </w:rPr>
                    <w:t>60mg/m3</w:t>
                  </w:r>
                  <w:r>
                    <w:rPr>
                      <w:rFonts w:hint="eastAsia"/>
                      <w:b w:val="0"/>
                      <w:bCs w:val="0"/>
                      <w:color w:val="auto"/>
                      <w:sz w:val="21"/>
                      <w:szCs w:val="21"/>
                      <w:highlight w:val="none"/>
                      <w:vertAlign w:val="baseline"/>
                      <w:lang w:val="en-US" w:eastAsia="zh-CN"/>
                    </w:rPr>
                    <w:t>（</w:t>
                  </w:r>
                  <w:r>
                    <w:rPr>
                      <w:rFonts w:hint="default"/>
                      <w:b w:val="0"/>
                      <w:bCs w:val="0"/>
                      <w:color w:val="auto"/>
                      <w:sz w:val="21"/>
                      <w:szCs w:val="21"/>
                      <w:highlight w:val="none"/>
                      <w:vertAlign w:val="baseline"/>
                      <w:lang w:val="en-US" w:eastAsia="zh-CN"/>
                    </w:rPr>
                    <w:t>@3.5%O2</w:t>
                  </w:r>
                  <w:r>
                    <w:rPr>
                      <w:rFonts w:hint="eastAsia"/>
                      <w:b w:val="0"/>
                      <w:bCs w:val="0"/>
                      <w:color w:val="auto"/>
                      <w:sz w:val="21"/>
                      <w:szCs w:val="21"/>
                      <w:highlight w:val="none"/>
                      <w:vertAlign w:val="baseline"/>
                      <w:lang w:val="en-US" w:eastAsia="zh-CN"/>
                    </w:rPr>
                    <w:t>）</w:t>
                  </w:r>
                  <w:r>
                    <w:rPr>
                      <w:rFonts w:hint="default"/>
                      <w:b w:val="0"/>
                      <w:bCs w:val="0"/>
                      <w:color w:val="auto"/>
                      <w:sz w:val="21"/>
                      <w:szCs w:val="21"/>
                      <w:highlight w:val="none"/>
                      <w:vertAlign w:val="baseline"/>
                      <w:lang w:val="en-US" w:eastAsia="zh-CN"/>
                    </w:rPr>
                    <w:t>~100 mg/m3</w:t>
                  </w:r>
                  <w:r>
                    <w:rPr>
                      <w:rFonts w:hint="eastAsia"/>
                      <w:b w:val="0"/>
                      <w:bCs w:val="0"/>
                      <w:color w:val="auto"/>
                      <w:sz w:val="21"/>
                      <w:szCs w:val="21"/>
                      <w:highlight w:val="none"/>
                      <w:vertAlign w:val="baseline"/>
                      <w:lang w:val="en-US" w:eastAsia="zh-CN"/>
                    </w:rPr>
                    <w:t>（</w:t>
                  </w:r>
                  <w:r>
                    <w:rPr>
                      <w:rFonts w:hint="default"/>
                      <w:b w:val="0"/>
                      <w:bCs w:val="0"/>
                      <w:color w:val="auto"/>
                      <w:sz w:val="21"/>
                      <w:szCs w:val="21"/>
                      <w:highlight w:val="none"/>
                      <w:vertAlign w:val="baseline"/>
                      <w:lang w:val="en-US" w:eastAsia="zh-CN"/>
                    </w:rPr>
                    <w:t>@3.5%O2</w:t>
                  </w:r>
                  <w:r>
                    <w:rPr>
                      <w:rFonts w:hint="eastAsia"/>
                      <w:b w:val="0"/>
                      <w:bCs w:val="0"/>
                      <w:color w:val="auto"/>
                      <w:sz w:val="21"/>
                      <w:szCs w:val="21"/>
                      <w:highlight w:val="none"/>
                      <w:vertAlign w:val="baseline"/>
                      <w:lang w:val="en-US" w:eastAsia="zh-CN"/>
                    </w:rPr>
                    <w:t>）。</w:t>
                  </w:r>
                </w:p>
              </w:tc>
            </w:tr>
          </w:tbl>
          <w:p w14:paraId="1EE7FBB8">
            <w:pPr>
              <w:pStyle w:val="124"/>
              <w:bidi w:val="0"/>
              <w:rPr>
                <w:rFonts w:hint="eastAsia"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本项目</w:t>
            </w:r>
            <w:r>
              <w:rPr>
                <w:rFonts w:hint="eastAsia" w:ascii="Times New Roman" w:hAnsi="Times New Roman" w:eastAsia="宋体" w:cs="Times New Roman"/>
                <w:color w:val="000000"/>
                <w:kern w:val="0"/>
                <w:sz w:val="24"/>
                <w:szCs w:val="24"/>
                <w:lang w:val="en-US" w:eastAsia="zh-CN" w:bidi="ar"/>
              </w:rPr>
              <w:t>中央厨房</w:t>
            </w:r>
            <w:r>
              <w:rPr>
                <w:rFonts w:hint="eastAsia" w:ascii="Times New Roman" w:hAnsi="Times New Roman" w:eastAsia="宋体" w:cs="Times New Roman"/>
                <w:b w:val="0"/>
                <w:bCs w:val="0"/>
                <w:color w:val="auto"/>
                <w:kern w:val="0"/>
                <w:sz w:val="24"/>
                <w:szCs w:val="24"/>
                <w:lang w:val="en-US" w:eastAsia="zh-CN" w:bidi="ar-SA"/>
              </w:rPr>
              <w:t>使用</w:t>
            </w:r>
            <w:r>
              <w:rPr>
                <w:rFonts w:hint="eastAsia" w:cs="Times New Roman"/>
                <w:b w:val="0"/>
                <w:bCs w:val="0"/>
                <w:color w:val="auto"/>
                <w:kern w:val="0"/>
                <w:sz w:val="24"/>
                <w:szCs w:val="24"/>
                <w:lang w:val="en-US" w:eastAsia="zh-CN" w:bidi="ar-SA"/>
              </w:rPr>
              <w:t>的每</w:t>
            </w:r>
            <w:r>
              <w:rPr>
                <w:rFonts w:hint="eastAsia" w:ascii="Times New Roman" w:hAnsi="Times New Roman" w:eastAsia="宋体" w:cs="Times New Roman"/>
                <w:color w:val="000000"/>
                <w:kern w:val="0"/>
                <w:sz w:val="24"/>
                <w:szCs w:val="24"/>
                <w:lang w:val="en-US" w:eastAsia="zh-CN" w:bidi="ar"/>
              </w:rPr>
              <w:t>台0.5t/h</w:t>
            </w:r>
            <w:r>
              <w:rPr>
                <w:rFonts w:hint="eastAsia" w:cs="Times New Roman"/>
                <w:color w:val="000000"/>
                <w:kern w:val="0"/>
                <w:sz w:val="24"/>
                <w:szCs w:val="24"/>
                <w:lang w:val="en-US" w:eastAsia="zh-CN" w:bidi="ar"/>
              </w:rPr>
              <w:t>燃气锅炉</w:t>
            </w:r>
            <w:r>
              <w:rPr>
                <w:rFonts w:hint="eastAsia" w:ascii="Times New Roman" w:hAnsi="Times New Roman" w:eastAsia="宋体" w:cs="Times New Roman"/>
                <w:b w:val="0"/>
                <w:bCs w:val="0"/>
                <w:color w:val="auto"/>
                <w:kern w:val="0"/>
                <w:sz w:val="24"/>
                <w:szCs w:val="24"/>
                <w:lang w:val="en-US" w:eastAsia="zh-CN" w:bidi="ar-SA"/>
              </w:rPr>
              <w:t>天然气消耗量为</w:t>
            </w:r>
            <w:r>
              <w:rPr>
                <w:rFonts w:hint="eastAsia" w:cs="Times New Roman"/>
                <w:b w:val="0"/>
                <w:bCs w:val="0"/>
                <w:color w:val="auto"/>
                <w:kern w:val="0"/>
                <w:sz w:val="24"/>
                <w:szCs w:val="24"/>
                <w:lang w:val="en-US" w:eastAsia="zh-CN" w:bidi="ar-SA"/>
              </w:rPr>
              <w:t>8.4</w:t>
            </w:r>
            <w:r>
              <w:rPr>
                <w:rFonts w:hint="eastAsia" w:ascii="Times New Roman" w:hAnsi="Times New Roman" w:eastAsia="宋体" w:cs="Times New Roman"/>
                <w:b w:val="0"/>
                <w:bCs w:val="0"/>
                <w:color w:val="auto"/>
                <w:kern w:val="0"/>
                <w:sz w:val="24"/>
                <w:szCs w:val="24"/>
                <w:lang w:val="en-US" w:eastAsia="zh-CN" w:bidi="ar-SA"/>
              </w:rPr>
              <w:t>万</w:t>
            </w:r>
            <w:r>
              <w:rPr>
                <w:rFonts w:hint="default" w:ascii="Times New Roman" w:hAnsi="Times New Roman" w:eastAsia="宋体" w:cs="Times New Roman"/>
                <w:b w:val="0"/>
                <w:bCs w:val="0"/>
                <w:color w:val="auto"/>
                <w:kern w:val="0"/>
                <w:sz w:val="24"/>
                <w:szCs w:val="24"/>
                <w:lang w:val="en-US" w:eastAsia="zh-CN" w:bidi="ar-SA"/>
              </w:rPr>
              <w:t>m</w:t>
            </w:r>
            <w:r>
              <w:rPr>
                <w:rFonts w:hint="eastAsia" w:ascii="Times New Roman" w:hAnsi="Times New Roman" w:eastAsia="宋体" w:cs="Times New Roman"/>
                <w:b w:val="0"/>
                <w:bCs w:val="0"/>
                <w:color w:val="auto"/>
                <w:kern w:val="0"/>
                <w:sz w:val="24"/>
                <w:szCs w:val="24"/>
                <w:vertAlign w:val="superscript"/>
                <w:lang w:val="en-US" w:eastAsia="zh-CN" w:bidi="ar-SA"/>
              </w:rPr>
              <w:t>3</w:t>
            </w:r>
            <w:r>
              <w:rPr>
                <w:rFonts w:hint="default" w:ascii="Times New Roman" w:hAnsi="Times New Roman" w:eastAsia="宋体" w:cs="Times New Roman"/>
                <w:b w:val="0"/>
                <w:bCs w:val="0"/>
                <w:color w:val="auto"/>
                <w:kern w:val="0"/>
                <w:sz w:val="24"/>
                <w:szCs w:val="24"/>
                <w:lang w:val="en-US" w:eastAsia="zh-CN" w:bidi="ar-SA"/>
              </w:rPr>
              <w:t>/a</w:t>
            </w:r>
            <w:r>
              <w:rPr>
                <w:rFonts w:hint="eastAsia" w:ascii="Times New Roman" w:hAnsi="Times New Roman" w:eastAsia="宋体" w:cs="Times New Roman"/>
                <w:b w:val="0"/>
                <w:bCs w:val="0"/>
                <w:color w:val="auto"/>
                <w:kern w:val="0"/>
                <w:sz w:val="24"/>
                <w:szCs w:val="24"/>
                <w:lang w:val="en-US" w:eastAsia="zh-CN" w:bidi="ar-SA"/>
              </w:rPr>
              <w:t>，</w:t>
            </w:r>
            <w:r>
              <w:rPr>
                <w:rFonts w:hint="eastAsia" w:ascii="Times New Roman" w:hAnsi="Times New Roman" w:eastAsia="宋体" w:cs="Times New Roman"/>
                <w:color w:val="000000"/>
                <w:kern w:val="0"/>
                <w:sz w:val="24"/>
                <w:szCs w:val="24"/>
                <w:lang w:val="en-US" w:eastAsia="zh-CN" w:bidi="ar"/>
              </w:rPr>
              <w:t>中央厨房</w:t>
            </w:r>
            <w:r>
              <w:rPr>
                <w:rFonts w:hint="eastAsia" w:cs="Times New Roman"/>
                <w:color w:val="000000"/>
                <w:kern w:val="0"/>
                <w:sz w:val="24"/>
                <w:szCs w:val="24"/>
                <w:lang w:val="en-US" w:eastAsia="zh-CN" w:bidi="ar"/>
              </w:rPr>
              <w:t>共</w:t>
            </w:r>
            <w:r>
              <w:rPr>
                <w:rFonts w:hint="eastAsia" w:cs="Times New Roman"/>
                <w:b w:val="0"/>
                <w:bCs w:val="0"/>
                <w:color w:val="auto"/>
                <w:kern w:val="0"/>
                <w:sz w:val="24"/>
                <w:szCs w:val="24"/>
                <w:lang w:val="en-US" w:eastAsia="zh-CN" w:bidi="ar-SA"/>
              </w:rPr>
              <w:t>有两台0.5</w:t>
            </w:r>
            <w:r>
              <w:rPr>
                <w:rFonts w:hint="eastAsia" w:ascii="Times New Roman" w:hAnsi="Times New Roman" w:eastAsia="宋体" w:cs="Times New Roman"/>
                <w:color w:val="000000"/>
                <w:kern w:val="0"/>
                <w:sz w:val="24"/>
                <w:szCs w:val="24"/>
                <w:lang w:val="en-US" w:eastAsia="zh-CN" w:bidi="ar"/>
              </w:rPr>
              <w:t>t/h</w:t>
            </w:r>
            <w:r>
              <w:rPr>
                <w:rFonts w:hint="eastAsia" w:cs="Times New Roman"/>
                <w:color w:val="000000"/>
                <w:kern w:val="0"/>
                <w:sz w:val="24"/>
                <w:szCs w:val="24"/>
                <w:lang w:val="en-US" w:eastAsia="zh-CN" w:bidi="ar"/>
              </w:rPr>
              <w:t>燃气锅炉，合计为16.8</w:t>
            </w:r>
            <w:r>
              <w:rPr>
                <w:rFonts w:hint="eastAsia" w:ascii="Times New Roman" w:hAnsi="Times New Roman" w:eastAsia="宋体" w:cs="Times New Roman"/>
                <w:b w:val="0"/>
                <w:bCs w:val="0"/>
                <w:color w:val="auto"/>
                <w:kern w:val="0"/>
                <w:sz w:val="24"/>
                <w:szCs w:val="24"/>
                <w:lang w:val="en-US" w:eastAsia="zh-CN" w:bidi="ar-SA"/>
              </w:rPr>
              <w:t>万</w:t>
            </w:r>
            <w:r>
              <w:rPr>
                <w:rFonts w:hint="default" w:ascii="Times New Roman" w:hAnsi="Times New Roman" w:eastAsia="宋体" w:cs="Times New Roman"/>
                <w:b w:val="0"/>
                <w:bCs w:val="0"/>
                <w:color w:val="auto"/>
                <w:kern w:val="0"/>
                <w:sz w:val="24"/>
                <w:szCs w:val="24"/>
                <w:lang w:val="en-US" w:eastAsia="zh-CN" w:bidi="ar-SA"/>
              </w:rPr>
              <w:t>m</w:t>
            </w:r>
            <w:r>
              <w:rPr>
                <w:rFonts w:hint="eastAsia" w:ascii="Times New Roman" w:hAnsi="Times New Roman" w:eastAsia="宋体" w:cs="Times New Roman"/>
                <w:b w:val="0"/>
                <w:bCs w:val="0"/>
                <w:color w:val="auto"/>
                <w:kern w:val="0"/>
                <w:sz w:val="24"/>
                <w:szCs w:val="24"/>
                <w:vertAlign w:val="superscript"/>
                <w:lang w:val="en-US" w:eastAsia="zh-CN" w:bidi="ar-SA"/>
              </w:rPr>
              <w:t>3</w:t>
            </w:r>
            <w:r>
              <w:rPr>
                <w:rFonts w:hint="default" w:ascii="Times New Roman" w:hAnsi="Times New Roman" w:eastAsia="宋体" w:cs="Times New Roman"/>
                <w:b w:val="0"/>
                <w:bCs w:val="0"/>
                <w:color w:val="auto"/>
                <w:kern w:val="0"/>
                <w:sz w:val="24"/>
                <w:szCs w:val="24"/>
                <w:lang w:val="en-US" w:eastAsia="zh-CN" w:bidi="ar-SA"/>
              </w:rPr>
              <w:t>/a</w:t>
            </w:r>
            <w:r>
              <w:rPr>
                <w:rFonts w:hint="eastAsia" w:cs="Times New Roman"/>
                <w:b w:val="0"/>
                <w:bCs w:val="0"/>
                <w:color w:val="auto"/>
                <w:kern w:val="0"/>
                <w:sz w:val="24"/>
                <w:szCs w:val="24"/>
                <w:lang w:val="en-US" w:eastAsia="zh-CN" w:bidi="ar-SA"/>
              </w:rPr>
              <w:t>，</w:t>
            </w:r>
            <w:r>
              <w:rPr>
                <w:rFonts w:hint="eastAsia" w:cs="Times New Roman"/>
                <w:color w:val="000000"/>
                <w:kern w:val="0"/>
                <w:sz w:val="24"/>
                <w:szCs w:val="24"/>
                <w:lang w:val="en-US" w:eastAsia="zh-CN" w:bidi="ar"/>
              </w:rPr>
              <w:t>分别对应DA005和DA006排气筒，</w:t>
            </w:r>
            <w:r>
              <w:rPr>
                <w:rFonts w:hint="eastAsia" w:cs="Times New Roman"/>
                <w:b w:val="0"/>
                <w:bCs w:val="0"/>
                <w:color w:val="auto"/>
                <w:kern w:val="0"/>
                <w:sz w:val="24"/>
                <w:szCs w:val="24"/>
                <w:lang w:val="en-US" w:eastAsia="zh-CN" w:bidi="ar-SA"/>
              </w:rPr>
              <w:t>根据以上产污系数计算，</w:t>
            </w:r>
          </w:p>
          <w:p w14:paraId="487C012B">
            <w:pPr>
              <w:pStyle w:val="124"/>
              <w:bidi w:val="0"/>
              <w:rPr>
                <w:rFonts w:hint="eastAsia"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则中央厨房锅炉废气1中颗粒物产生量约为0.024t/a，二氧化硫产生量约为0.0336t/a，氮氧化物产生量约为0.0585t/a，中央厨房锅炉废气1通过低氮燃烧技术处理后，经DA005排气筒排放。</w:t>
            </w:r>
          </w:p>
          <w:p w14:paraId="5A893A72">
            <w:pPr>
              <w:pStyle w:val="124"/>
              <w:bidi w:val="0"/>
              <w:rPr>
                <w:rFonts w:hint="default"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则中央厨房锅炉废气2中颗粒物产生量约为0.024t/a，二氧化硫产生量约为0.0336t/a，氮氧化物产生量约为0.0585t/a，中央厨房锅炉废气2通过低氮燃烧技术处理后，经DA006排气筒排放。</w:t>
            </w:r>
          </w:p>
          <w:p w14:paraId="6F280C1D">
            <w:pPr>
              <w:pStyle w:val="124"/>
              <w:bidi w:val="0"/>
              <w:rPr>
                <w:rFonts w:hint="eastAsia" w:ascii="Times New Roman" w:hAnsi="Times New Roman" w:eastAsia="宋体" w:cs="Times New Roman"/>
                <w:b w:val="0"/>
                <w:bCs w:val="0"/>
                <w:color w:val="auto"/>
                <w:kern w:val="0"/>
                <w:sz w:val="24"/>
                <w:szCs w:val="24"/>
                <w:lang w:val="en-US" w:eastAsia="zh-CN" w:bidi="ar-SA"/>
              </w:rPr>
            </w:pPr>
            <w:r>
              <w:rPr>
                <w:rFonts w:hint="eastAsia"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号预制菜车间使用1台4t/h的</w:t>
            </w:r>
            <w:r>
              <w:rPr>
                <w:rFonts w:hint="eastAsia" w:cs="Times New Roman"/>
                <w:color w:val="000000"/>
                <w:kern w:val="0"/>
                <w:sz w:val="24"/>
                <w:szCs w:val="24"/>
                <w:lang w:val="en-US" w:eastAsia="zh-CN" w:bidi="ar"/>
              </w:rPr>
              <w:t>燃气锅炉</w:t>
            </w:r>
            <w:r>
              <w:rPr>
                <w:rFonts w:hint="eastAsia" w:ascii="Times New Roman" w:hAnsi="Times New Roman" w:eastAsia="宋体" w:cs="Times New Roman"/>
                <w:color w:val="000000"/>
                <w:kern w:val="0"/>
                <w:sz w:val="24"/>
                <w:szCs w:val="24"/>
                <w:lang w:val="en-US" w:eastAsia="zh-CN" w:bidi="ar"/>
              </w:rPr>
              <w:t>（锅炉放置在1号预制菜车间北侧</w:t>
            </w:r>
            <w:r>
              <w:rPr>
                <w:rFonts w:hint="eastAsia" w:cs="Times New Roman"/>
                <w:color w:val="000000"/>
                <w:kern w:val="0"/>
                <w:sz w:val="24"/>
                <w:szCs w:val="24"/>
                <w:lang w:val="en-US" w:eastAsia="zh-CN" w:bidi="ar"/>
              </w:rPr>
              <w:t>，主要为3号预制菜车间生产工序提供蒸汽</w:t>
            </w:r>
            <w:r>
              <w:rPr>
                <w:rFonts w:hint="eastAsia"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SA"/>
              </w:rPr>
              <w:t>天然气消耗量为</w:t>
            </w:r>
            <w:r>
              <w:rPr>
                <w:rFonts w:hint="eastAsia" w:cs="Times New Roman"/>
                <w:b w:val="0"/>
                <w:bCs w:val="0"/>
                <w:color w:val="auto"/>
                <w:kern w:val="0"/>
                <w:sz w:val="24"/>
                <w:szCs w:val="24"/>
                <w:lang w:val="en-US" w:eastAsia="zh-CN" w:bidi="ar-SA"/>
              </w:rPr>
              <w:t>76.8</w:t>
            </w:r>
            <w:r>
              <w:rPr>
                <w:rFonts w:hint="eastAsia" w:ascii="Times New Roman" w:hAnsi="Times New Roman" w:eastAsia="宋体" w:cs="Times New Roman"/>
                <w:b w:val="0"/>
                <w:bCs w:val="0"/>
                <w:color w:val="auto"/>
                <w:kern w:val="0"/>
                <w:sz w:val="24"/>
                <w:szCs w:val="24"/>
                <w:lang w:val="en-US" w:eastAsia="zh-CN" w:bidi="ar-SA"/>
              </w:rPr>
              <w:t>万</w:t>
            </w:r>
            <w:r>
              <w:rPr>
                <w:rFonts w:hint="default" w:ascii="Times New Roman" w:hAnsi="Times New Roman" w:eastAsia="宋体" w:cs="Times New Roman"/>
                <w:b w:val="0"/>
                <w:bCs w:val="0"/>
                <w:color w:val="auto"/>
                <w:kern w:val="0"/>
                <w:sz w:val="24"/>
                <w:szCs w:val="24"/>
                <w:lang w:val="en-US" w:eastAsia="zh-CN" w:bidi="ar-SA"/>
              </w:rPr>
              <w:t>m</w:t>
            </w:r>
            <w:r>
              <w:rPr>
                <w:rFonts w:hint="eastAsia" w:ascii="Times New Roman" w:hAnsi="Times New Roman" w:eastAsia="宋体" w:cs="Times New Roman"/>
                <w:b w:val="0"/>
                <w:bCs w:val="0"/>
                <w:color w:val="auto"/>
                <w:kern w:val="0"/>
                <w:sz w:val="24"/>
                <w:szCs w:val="24"/>
                <w:vertAlign w:val="superscript"/>
                <w:lang w:val="en-US" w:eastAsia="zh-CN" w:bidi="ar-SA"/>
              </w:rPr>
              <w:t>3</w:t>
            </w:r>
            <w:r>
              <w:rPr>
                <w:rFonts w:hint="default" w:ascii="Times New Roman" w:hAnsi="Times New Roman" w:eastAsia="宋体" w:cs="Times New Roman"/>
                <w:b w:val="0"/>
                <w:bCs w:val="0"/>
                <w:color w:val="auto"/>
                <w:kern w:val="0"/>
                <w:sz w:val="24"/>
                <w:szCs w:val="24"/>
                <w:lang w:val="en-US" w:eastAsia="zh-CN" w:bidi="ar-SA"/>
              </w:rPr>
              <w:t>/a</w:t>
            </w:r>
            <w:r>
              <w:rPr>
                <w:rFonts w:hint="eastAsia" w:ascii="Times New Roman" w:hAnsi="Times New Roman" w:eastAsia="宋体" w:cs="Times New Roman"/>
                <w:b w:val="0"/>
                <w:bCs w:val="0"/>
                <w:color w:val="auto"/>
                <w:kern w:val="0"/>
                <w:sz w:val="24"/>
                <w:szCs w:val="24"/>
                <w:lang w:val="en-US" w:eastAsia="zh-CN" w:bidi="ar-SA"/>
              </w:rPr>
              <w:t>，</w:t>
            </w:r>
            <w:r>
              <w:rPr>
                <w:rFonts w:hint="eastAsia" w:cs="Times New Roman"/>
                <w:b w:val="0"/>
                <w:bCs w:val="0"/>
                <w:color w:val="auto"/>
                <w:kern w:val="0"/>
                <w:sz w:val="24"/>
                <w:szCs w:val="24"/>
                <w:lang w:val="en-US" w:eastAsia="zh-CN" w:bidi="ar-SA"/>
              </w:rPr>
              <w:t>根据以上产污系数计算，则</w:t>
            </w:r>
            <w:r>
              <w:rPr>
                <w:rFonts w:hint="eastAsia"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号预制菜车间</w:t>
            </w:r>
            <w:r>
              <w:rPr>
                <w:rFonts w:hint="eastAsia" w:cs="Times New Roman"/>
                <w:b w:val="0"/>
                <w:bCs w:val="0"/>
                <w:color w:val="auto"/>
                <w:kern w:val="0"/>
                <w:sz w:val="24"/>
                <w:szCs w:val="24"/>
                <w:lang w:val="en-US" w:eastAsia="zh-CN" w:bidi="ar-SA"/>
              </w:rPr>
              <w:t>锅炉废气1中颗粒物产生量约为0.2196t/a，二氧化硫产生量约为0.3072t/a，氮氧化物产生量约为0.5353t/a，</w:t>
            </w:r>
            <w:r>
              <w:rPr>
                <w:rFonts w:hint="eastAsia"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号预制菜车间</w:t>
            </w:r>
            <w:r>
              <w:rPr>
                <w:rFonts w:hint="eastAsia" w:cs="Times New Roman"/>
                <w:b w:val="0"/>
                <w:bCs w:val="0"/>
                <w:color w:val="auto"/>
                <w:kern w:val="0"/>
                <w:sz w:val="24"/>
                <w:szCs w:val="24"/>
                <w:lang w:val="en-US" w:eastAsia="zh-CN" w:bidi="ar-SA"/>
              </w:rPr>
              <w:t>锅炉废气1通过低氮燃烧技术处理后，经DA0015排气筒排放。</w:t>
            </w:r>
          </w:p>
          <w:p w14:paraId="068692A1">
            <w:pPr>
              <w:pStyle w:val="124"/>
              <w:bidi w:val="0"/>
              <w:rPr>
                <w:rFonts w:hint="eastAsia"/>
                <w:b/>
                <w:bCs/>
                <w:color w:val="auto"/>
                <w:sz w:val="24"/>
                <w:szCs w:val="24"/>
                <w:highlight w:val="none"/>
                <w:lang w:val="en-US" w:eastAsia="zh-CN"/>
              </w:rPr>
            </w:pPr>
            <w:r>
              <w:rPr>
                <w:rFonts w:hint="eastAsia" w:ascii="Times New Roman" w:hAnsi="Times New Roman" w:eastAsia="宋体" w:cs="Times New Roman"/>
                <w:color w:val="000000"/>
                <w:kern w:val="0"/>
                <w:sz w:val="24"/>
                <w:szCs w:val="24"/>
                <w:lang w:val="en-US" w:eastAsia="zh-CN" w:bidi="ar"/>
              </w:rPr>
              <w:t>1号预制菜车间使用1台6t/h的</w:t>
            </w:r>
            <w:r>
              <w:rPr>
                <w:rFonts w:hint="eastAsia" w:cs="Times New Roman"/>
                <w:color w:val="000000"/>
                <w:kern w:val="0"/>
                <w:sz w:val="24"/>
                <w:szCs w:val="24"/>
                <w:lang w:val="en-US" w:eastAsia="zh-CN" w:bidi="ar"/>
              </w:rPr>
              <w:t>燃气锅炉</w:t>
            </w:r>
            <w:r>
              <w:rPr>
                <w:rFonts w:hint="eastAsia" w:ascii="Times New Roman" w:hAnsi="Times New Roman" w:eastAsia="宋体" w:cs="Times New Roman"/>
                <w:b w:val="0"/>
                <w:bCs w:val="0"/>
                <w:color w:val="auto"/>
                <w:kern w:val="0"/>
                <w:sz w:val="24"/>
                <w:szCs w:val="24"/>
                <w:lang w:val="en-US" w:eastAsia="zh-CN" w:bidi="ar-SA"/>
              </w:rPr>
              <w:t>天然气消耗量为</w:t>
            </w:r>
            <w:r>
              <w:rPr>
                <w:rFonts w:hint="eastAsia" w:cs="Times New Roman"/>
                <w:b w:val="0"/>
                <w:bCs w:val="0"/>
                <w:color w:val="auto"/>
                <w:kern w:val="0"/>
                <w:sz w:val="24"/>
                <w:szCs w:val="24"/>
                <w:lang w:val="en-US" w:eastAsia="zh-CN" w:bidi="ar-SA"/>
              </w:rPr>
              <w:t>108</w:t>
            </w:r>
            <w:r>
              <w:rPr>
                <w:rFonts w:hint="eastAsia" w:ascii="Times New Roman" w:hAnsi="Times New Roman" w:eastAsia="宋体" w:cs="Times New Roman"/>
                <w:b w:val="0"/>
                <w:bCs w:val="0"/>
                <w:color w:val="auto"/>
                <w:kern w:val="0"/>
                <w:sz w:val="24"/>
                <w:szCs w:val="24"/>
                <w:lang w:val="en-US" w:eastAsia="zh-CN" w:bidi="ar-SA"/>
              </w:rPr>
              <w:t>万</w:t>
            </w:r>
            <w:r>
              <w:rPr>
                <w:rFonts w:hint="default" w:ascii="Times New Roman" w:hAnsi="Times New Roman" w:eastAsia="宋体" w:cs="Times New Roman"/>
                <w:b w:val="0"/>
                <w:bCs w:val="0"/>
                <w:color w:val="auto"/>
                <w:kern w:val="0"/>
                <w:sz w:val="24"/>
                <w:szCs w:val="24"/>
                <w:lang w:val="en-US" w:eastAsia="zh-CN" w:bidi="ar-SA"/>
              </w:rPr>
              <w:t>m</w:t>
            </w:r>
            <w:r>
              <w:rPr>
                <w:rFonts w:hint="eastAsia" w:ascii="Times New Roman" w:hAnsi="Times New Roman" w:eastAsia="宋体" w:cs="Times New Roman"/>
                <w:b w:val="0"/>
                <w:bCs w:val="0"/>
                <w:color w:val="auto"/>
                <w:kern w:val="0"/>
                <w:sz w:val="24"/>
                <w:szCs w:val="24"/>
                <w:vertAlign w:val="superscript"/>
                <w:lang w:val="en-US" w:eastAsia="zh-CN" w:bidi="ar-SA"/>
              </w:rPr>
              <w:t>3</w:t>
            </w:r>
            <w:r>
              <w:rPr>
                <w:rFonts w:hint="default" w:ascii="Times New Roman" w:hAnsi="Times New Roman" w:eastAsia="宋体" w:cs="Times New Roman"/>
                <w:b w:val="0"/>
                <w:bCs w:val="0"/>
                <w:color w:val="auto"/>
                <w:kern w:val="0"/>
                <w:sz w:val="24"/>
                <w:szCs w:val="24"/>
                <w:lang w:val="en-US" w:eastAsia="zh-CN" w:bidi="ar-SA"/>
              </w:rPr>
              <w:t>/a</w:t>
            </w:r>
            <w:r>
              <w:rPr>
                <w:rFonts w:hint="eastAsia" w:ascii="Times New Roman" w:hAnsi="Times New Roman" w:eastAsia="宋体" w:cs="Times New Roman"/>
                <w:b w:val="0"/>
                <w:bCs w:val="0"/>
                <w:color w:val="auto"/>
                <w:kern w:val="0"/>
                <w:sz w:val="24"/>
                <w:szCs w:val="24"/>
                <w:lang w:val="en-US" w:eastAsia="zh-CN" w:bidi="ar-SA"/>
              </w:rPr>
              <w:t>，</w:t>
            </w:r>
            <w:r>
              <w:rPr>
                <w:rFonts w:hint="eastAsia" w:cs="Times New Roman"/>
                <w:b w:val="0"/>
                <w:bCs w:val="0"/>
                <w:color w:val="auto"/>
                <w:kern w:val="0"/>
                <w:sz w:val="24"/>
                <w:szCs w:val="24"/>
                <w:lang w:val="en-US" w:eastAsia="zh-CN" w:bidi="ar-SA"/>
              </w:rPr>
              <w:t>根据以上产污系数计算，则</w:t>
            </w:r>
            <w:r>
              <w:rPr>
                <w:rFonts w:hint="eastAsia" w:ascii="Times New Roman" w:hAnsi="Times New Roman" w:eastAsia="宋体" w:cs="Times New Roman"/>
                <w:color w:val="auto"/>
                <w:kern w:val="0"/>
                <w:sz w:val="24"/>
                <w:szCs w:val="24"/>
                <w:lang w:val="en-US" w:eastAsia="zh-CN" w:bidi="ar"/>
              </w:rPr>
              <w:t>1号预制菜车间</w:t>
            </w:r>
            <w:r>
              <w:rPr>
                <w:rFonts w:hint="eastAsia" w:cs="Times New Roman"/>
                <w:b w:val="0"/>
                <w:bCs w:val="0"/>
                <w:color w:val="auto"/>
                <w:kern w:val="0"/>
                <w:sz w:val="24"/>
                <w:szCs w:val="24"/>
                <w:lang w:val="en-US" w:eastAsia="zh-CN" w:bidi="ar-SA"/>
              </w:rPr>
              <w:t>锅炉废气2中颗粒物产生量约为0.3089t/a，二氧化硫产生量约为0.432t/a，氮氧化物产生量约为0.7528t/a，</w:t>
            </w:r>
            <w:r>
              <w:rPr>
                <w:rFonts w:hint="eastAsia" w:ascii="Times New Roman" w:hAnsi="Times New Roman" w:eastAsia="宋体" w:cs="Times New Roman"/>
                <w:color w:val="auto"/>
                <w:kern w:val="0"/>
                <w:sz w:val="24"/>
                <w:szCs w:val="24"/>
                <w:lang w:val="en-US" w:eastAsia="zh-CN" w:bidi="ar"/>
              </w:rPr>
              <w:t>1号预制菜车间</w:t>
            </w:r>
            <w:r>
              <w:rPr>
                <w:rFonts w:hint="eastAsia" w:cs="Times New Roman"/>
                <w:b w:val="0"/>
                <w:bCs w:val="0"/>
                <w:color w:val="auto"/>
                <w:kern w:val="0"/>
                <w:sz w:val="24"/>
                <w:szCs w:val="24"/>
                <w:lang w:val="en-US" w:eastAsia="zh-CN" w:bidi="ar-SA"/>
              </w:rPr>
              <w:t>锅炉废气2通过低氮燃烧技术处理后，经DA0016排气筒排放。</w:t>
            </w:r>
          </w:p>
          <w:p w14:paraId="7D3A9024">
            <w:pPr>
              <w:tabs>
                <w:tab w:val="left" w:pos="5055"/>
              </w:tabs>
              <w:spacing w:line="360" w:lineRule="auto"/>
              <w:ind w:firstLine="480" w:firstLineChars="20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各锅炉废气中污染物因子烟气黑度均</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，符合</w:t>
            </w:r>
            <w:r>
              <w:rPr>
                <w:rFonts w:hint="eastAsia" w:ascii="宋体" w:hAnsi="宋体" w:eastAsia="宋体" w:cs="宋体"/>
                <w:color w:val="auto"/>
                <w:kern w:val="0"/>
                <w:sz w:val="24"/>
                <w:szCs w:val="24"/>
                <w:lang w:val="en-US" w:eastAsia="zh-CN" w:bidi="ar"/>
              </w:rPr>
              <w:t>《锅炉大气污染物排放标准》（</w:t>
            </w:r>
            <w:r>
              <w:rPr>
                <w:rFonts w:hint="default" w:ascii="Times New Roman" w:hAnsi="Times New Roman" w:eastAsia="宋体" w:cs="Times New Roman"/>
                <w:color w:val="auto"/>
                <w:kern w:val="0"/>
                <w:sz w:val="24"/>
                <w:szCs w:val="24"/>
                <w:lang w:val="en-US" w:eastAsia="zh-CN" w:bidi="ar"/>
              </w:rPr>
              <w:t>GB13271-2014</w:t>
            </w:r>
            <w:r>
              <w:rPr>
                <w:rFonts w:hint="eastAsia" w:ascii="宋体" w:hAnsi="宋体" w:eastAsia="宋体" w:cs="宋体"/>
                <w:color w:val="auto"/>
                <w:kern w:val="0"/>
                <w:sz w:val="24"/>
                <w:szCs w:val="24"/>
                <w:lang w:val="en-US" w:eastAsia="zh-CN" w:bidi="ar"/>
              </w:rPr>
              <w:t>）中表</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燃气锅炉标准</w:t>
            </w:r>
            <w:r>
              <w:rPr>
                <w:rFonts w:hint="eastAsia" w:ascii="宋体" w:hAnsi="宋体" w:cs="宋体"/>
                <w:color w:val="auto"/>
                <w:kern w:val="0"/>
                <w:sz w:val="24"/>
                <w:szCs w:val="24"/>
                <w:lang w:val="en-US" w:eastAsia="zh-CN" w:bidi="ar"/>
              </w:rPr>
              <w:t>。</w:t>
            </w:r>
          </w:p>
          <w:p w14:paraId="0C2755F5">
            <w:pPr>
              <w:tabs>
                <w:tab w:val="left" w:pos="5055"/>
              </w:tabs>
              <w:spacing w:line="360" w:lineRule="auto"/>
              <w:ind w:firstLine="482" w:firstLineChars="200"/>
              <w:rPr>
                <w:rFonts w:hint="default" w:ascii="Times New Roman" w:hAnsi="Times New Roman" w:eastAsia="宋体" w:cs="Times New Roman"/>
                <w:color w:val="auto"/>
                <w:kern w:val="0"/>
                <w:sz w:val="24"/>
                <w:szCs w:val="24"/>
                <w:lang w:val="en-US" w:eastAsia="zh-CN" w:bidi="ar"/>
              </w:rPr>
            </w:pPr>
            <w:r>
              <w:rPr>
                <w:rFonts w:hint="eastAsia"/>
                <w:b/>
                <w:bCs/>
                <w:color w:val="auto"/>
                <w:sz w:val="24"/>
                <w:szCs w:val="24"/>
                <w:highlight w:val="none"/>
                <w:lang w:val="en-US" w:eastAsia="zh-CN"/>
              </w:rPr>
              <w:t>（5）</w:t>
            </w:r>
            <w:r>
              <w:rPr>
                <w:rFonts w:hint="eastAsia" w:cs="Times New Roman"/>
                <w:b/>
                <w:bCs/>
                <w:color w:val="auto"/>
                <w:kern w:val="24"/>
                <w:sz w:val="24"/>
                <w:szCs w:val="21"/>
                <w:lang w:val="en-US" w:eastAsia="zh-CN" w:bidi="ar-SA"/>
              </w:rPr>
              <w:t>污水处理站恶臭污染物</w:t>
            </w:r>
          </w:p>
          <w:p w14:paraId="3FCDE0C1">
            <w:pPr>
              <w:pStyle w:val="124"/>
              <w:shd w:val="clear"/>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ascii="Times New Roman" w:hAnsi="Times New Roman" w:eastAsia="宋体" w:cs="Times New Roman"/>
                <w:b w:val="0"/>
                <w:bCs/>
                <w:color w:val="auto"/>
                <w:kern w:val="2"/>
                <w:sz w:val="24"/>
                <w:szCs w:val="24"/>
                <w:lang w:val="en-US" w:eastAsia="zh-CN" w:bidi="ar-SA"/>
              </w:rPr>
              <w:t>生活污水经化粪池处理后和生产废水</w:t>
            </w:r>
            <w:r>
              <w:rPr>
                <w:rFonts w:hint="eastAsia" w:ascii="Times New Roman" w:hAnsi="Times New Roman" w:eastAsia="宋体" w:cs="Times New Roman"/>
                <w:color w:val="000000"/>
                <w:kern w:val="0"/>
                <w:sz w:val="24"/>
                <w:szCs w:val="24"/>
                <w:lang w:val="en-US" w:eastAsia="zh-CN" w:bidi="ar"/>
              </w:rPr>
              <w:t>一起</w:t>
            </w:r>
            <w:r>
              <w:rPr>
                <w:rFonts w:hint="default" w:ascii="Times New Roman" w:hAnsi="Times New Roman" w:eastAsia="宋体" w:cs="Times New Roman"/>
                <w:color w:val="000000"/>
                <w:kern w:val="0"/>
                <w:sz w:val="24"/>
                <w:szCs w:val="24"/>
                <w:lang w:val="en-US" w:eastAsia="zh-CN" w:bidi="ar"/>
              </w:rPr>
              <w:t>进入自建污水处理站处理</w:t>
            </w:r>
            <w:r>
              <w:rPr>
                <w:rFonts w:hint="eastAsia" w:ascii="Times New Roman" w:hAnsi="Times New Roman" w:eastAsia="宋体" w:cs="Times New Roman"/>
                <w:color w:val="000000"/>
                <w:kern w:val="0"/>
                <w:sz w:val="24"/>
                <w:szCs w:val="24"/>
                <w:lang w:val="en-US" w:eastAsia="zh-CN" w:bidi="ar"/>
              </w:rPr>
              <w:t>，处理</w:t>
            </w:r>
            <w:r>
              <w:rPr>
                <w:rFonts w:hint="default" w:ascii="Times New Roman" w:hAnsi="Times New Roman" w:eastAsia="宋体" w:cs="Times New Roman"/>
                <w:color w:val="000000"/>
                <w:kern w:val="0"/>
                <w:sz w:val="24"/>
                <w:szCs w:val="24"/>
                <w:lang w:val="en-US" w:eastAsia="zh-CN" w:bidi="ar"/>
              </w:rPr>
              <w:t>达标后通过污水管网</w:t>
            </w:r>
            <w:r>
              <w:rPr>
                <w:rFonts w:hint="eastAsia" w:ascii="Times New Roman" w:hAnsi="Times New Roman" w:eastAsia="宋体" w:cs="Times New Roman"/>
                <w:color w:val="000000"/>
                <w:kern w:val="0"/>
                <w:sz w:val="24"/>
                <w:szCs w:val="24"/>
                <w:lang w:val="en-US" w:eastAsia="zh-CN" w:bidi="ar"/>
              </w:rPr>
              <w:t>排</w:t>
            </w:r>
            <w:r>
              <w:rPr>
                <w:rFonts w:hint="default" w:ascii="Times New Roman" w:hAnsi="Times New Roman" w:eastAsia="宋体" w:cs="Times New Roman"/>
                <w:color w:val="000000"/>
                <w:kern w:val="0"/>
                <w:sz w:val="24"/>
                <w:szCs w:val="24"/>
                <w:lang w:val="en-US" w:eastAsia="zh-CN" w:bidi="ar"/>
              </w:rPr>
              <w:t>入宁都县第二污水处理厂。</w:t>
            </w:r>
            <w:r>
              <w:rPr>
                <w:rFonts w:hint="eastAsia"/>
                <w:color w:val="auto"/>
                <w:vertAlign w:val="baseline"/>
                <w:lang w:val="en-US" w:eastAsia="zh-CN"/>
              </w:rPr>
              <w:t>污水处理站运行过程中会有少量恶臭产生。</w:t>
            </w:r>
            <w:r>
              <w:rPr>
                <w:rFonts w:hint="eastAsia" w:ascii="Times New Roman" w:hAnsi="Times New Roman" w:cs="Times New Roman"/>
                <w:color w:val="auto"/>
                <w:highlight w:val="none"/>
                <w:lang w:val="en-US" w:eastAsia="zh-CN"/>
              </w:rPr>
              <w:t>污水处理站</w:t>
            </w:r>
            <w:r>
              <w:rPr>
                <w:rFonts w:hint="default" w:ascii="Times New Roman" w:hAnsi="Times New Roman" w:cs="Times New Roman"/>
                <w:color w:val="auto"/>
                <w:highlight w:val="none"/>
                <w:lang w:val="en-US" w:eastAsia="zh-CN"/>
              </w:rPr>
              <w:t>的恶臭来源于污水、污泥中有机物的分解、发酵过程中散发的化学物质，</w:t>
            </w:r>
            <w:r>
              <w:rPr>
                <w:rFonts w:hint="default" w:ascii="Times New Roman" w:hAnsi="Times New Roman" w:eastAsia="宋体" w:cs="Times New Roman"/>
                <w:color w:val="auto"/>
                <w:sz w:val="24"/>
                <w:szCs w:val="24"/>
                <w:lang w:val="en-US" w:eastAsia="zh-CN"/>
              </w:rPr>
              <w:t>恶臭气体具有易挥发、沸点低、气味强度大的特点</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恶臭气体</w:t>
            </w:r>
            <w:r>
              <w:rPr>
                <w:rFonts w:hint="eastAsia"/>
                <w:color w:val="auto"/>
                <w:vertAlign w:val="baseline"/>
                <w:lang w:val="en-US" w:eastAsia="zh-CN"/>
              </w:rPr>
              <w:t>主要种类有：硫化物、氨、硫醇、甲基硫、粪臭素、酪酸、丙酸等，其中以氨和硫化氢为主</w:t>
            </w:r>
            <w:r>
              <w:rPr>
                <w:rFonts w:hint="default" w:ascii="Times New Roman" w:hAnsi="Times New Roman" w:eastAsia="宋体" w:cs="Times New Roman"/>
                <w:color w:val="auto"/>
                <w:sz w:val="24"/>
                <w:szCs w:val="24"/>
                <w:lang w:val="en-US" w:eastAsia="zh-CN"/>
              </w:rPr>
              <w:t>。氨气是一种无色有强烈刺激气味的气体</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嗅觉阀值为0.037ppm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硫化氢是一种有恶臭和毒性的无色气体</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嗅觉阀值为0.0005ppm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具有臭鸡蛋味。硫化氢是腐蚀性气体</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会严重腐蚀厂内设备</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缩短其使用寿命。</w:t>
            </w:r>
          </w:p>
          <w:p w14:paraId="4F6C70F3">
            <w:pPr>
              <w:pStyle w:val="124"/>
              <w:bidi w:val="0"/>
              <w:rPr>
                <w:rFonts w:hint="eastAsia"/>
                <w:color w:val="auto"/>
                <w:vertAlign w:val="baseline"/>
                <w:lang w:val="en-US" w:eastAsia="zh-CN"/>
              </w:rPr>
            </w:pPr>
            <w:r>
              <w:rPr>
                <w:rFonts w:hint="eastAsia" w:ascii="Times New Roman" w:hAnsi="Times New Roman" w:eastAsia="宋体" w:cs="Times New Roman"/>
                <w:color w:val="auto"/>
                <w:sz w:val="24"/>
                <w:szCs w:val="24"/>
                <w:lang w:val="en-US" w:eastAsia="zh-CN"/>
              </w:rPr>
              <w:t>自建废水处理</w:t>
            </w:r>
            <w:r>
              <w:rPr>
                <w:rFonts w:hint="eastAsia" w:cs="Times New Roman"/>
                <w:color w:val="auto"/>
                <w:sz w:val="24"/>
                <w:szCs w:val="24"/>
                <w:lang w:val="en-US" w:eastAsia="zh-CN"/>
              </w:rPr>
              <w:t>设备</w:t>
            </w:r>
            <w:r>
              <w:rPr>
                <w:rFonts w:hint="eastAsia" w:ascii="Times New Roman" w:hAnsi="Times New Roman" w:eastAsia="宋体" w:cs="Times New Roman"/>
                <w:color w:val="auto"/>
                <w:sz w:val="24"/>
                <w:szCs w:val="24"/>
                <w:lang w:val="en-US" w:eastAsia="zh-CN"/>
              </w:rPr>
              <w:t>的恶臭逸出量大小，受污水量、BOD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负荷、污水中DO、污泥量及堆存量、污染气象特征等多种因素影响。恶臭的扩散衰减过程，主要由三维空间扩散的物理稀释性衰减和受日照紫外线因素经一定时间的化学破坏性衰减。由于恶臭成份种类多元，衰减机理复杂，源强和衰减量难以准确量化，目前还无统一的定量理论计算公式。</w:t>
            </w:r>
            <w:r>
              <w:rPr>
                <w:rFonts w:hint="eastAsia"/>
                <w:color w:val="auto"/>
                <w:vertAlign w:val="baseline"/>
                <w:lang w:val="en-US" w:eastAsia="zh-CN"/>
              </w:rPr>
              <w:t>因此，本次评价主要参考美国EPA对污水处理站恶臭污染物产生情况的研究，按每处理1g的BOD</w:t>
            </w:r>
            <w:r>
              <w:rPr>
                <w:rFonts w:hint="eastAsia"/>
                <w:color w:val="auto"/>
                <w:vertAlign w:val="subscript"/>
                <w:lang w:val="en-US" w:eastAsia="zh-CN"/>
              </w:rPr>
              <w:t>5</w:t>
            </w:r>
            <w:r>
              <w:rPr>
                <w:rFonts w:hint="eastAsia"/>
                <w:color w:val="auto"/>
                <w:vertAlign w:val="baseline"/>
                <w:lang w:val="en-US" w:eastAsia="zh-CN"/>
              </w:rPr>
              <w:t>，可产生0.0031gNH</w:t>
            </w:r>
            <w:r>
              <w:rPr>
                <w:rFonts w:hint="eastAsia"/>
                <w:color w:val="auto"/>
                <w:vertAlign w:val="subscript"/>
                <w:lang w:val="en-US" w:eastAsia="zh-CN"/>
              </w:rPr>
              <w:t>3</w:t>
            </w:r>
            <w:r>
              <w:rPr>
                <w:rFonts w:hint="eastAsia"/>
                <w:color w:val="auto"/>
                <w:vertAlign w:val="baseline"/>
                <w:lang w:val="en-US" w:eastAsia="zh-CN"/>
              </w:rPr>
              <w:t>和0.00012g的H</w:t>
            </w:r>
            <w:r>
              <w:rPr>
                <w:rFonts w:hint="eastAsia"/>
                <w:color w:val="auto"/>
                <w:vertAlign w:val="subscript"/>
                <w:lang w:val="en-US" w:eastAsia="zh-CN"/>
              </w:rPr>
              <w:t>2</w:t>
            </w:r>
            <w:r>
              <w:rPr>
                <w:rFonts w:hint="eastAsia"/>
                <w:color w:val="auto"/>
                <w:vertAlign w:val="baseline"/>
                <w:lang w:val="en-US" w:eastAsia="zh-CN"/>
              </w:rPr>
              <w:t>S。</w:t>
            </w:r>
          </w:p>
          <w:p w14:paraId="30B9CE0F">
            <w:pPr>
              <w:pStyle w:val="124"/>
              <w:bidi w:val="0"/>
              <w:rPr>
                <w:rFonts w:hint="eastAsia"/>
                <w:bCs/>
                <w:color w:val="auto"/>
                <w:sz w:val="24"/>
                <w:szCs w:val="28"/>
              </w:rPr>
            </w:pPr>
            <w:r>
              <w:rPr>
                <w:rFonts w:hint="eastAsia"/>
                <w:bCs/>
                <w:color w:val="auto"/>
                <w:sz w:val="24"/>
                <w:szCs w:val="28"/>
              </w:rPr>
              <w:t>根据《多种除臭剂对氨和硫化氢去除效果的试验研究》（丁湘蓉。北京市海淀区环境卫生科学研究所，北京100086）中的内容，除臭剂对氨的去除效率为48%-75%，对硫化氢的去除率为62%-84%</w:t>
            </w:r>
            <w:r>
              <w:rPr>
                <w:rFonts w:hint="eastAsia"/>
                <w:bCs/>
                <w:color w:val="auto"/>
                <w:sz w:val="24"/>
                <w:szCs w:val="28"/>
                <w:lang w:eastAsia="zh-CN"/>
              </w:rPr>
              <w:t>，</w:t>
            </w:r>
            <w:r>
              <w:rPr>
                <w:rFonts w:hint="eastAsia"/>
                <w:bCs/>
                <w:color w:val="auto"/>
                <w:sz w:val="24"/>
                <w:szCs w:val="28"/>
              </w:rPr>
              <w:t>本次评价除臭剂对氨的去除率评价取</w:t>
            </w:r>
            <w:r>
              <w:rPr>
                <w:rFonts w:hint="eastAsia"/>
                <w:bCs/>
                <w:color w:val="auto"/>
                <w:sz w:val="24"/>
                <w:szCs w:val="28"/>
                <w:lang w:val="en-US" w:eastAsia="zh-CN"/>
              </w:rPr>
              <w:t>50</w:t>
            </w:r>
            <w:r>
              <w:rPr>
                <w:rFonts w:hint="eastAsia"/>
                <w:bCs/>
                <w:color w:val="auto"/>
                <w:sz w:val="24"/>
                <w:szCs w:val="28"/>
              </w:rPr>
              <w:t>%，对硫化氢的去除率取</w:t>
            </w:r>
            <w:r>
              <w:rPr>
                <w:rFonts w:hint="eastAsia"/>
                <w:bCs/>
                <w:color w:val="auto"/>
                <w:sz w:val="24"/>
                <w:szCs w:val="28"/>
                <w:lang w:val="en-US" w:eastAsia="zh-CN"/>
              </w:rPr>
              <w:t>65</w:t>
            </w:r>
            <w:r>
              <w:rPr>
                <w:rFonts w:hint="eastAsia"/>
                <w:bCs/>
                <w:color w:val="auto"/>
                <w:sz w:val="24"/>
                <w:szCs w:val="28"/>
              </w:rPr>
              <w:t>%。</w:t>
            </w:r>
          </w:p>
          <w:p w14:paraId="3E1DD3D4">
            <w:pPr>
              <w:pStyle w:val="124"/>
              <w:bidi w:val="0"/>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w:t>
            </w:r>
            <w:r>
              <w:rPr>
                <w:rFonts w:hint="eastAsia" w:cs="Times New Roman"/>
                <w:color w:val="auto"/>
                <w:sz w:val="24"/>
                <w:szCs w:val="24"/>
                <w:vertAlign w:val="baseline"/>
                <w:lang w:val="en-US" w:eastAsia="zh-CN"/>
              </w:rPr>
              <w:t>进入污水处理站</w:t>
            </w:r>
            <w:r>
              <w:rPr>
                <w:rFonts w:hint="default" w:ascii="Times New Roman" w:hAnsi="Times New Roman" w:eastAsia="宋体" w:cs="Times New Roman"/>
                <w:color w:val="auto"/>
                <w:sz w:val="24"/>
                <w:szCs w:val="24"/>
                <w:vertAlign w:val="baseline"/>
                <w:lang w:val="en-US" w:eastAsia="zh-CN"/>
              </w:rPr>
              <w:t>排放量为</w:t>
            </w:r>
            <w:r>
              <w:rPr>
                <w:rFonts w:hint="eastAsia" w:cs="Times New Roman"/>
                <w:b w:val="0"/>
                <w:bCs w:val="0"/>
                <w:color w:val="auto"/>
                <w:sz w:val="24"/>
                <w:szCs w:val="24"/>
                <w:highlight w:val="none"/>
                <w:lang w:val="en-US" w:eastAsia="zh-CN"/>
              </w:rPr>
              <w:t>136844.7</w:t>
            </w:r>
            <w:r>
              <w:rPr>
                <w:rStyle w:val="148"/>
                <w:rFonts w:hint="default" w:ascii="Times New Roman" w:hAnsi="Times New Roman" w:eastAsia="宋体" w:cs="Times New Roman"/>
                <w:color w:val="auto"/>
                <w:sz w:val="24"/>
                <w:szCs w:val="24"/>
                <w:lang w:val="en-US" w:eastAsia="zh-CN" w:bidi="ar"/>
              </w:rPr>
              <w:t>t/a，其中BOD</w:t>
            </w:r>
            <w:r>
              <w:rPr>
                <w:rStyle w:val="148"/>
                <w:rFonts w:hint="default" w:ascii="Times New Roman" w:hAnsi="Times New Roman" w:eastAsia="宋体" w:cs="Times New Roman"/>
                <w:color w:val="auto"/>
                <w:sz w:val="24"/>
                <w:szCs w:val="24"/>
                <w:vertAlign w:val="subscript"/>
                <w:lang w:val="en-US" w:eastAsia="zh-CN" w:bidi="ar"/>
              </w:rPr>
              <w:t>5</w:t>
            </w:r>
            <w:r>
              <w:rPr>
                <w:rStyle w:val="148"/>
                <w:rFonts w:hint="default" w:ascii="Times New Roman" w:hAnsi="Times New Roman" w:eastAsia="宋体" w:cs="Times New Roman"/>
                <w:color w:val="auto"/>
                <w:sz w:val="24"/>
                <w:szCs w:val="24"/>
                <w:lang w:val="en-US" w:eastAsia="zh-CN" w:bidi="ar"/>
              </w:rPr>
              <w:t>削减量</w:t>
            </w:r>
            <w:r>
              <w:rPr>
                <w:rFonts w:hint="eastAsia"/>
                <w:color w:val="auto"/>
                <w:lang w:val="en-US" w:eastAsia="zh-CN"/>
              </w:rPr>
              <w:t>60.2139</w:t>
            </w:r>
            <w:r>
              <w:rPr>
                <w:rStyle w:val="148"/>
                <w:rFonts w:hint="default" w:ascii="Times New Roman" w:hAnsi="Times New Roman" w:eastAsia="宋体" w:cs="Times New Roman"/>
                <w:color w:val="auto"/>
                <w:sz w:val="24"/>
                <w:szCs w:val="24"/>
                <w:lang w:val="en-US" w:eastAsia="zh-CN" w:bidi="ar"/>
              </w:rPr>
              <w:t>t/a，</w:t>
            </w:r>
            <w:r>
              <w:rPr>
                <w:rStyle w:val="148"/>
                <w:rFonts w:hint="eastAsia" w:cs="Times New Roman"/>
                <w:color w:val="auto"/>
                <w:sz w:val="24"/>
                <w:szCs w:val="24"/>
                <w:lang w:val="en-US" w:eastAsia="zh-CN" w:bidi="ar"/>
              </w:rPr>
              <w:t>则</w:t>
            </w:r>
            <w:r>
              <w:rPr>
                <w:rFonts w:hint="eastAsia" w:ascii="Times New Roman" w:hAnsi="Times New Roman" w:eastAsia="Times New Roman"/>
                <w:color w:val="auto"/>
                <w:sz w:val="24"/>
                <w:szCs w:val="24"/>
                <w:lang w:val="en-US" w:eastAsia="zh-CN"/>
              </w:rPr>
              <w:t>污水处理站</w:t>
            </w:r>
            <w:r>
              <w:rPr>
                <w:rStyle w:val="148"/>
                <w:rFonts w:hint="eastAsia" w:cs="Times New Roman"/>
                <w:color w:val="auto"/>
                <w:sz w:val="24"/>
                <w:szCs w:val="24"/>
                <w:lang w:val="en-US" w:eastAsia="zh-CN" w:bidi="ar"/>
              </w:rPr>
              <w:t>恶臭污染物中NH</w:t>
            </w:r>
            <w:r>
              <w:rPr>
                <w:rStyle w:val="148"/>
                <w:rFonts w:hint="eastAsia" w:cs="Times New Roman"/>
                <w:color w:val="auto"/>
                <w:sz w:val="24"/>
                <w:szCs w:val="24"/>
                <w:vertAlign w:val="subscript"/>
                <w:lang w:val="en-US" w:eastAsia="zh-CN" w:bidi="ar"/>
              </w:rPr>
              <w:t>3</w:t>
            </w:r>
            <w:r>
              <w:rPr>
                <w:rStyle w:val="148"/>
                <w:rFonts w:hint="eastAsia" w:cs="Times New Roman"/>
                <w:color w:val="auto"/>
                <w:sz w:val="24"/>
                <w:szCs w:val="24"/>
                <w:lang w:val="en-US" w:eastAsia="zh-CN" w:bidi="ar"/>
              </w:rPr>
              <w:t>产生量约为0.1867t/a，H</w:t>
            </w:r>
            <w:r>
              <w:rPr>
                <w:rStyle w:val="148"/>
                <w:rFonts w:hint="eastAsia" w:cs="Times New Roman"/>
                <w:color w:val="auto"/>
                <w:sz w:val="24"/>
                <w:szCs w:val="24"/>
                <w:vertAlign w:val="subscript"/>
                <w:lang w:val="en-US" w:eastAsia="zh-CN" w:bidi="ar"/>
              </w:rPr>
              <w:t>2</w:t>
            </w:r>
            <w:r>
              <w:rPr>
                <w:rStyle w:val="148"/>
                <w:rFonts w:hint="eastAsia" w:cs="Times New Roman"/>
                <w:color w:val="auto"/>
                <w:sz w:val="24"/>
                <w:szCs w:val="24"/>
                <w:lang w:val="en-US" w:eastAsia="zh-CN" w:bidi="ar"/>
              </w:rPr>
              <w:t>S产生量约为0.0072t/a，恶臭污染物产生浓度较小，</w:t>
            </w:r>
            <w:r>
              <w:rPr>
                <w:rFonts w:hint="default" w:ascii="Times New Roman" w:hAnsi="Times New Roman" w:cs="Times New Roman"/>
                <w:color w:val="auto"/>
                <w:highlight w:val="none"/>
                <w:lang w:val="en-US" w:eastAsia="zh-CN"/>
              </w:rPr>
              <w:t>项目</w:t>
            </w:r>
            <w:r>
              <w:rPr>
                <w:rFonts w:hint="eastAsia" w:ascii="Times New Roman" w:hAnsi="Times New Roman" w:eastAsia="Times New Roman"/>
                <w:color w:val="auto"/>
                <w:sz w:val="24"/>
                <w:szCs w:val="24"/>
                <w:lang w:val="en-US" w:eastAsia="zh-CN"/>
              </w:rPr>
              <w:t>自建污水处理站</w:t>
            </w:r>
            <w:r>
              <w:rPr>
                <w:rFonts w:hint="eastAsia" w:cs="Times New Roman"/>
                <w:color w:val="auto"/>
                <w:highlight w:val="none"/>
                <w:lang w:val="en-US" w:eastAsia="zh-CN"/>
              </w:rPr>
              <w:t>恶臭污染物</w:t>
            </w:r>
            <w:r>
              <w:rPr>
                <w:rStyle w:val="148"/>
                <w:rFonts w:hint="eastAsia" w:cs="Times New Roman"/>
                <w:color w:val="auto"/>
                <w:sz w:val="24"/>
                <w:szCs w:val="24"/>
                <w:lang w:val="en-US" w:eastAsia="zh-CN" w:bidi="ar"/>
              </w:rPr>
              <w:t>通过定期喷洒除臭剂、加盖密闭、加强通风等措施处理后排放，</w:t>
            </w:r>
            <w:r>
              <w:rPr>
                <w:rFonts w:hint="eastAsia" w:ascii="Times New Roman" w:hAnsi="Times New Roman" w:eastAsia="Times New Roman"/>
                <w:color w:val="auto"/>
                <w:sz w:val="24"/>
                <w:szCs w:val="24"/>
                <w:lang w:val="en-US" w:eastAsia="zh-CN"/>
              </w:rPr>
              <w:t>污水处理站</w:t>
            </w:r>
            <w:r>
              <w:rPr>
                <w:rStyle w:val="148"/>
                <w:rFonts w:hint="eastAsia" w:cs="Times New Roman"/>
                <w:color w:val="auto"/>
                <w:sz w:val="24"/>
                <w:szCs w:val="24"/>
                <w:lang w:val="en-US" w:eastAsia="zh-CN" w:bidi="ar"/>
              </w:rPr>
              <w:t>恶臭污染物中NH</w:t>
            </w:r>
            <w:r>
              <w:rPr>
                <w:rStyle w:val="148"/>
                <w:rFonts w:hint="eastAsia" w:cs="Times New Roman"/>
                <w:color w:val="auto"/>
                <w:sz w:val="24"/>
                <w:szCs w:val="24"/>
                <w:vertAlign w:val="subscript"/>
                <w:lang w:val="en-US" w:eastAsia="zh-CN" w:bidi="ar"/>
              </w:rPr>
              <w:t>3</w:t>
            </w:r>
            <w:r>
              <w:rPr>
                <w:rStyle w:val="148"/>
                <w:rFonts w:hint="eastAsia" w:cs="Times New Roman"/>
                <w:color w:val="auto"/>
                <w:sz w:val="24"/>
                <w:szCs w:val="24"/>
                <w:lang w:val="en-US" w:eastAsia="zh-CN" w:bidi="ar"/>
              </w:rPr>
              <w:t>排放量约为0.0934t/a，H</w:t>
            </w:r>
            <w:r>
              <w:rPr>
                <w:rStyle w:val="148"/>
                <w:rFonts w:hint="eastAsia" w:cs="Times New Roman"/>
                <w:color w:val="auto"/>
                <w:sz w:val="24"/>
                <w:szCs w:val="24"/>
                <w:vertAlign w:val="subscript"/>
                <w:lang w:val="en-US" w:eastAsia="zh-CN" w:bidi="ar"/>
              </w:rPr>
              <w:t>2</w:t>
            </w:r>
            <w:r>
              <w:rPr>
                <w:rStyle w:val="148"/>
                <w:rFonts w:hint="eastAsia" w:cs="Times New Roman"/>
                <w:color w:val="auto"/>
                <w:sz w:val="24"/>
                <w:szCs w:val="24"/>
                <w:lang w:val="en-US" w:eastAsia="zh-CN" w:bidi="ar"/>
              </w:rPr>
              <w:t>S排放量约为0.0036t/a，对周边大气环境影响较小。</w:t>
            </w:r>
          </w:p>
          <w:p w14:paraId="247DBE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bCs/>
                <w:color w:val="auto"/>
                <w:kern w:val="24"/>
                <w:sz w:val="24"/>
                <w:szCs w:val="21"/>
                <w:lang w:val="en-US" w:eastAsia="zh-CN" w:bidi="ar-SA"/>
              </w:rPr>
            </w:pPr>
            <w:r>
              <w:rPr>
                <w:rFonts w:hint="default" w:ascii="Times New Roman" w:hAnsi="Times New Roman" w:eastAsia="宋体" w:cs="Times New Roman"/>
                <w:color w:val="auto"/>
                <w:kern w:val="0"/>
                <w:sz w:val="24"/>
                <w:szCs w:val="24"/>
                <w:lang w:val="en-US" w:eastAsia="zh-CN" w:bidi="ar"/>
              </w:rPr>
              <w:t>排气系统</w:t>
            </w:r>
            <w:r>
              <w:rPr>
                <w:rFonts w:hint="eastAsia" w:cs="Times New Roman"/>
                <w:color w:val="auto"/>
                <w:kern w:val="0"/>
                <w:sz w:val="24"/>
                <w:szCs w:val="24"/>
                <w:lang w:val="en-US" w:eastAsia="zh-CN" w:bidi="ar"/>
              </w:rPr>
              <w:t>：</w:t>
            </w:r>
            <w:r>
              <w:rPr>
                <w:rFonts w:hint="default" w:ascii="Times New Roman" w:hAnsi="Times New Roman" w:eastAsia="宋体" w:cs="Times New Roman"/>
                <w:b w:val="0"/>
                <w:bCs/>
                <w:sz w:val="24"/>
                <w:szCs w:val="24"/>
                <w:lang w:val="en-US" w:eastAsia="zh-CN"/>
              </w:rPr>
              <w:t>项目主要大气污染物为</w:t>
            </w:r>
            <w:r>
              <w:rPr>
                <w:rFonts w:hint="eastAsia" w:cs="Times New Roman"/>
                <w:b w:val="0"/>
                <w:bCs/>
                <w:sz w:val="24"/>
                <w:szCs w:val="24"/>
                <w:lang w:val="en-US" w:eastAsia="zh-CN"/>
              </w:rPr>
              <w:t>油烟、颗粒物、二氧化硫、氮氧化物、硫化氢和氨</w:t>
            </w:r>
            <w:r>
              <w:rPr>
                <w:rFonts w:hint="eastAsia" w:ascii="Times New Roman" w:hAnsi="Times New Roman" w:eastAsia="宋体" w:cs="Times New Roman"/>
                <w:b w:val="0"/>
                <w:bCs/>
                <w:sz w:val="24"/>
                <w:szCs w:val="24"/>
                <w:lang w:val="en-US" w:eastAsia="zh-CN"/>
              </w:rPr>
              <w:t>，油烟废气中的油烟和燃气灶燃烧废气中的</w:t>
            </w:r>
            <w:r>
              <w:rPr>
                <w:rFonts w:hint="eastAsia" w:cs="Times New Roman"/>
                <w:b w:val="0"/>
                <w:bCs/>
                <w:sz w:val="24"/>
                <w:szCs w:val="24"/>
                <w:lang w:val="en-US" w:eastAsia="zh-CN"/>
              </w:rPr>
              <w:t>颗粒物、二氧化硫、氮氧化物经收集后</w:t>
            </w:r>
            <w:r>
              <w:rPr>
                <w:rFonts w:hint="eastAsia" w:ascii="Times New Roman" w:hAnsi="Times New Roman" w:eastAsia="宋体" w:cs="Times New Roman"/>
                <w:b w:val="0"/>
                <w:bCs/>
                <w:sz w:val="24"/>
                <w:szCs w:val="24"/>
                <w:lang w:val="en-US" w:eastAsia="zh-CN"/>
              </w:rPr>
              <w:t>通过</w:t>
            </w:r>
            <w:r>
              <w:rPr>
                <w:rFonts w:hint="eastAsia" w:cs="Times New Roman"/>
                <w:b w:val="0"/>
                <w:bCs/>
                <w:sz w:val="24"/>
                <w:szCs w:val="24"/>
                <w:lang w:val="en-US" w:eastAsia="zh-CN"/>
              </w:rPr>
              <w:t>静电油烟净化装置</w:t>
            </w:r>
            <w:r>
              <w:rPr>
                <w:rFonts w:hint="eastAsia" w:ascii="Times New Roman" w:hAnsi="Times New Roman" w:eastAsia="宋体" w:cs="Times New Roman"/>
                <w:b w:val="0"/>
                <w:bCs/>
                <w:sz w:val="24"/>
                <w:szCs w:val="24"/>
                <w:lang w:val="en-US" w:eastAsia="zh-CN"/>
              </w:rPr>
              <w:t>处理达标后经</w:t>
            </w:r>
            <w:r>
              <w:rPr>
                <w:rFonts w:hint="eastAsia" w:cs="Times New Roman"/>
                <w:b w:val="0"/>
                <w:bCs/>
                <w:sz w:val="24"/>
                <w:szCs w:val="24"/>
                <w:lang w:val="en-US" w:eastAsia="zh-CN"/>
              </w:rPr>
              <w:t>各自专用排烟管道</w:t>
            </w:r>
            <w:r>
              <w:rPr>
                <w:rFonts w:hint="eastAsia" w:ascii="Times New Roman" w:hAnsi="Times New Roman" w:eastAsia="宋体" w:cs="Times New Roman"/>
                <w:b w:val="0"/>
                <w:bCs/>
                <w:sz w:val="24"/>
                <w:szCs w:val="24"/>
                <w:lang w:val="en-US" w:eastAsia="zh-CN"/>
              </w:rPr>
              <w:t>排放</w:t>
            </w:r>
            <w:r>
              <w:rPr>
                <w:rFonts w:hint="eastAsia" w:cs="Times New Roman"/>
                <w:b w:val="0"/>
                <w:bCs/>
                <w:sz w:val="24"/>
                <w:szCs w:val="24"/>
                <w:lang w:val="en-US" w:eastAsia="zh-CN"/>
              </w:rPr>
              <w:t>（中央厨房DA001-DA004排气筒、1号预制菜车间DA007-DA014排气筒）；锅炉废气中的颗粒物、二氧化硫、氮氧化物</w:t>
            </w:r>
            <w:r>
              <w:rPr>
                <w:rFonts w:hint="eastAsia" w:ascii="Times New Roman" w:hAnsi="Times New Roman" w:eastAsia="宋体" w:cs="Times New Roman"/>
                <w:b w:val="0"/>
                <w:bCs/>
                <w:sz w:val="24"/>
                <w:szCs w:val="24"/>
                <w:lang w:val="en-US" w:eastAsia="zh-CN"/>
              </w:rPr>
              <w:t>通过</w:t>
            </w:r>
            <w:r>
              <w:rPr>
                <w:rFonts w:hint="eastAsia" w:cs="Times New Roman"/>
                <w:b w:val="0"/>
                <w:bCs/>
                <w:sz w:val="24"/>
                <w:szCs w:val="24"/>
                <w:lang w:val="en-US" w:eastAsia="zh-CN"/>
              </w:rPr>
              <w:t>低氮燃烧技术处理后经各自专用排气筒</w:t>
            </w:r>
            <w:r>
              <w:rPr>
                <w:rFonts w:hint="eastAsia" w:ascii="Times New Roman" w:hAnsi="Times New Roman" w:eastAsia="宋体" w:cs="Times New Roman"/>
                <w:b w:val="0"/>
                <w:bCs/>
                <w:sz w:val="24"/>
                <w:szCs w:val="24"/>
                <w:lang w:val="en-US" w:eastAsia="zh-CN"/>
              </w:rPr>
              <w:t>排放</w:t>
            </w:r>
            <w:r>
              <w:rPr>
                <w:rFonts w:hint="eastAsia" w:cs="Times New Roman"/>
                <w:b w:val="0"/>
                <w:bCs/>
                <w:sz w:val="24"/>
                <w:szCs w:val="24"/>
                <w:lang w:val="en-US" w:eastAsia="zh-CN"/>
              </w:rPr>
              <w:t>（中央厨房DA005和DA006、1号预制菜车间DA015和DA016）；污水处理站恶臭污染物中的硫化氢和氨</w:t>
            </w:r>
            <w:r>
              <w:rPr>
                <w:rFonts w:hint="eastAsia" w:cs="Times New Roman"/>
                <w:color w:val="000000" w:themeColor="text1"/>
                <w:sz w:val="24"/>
                <w:szCs w:val="24"/>
                <w:highlight w:val="none"/>
                <w:lang w:val="en-US" w:eastAsia="zh-CN"/>
                <w14:textFill>
                  <w14:solidFill>
                    <w14:schemeClr w14:val="tx1"/>
                  </w14:solidFill>
                </w14:textFill>
              </w:rPr>
              <w:t>可</w:t>
            </w:r>
            <w:r>
              <w:rPr>
                <w:rStyle w:val="148"/>
                <w:rFonts w:hint="eastAsia" w:cs="Times New Roman"/>
                <w:sz w:val="24"/>
                <w:szCs w:val="24"/>
                <w:lang w:val="en-US" w:eastAsia="zh-CN" w:bidi="ar"/>
              </w:rPr>
              <w:t>通过对</w:t>
            </w:r>
            <w:r>
              <w:rPr>
                <w:rFonts w:hint="eastAsia" w:ascii="Times New Roman" w:hAnsi="Times New Roman" w:eastAsia="Times New Roman"/>
                <w:sz w:val="24"/>
                <w:szCs w:val="24"/>
                <w:lang w:val="en-US" w:eastAsia="zh-CN"/>
              </w:rPr>
              <w:t>污水处理站</w:t>
            </w:r>
            <w:r>
              <w:rPr>
                <w:rStyle w:val="148"/>
                <w:rFonts w:hint="eastAsia" w:cs="Times New Roman"/>
                <w:sz w:val="24"/>
                <w:szCs w:val="24"/>
                <w:lang w:val="en-US" w:eastAsia="zh-CN" w:bidi="ar"/>
              </w:rPr>
              <w:t>定期喷洒除臭剂、加盖密闭、加强通风等措施处理后排放。</w:t>
            </w:r>
          </w:p>
          <w:p w14:paraId="2EA89F46">
            <w:pPr>
              <w:pStyle w:val="124"/>
              <w:keepNext w:val="0"/>
              <w:keepLines w:val="0"/>
              <w:pageBreakBefore w:val="0"/>
              <w:widowControl w:val="0"/>
              <w:kinsoku/>
              <w:wordWrap/>
              <w:overflowPunct/>
              <w:topLinePunct w:val="0"/>
              <w:autoSpaceDE/>
              <w:autoSpaceDN/>
              <w:bidi w:val="0"/>
              <w:adjustRightInd/>
              <w:snapToGrid/>
              <w:textAlignment w:val="auto"/>
              <w:rPr>
                <w:rFonts w:hint="default" w:cs="Times New Roman"/>
                <w:b/>
                <w:bCs/>
                <w:color w:val="auto"/>
                <w:kern w:val="24"/>
                <w:sz w:val="24"/>
                <w:szCs w:val="21"/>
                <w:lang w:val="en-US" w:eastAsia="zh-CN" w:bidi="ar-SA"/>
              </w:rPr>
            </w:pPr>
            <w:r>
              <w:rPr>
                <w:rFonts w:hint="eastAsia" w:cs="Times New Roman"/>
                <w:b/>
                <w:bCs/>
                <w:color w:val="auto"/>
                <w:kern w:val="24"/>
                <w:sz w:val="24"/>
                <w:szCs w:val="21"/>
                <w:lang w:val="en-US" w:eastAsia="zh-CN" w:bidi="ar-SA"/>
              </w:rPr>
              <w:t>3、废气排放情况汇总表</w:t>
            </w:r>
          </w:p>
          <w:p w14:paraId="096771D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cs="Times New Roman"/>
                <w:b/>
                <w:bCs/>
                <w:color w:val="auto"/>
                <w:sz w:val="21"/>
                <w:szCs w:val="21"/>
                <w:highlight w:val="none"/>
                <w:lang w:val="en-US" w:eastAsia="zh-CN"/>
              </w:rPr>
              <w:t>4</w:t>
            </w:r>
            <w:r>
              <w:rPr>
                <w:rFonts w:hint="eastAsia" w:ascii="Times New Roman" w:hAnsi="Times New Roman" w:cs="Times New Roman"/>
                <w:b/>
                <w:bCs/>
                <w:color w:val="auto"/>
                <w:sz w:val="21"/>
                <w:szCs w:val="21"/>
                <w:highlight w:val="none"/>
                <w:lang w:val="en-US" w:eastAsia="zh-CN"/>
              </w:rPr>
              <w:t xml:space="preserve"> </w:t>
            </w:r>
            <w:r>
              <w:rPr>
                <w:rFonts w:hint="eastAsia" w:asci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项目有组织废气及其污染物排放状况</w:t>
            </w:r>
          </w:p>
          <w:tbl>
            <w:tblPr>
              <w:tblStyle w:val="33"/>
              <w:tblW w:w="4998" w:type="pct"/>
              <w:jc w:val="center"/>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54"/>
              <w:gridCol w:w="456"/>
              <w:gridCol w:w="824"/>
              <w:gridCol w:w="750"/>
              <w:gridCol w:w="334"/>
              <w:gridCol w:w="613"/>
              <w:gridCol w:w="717"/>
              <w:gridCol w:w="614"/>
              <w:gridCol w:w="567"/>
              <w:gridCol w:w="376"/>
              <w:gridCol w:w="574"/>
              <w:gridCol w:w="646"/>
              <w:gridCol w:w="729"/>
              <w:gridCol w:w="534"/>
            </w:tblGrid>
            <w:tr w14:paraId="1787AAC4">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77" w:type="pct"/>
                  <w:vMerge w:val="restart"/>
                  <w:tcBorders>
                    <w:right w:val="single" w:color="auto" w:sz="4" w:space="0"/>
                    <w:tl2br w:val="nil"/>
                    <w:tr2bl w:val="nil"/>
                  </w:tcBorders>
                  <w:noWrap w:val="0"/>
                  <w:tcMar>
                    <w:top w:w="15" w:type="dxa"/>
                    <w:left w:w="15" w:type="dxa"/>
                    <w:right w:w="15" w:type="dxa"/>
                  </w:tcMar>
                  <w:vAlign w:val="center"/>
                </w:tcPr>
                <w:p w14:paraId="33F00A4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工序/生产线</w:t>
                  </w:r>
                </w:p>
              </w:tc>
              <w:tc>
                <w:tcPr>
                  <w:tcW w:w="278" w:type="pct"/>
                  <w:vMerge w:val="restart"/>
                  <w:tcBorders>
                    <w:left w:val="single" w:color="auto" w:sz="4" w:space="0"/>
                    <w:tl2br w:val="nil"/>
                    <w:tr2bl w:val="nil"/>
                  </w:tcBorders>
                  <w:noWrap w:val="0"/>
                  <w:tcMar>
                    <w:top w:w="15" w:type="dxa"/>
                    <w:left w:w="15" w:type="dxa"/>
                    <w:right w:w="15" w:type="dxa"/>
                  </w:tcMar>
                  <w:vAlign w:val="center"/>
                </w:tcPr>
                <w:p w14:paraId="23B5487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废气处理设施</w:t>
                  </w:r>
                </w:p>
              </w:tc>
              <w:tc>
                <w:tcPr>
                  <w:tcW w:w="503" w:type="pct"/>
                  <w:vMerge w:val="restart"/>
                  <w:tcBorders>
                    <w:tl2br w:val="nil"/>
                    <w:tr2bl w:val="nil"/>
                  </w:tcBorders>
                  <w:noWrap w:val="0"/>
                  <w:tcMar>
                    <w:top w:w="15" w:type="dxa"/>
                    <w:left w:w="15" w:type="dxa"/>
                    <w:right w:w="15" w:type="dxa"/>
                  </w:tcMar>
                  <w:vAlign w:val="center"/>
                </w:tcPr>
                <w:p w14:paraId="3CE9E02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污染源</w:t>
                  </w:r>
                </w:p>
              </w:tc>
              <w:tc>
                <w:tcPr>
                  <w:tcW w:w="457" w:type="pct"/>
                  <w:vMerge w:val="restart"/>
                  <w:tcBorders>
                    <w:tl2br w:val="nil"/>
                    <w:tr2bl w:val="nil"/>
                  </w:tcBorders>
                  <w:noWrap w:val="0"/>
                  <w:tcMar>
                    <w:top w:w="15" w:type="dxa"/>
                    <w:left w:w="15" w:type="dxa"/>
                    <w:right w:w="15" w:type="dxa"/>
                  </w:tcMar>
                  <w:vAlign w:val="center"/>
                </w:tcPr>
                <w:p w14:paraId="5CE0BA6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污染物名称</w:t>
                  </w:r>
                </w:p>
              </w:tc>
              <w:tc>
                <w:tcPr>
                  <w:tcW w:w="1391" w:type="pct"/>
                  <w:gridSpan w:val="4"/>
                  <w:tcBorders>
                    <w:tl2br w:val="nil"/>
                    <w:tr2bl w:val="nil"/>
                  </w:tcBorders>
                  <w:noWrap w:val="0"/>
                  <w:tcMar>
                    <w:top w:w="15" w:type="dxa"/>
                    <w:left w:w="15" w:type="dxa"/>
                    <w:right w:w="15" w:type="dxa"/>
                  </w:tcMar>
                  <w:vAlign w:val="center"/>
                </w:tcPr>
                <w:p w14:paraId="41C30AF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产生状况</w:t>
                  </w:r>
                </w:p>
              </w:tc>
              <w:tc>
                <w:tcPr>
                  <w:tcW w:w="346" w:type="pct"/>
                  <w:vMerge w:val="restart"/>
                  <w:tcBorders>
                    <w:tl2br w:val="nil"/>
                    <w:tr2bl w:val="nil"/>
                  </w:tcBorders>
                  <w:noWrap w:val="0"/>
                  <w:tcMar>
                    <w:top w:w="15" w:type="dxa"/>
                    <w:left w:w="15" w:type="dxa"/>
                    <w:right w:w="15" w:type="dxa"/>
                  </w:tcMar>
                  <w:vAlign w:val="center"/>
                </w:tcPr>
                <w:p w14:paraId="140D06C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治理措施及效率</w:t>
                  </w:r>
                </w:p>
              </w:tc>
              <w:tc>
                <w:tcPr>
                  <w:tcW w:w="1419" w:type="pct"/>
                  <w:gridSpan w:val="4"/>
                  <w:tcBorders>
                    <w:tl2br w:val="nil"/>
                    <w:tr2bl w:val="nil"/>
                  </w:tcBorders>
                  <w:noWrap w:val="0"/>
                  <w:tcMar>
                    <w:top w:w="15" w:type="dxa"/>
                    <w:left w:w="15" w:type="dxa"/>
                    <w:right w:w="15" w:type="dxa"/>
                  </w:tcMar>
                  <w:vAlign w:val="center"/>
                </w:tcPr>
                <w:p w14:paraId="1E6F7BB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污染物</w:t>
                  </w:r>
                  <w:r>
                    <w:rPr>
                      <w:rFonts w:hint="default" w:ascii="Times New Roman" w:hAnsi="Times New Roman" w:eastAsia="宋体" w:cs="Times New Roman"/>
                      <w:b/>
                      <w:bCs/>
                      <w:color w:val="auto"/>
                      <w:sz w:val="21"/>
                      <w:szCs w:val="21"/>
                      <w:highlight w:val="none"/>
                      <w:lang w:val="en-US" w:eastAsia="zh-CN"/>
                    </w:rPr>
                    <w:t>排放</w:t>
                  </w:r>
                </w:p>
              </w:tc>
              <w:tc>
                <w:tcPr>
                  <w:tcW w:w="326" w:type="pct"/>
                  <w:vMerge w:val="restart"/>
                  <w:tcBorders>
                    <w:tl2br w:val="nil"/>
                    <w:tr2bl w:val="nil"/>
                  </w:tcBorders>
                  <w:noWrap w:val="0"/>
                  <w:tcMar>
                    <w:top w:w="15" w:type="dxa"/>
                    <w:left w:w="15" w:type="dxa"/>
                    <w:right w:w="15" w:type="dxa"/>
                  </w:tcMar>
                  <w:vAlign w:val="center"/>
                </w:tcPr>
                <w:p w14:paraId="3309D7F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排放时间h</w:t>
                  </w:r>
                </w:p>
              </w:tc>
            </w:tr>
            <w:tr w14:paraId="551837F8">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2A5CB4B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15FC8E6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503" w:type="pct"/>
                  <w:vMerge w:val="continue"/>
                  <w:tcBorders>
                    <w:tl2br w:val="nil"/>
                    <w:tr2bl w:val="nil"/>
                  </w:tcBorders>
                  <w:noWrap w:val="0"/>
                  <w:tcMar>
                    <w:top w:w="15" w:type="dxa"/>
                    <w:left w:w="15" w:type="dxa"/>
                    <w:right w:w="15" w:type="dxa"/>
                  </w:tcMar>
                  <w:vAlign w:val="center"/>
                </w:tcPr>
                <w:p w14:paraId="4742D30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457" w:type="pct"/>
                  <w:vMerge w:val="continue"/>
                  <w:tcBorders>
                    <w:tl2br w:val="nil"/>
                    <w:tr2bl w:val="nil"/>
                  </w:tcBorders>
                  <w:noWrap w:val="0"/>
                  <w:tcMar>
                    <w:top w:w="15" w:type="dxa"/>
                    <w:left w:w="15" w:type="dxa"/>
                    <w:right w:w="15" w:type="dxa"/>
                  </w:tcMar>
                  <w:vAlign w:val="center"/>
                </w:tcPr>
                <w:p w14:paraId="1349F71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203" w:type="pct"/>
                  <w:tcBorders>
                    <w:right w:val="single" w:color="auto" w:sz="4" w:space="0"/>
                    <w:tl2br w:val="nil"/>
                    <w:tr2bl w:val="nil"/>
                  </w:tcBorders>
                  <w:noWrap w:val="0"/>
                  <w:tcMar>
                    <w:top w:w="15" w:type="dxa"/>
                    <w:left w:w="15" w:type="dxa"/>
                    <w:right w:w="15" w:type="dxa"/>
                  </w:tcMar>
                  <w:vAlign w:val="center"/>
                </w:tcPr>
                <w:p w14:paraId="2DFDB79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核算方法</w:t>
                  </w:r>
                </w:p>
              </w:tc>
              <w:tc>
                <w:tcPr>
                  <w:tcW w:w="374" w:type="pct"/>
                  <w:tcBorders>
                    <w:left w:val="single" w:color="auto" w:sz="4" w:space="0"/>
                    <w:tl2br w:val="nil"/>
                    <w:tr2bl w:val="nil"/>
                  </w:tcBorders>
                  <w:noWrap w:val="0"/>
                  <w:tcMar>
                    <w:top w:w="15" w:type="dxa"/>
                    <w:left w:w="15" w:type="dxa"/>
                    <w:right w:w="15" w:type="dxa"/>
                  </w:tcMar>
                  <w:vAlign w:val="center"/>
                </w:tcPr>
                <w:p w14:paraId="2CB34B3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废气产生量m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437" w:type="pct"/>
                  <w:tcBorders>
                    <w:tl2br w:val="nil"/>
                    <w:tr2bl w:val="nil"/>
                  </w:tcBorders>
                  <w:noWrap w:val="0"/>
                  <w:tcMar>
                    <w:top w:w="15" w:type="dxa"/>
                    <w:left w:w="15" w:type="dxa"/>
                    <w:right w:w="15" w:type="dxa"/>
                  </w:tcMar>
                  <w:vAlign w:val="center"/>
                </w:tcPr>
                <w:p w14:paraId="7AA0D40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产生浓度mg/m</w:t>
                  </w:r>
                  <w:r>
                    <w:rPr>
                      <w:rFonts w:hint="default" w:ascii="Times New Roman" w:hAnsi="Times New Roman" w:eastAsia="宋体" w:cs="Times New Roman"/>
                      <w:b/>
                      <w:bCs/>
                      <w:color w:val="auto"/>
                      <w:sz w:val="21"/>
                      <w:szCs w:val="21"/>
                      <w:highlight w:val="none"/>
                      <w:vertAlign w:val="superscript"/>
                      <w:lang w:val="en-US" w:eastAsia="zh-CN"/>
                    </w:rPr>
                    <w:t>3</w:t>
                  </w:r>
                </w:p>
              </w:tc>
              <w:tc>
                <w:tcPr>
                  <w:tcW w:w="374" w:type="pct"/>
                  <w:tcBorders>
                    <w:tl2br w:val="nil"/>
                    <w:tr2bl w:val="nil"/>
                  </w:tcBorders>
                  <w:noWrap w:val="0"/>
                  <w:tcMar>
                    <w:top w:w="15" w:type="dxa"/>
                    <w:left w:w="15" w:type="dxa"/>
                    <w:right w:w="15" w:type="dxa"/>
                  </w:tcMar>
                  <w:vAlign w:val="center"/>
                </w:tcPr>
                <w:p w14:paraId="6ED110C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产生量t/a</w:t>
                  </w:r>
                </w:p>
              </w:tc>
              <w:tc>
                <w:tcPr>
                  <w:tcW w:w="346" w:type="pct"/>
                  <w:vMerge w:val="continue"/>
                  <w:tcBorders>
                    <w:tl2br w:val="nil"/>
                    <w:tr2bl w:val="nil"/>
                  </w:tcBorders>
                  <w:noWrap w:val="0"/>
                  <w:tcMar>
                    <w:top w:w="15" w:type="dxa"/>
                    <w:left w:w="15" w:type="dxa"/>
                    <w:right w:w="15" w:type="dxa"/>
                  </w:tcMar>
                  <w:vAlign w:val="center"/>
                </w:tcPr>
                <w:p w14:paraId="6102AFB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229" w:type="pct"/>
                  <w:tcBorders>
                    <w:tl2br w:val="nil"/>
                    <w:tr2bl w:val="nil"/>
                  </w:tcBorders>
                  <w:noWrap w:val="0"/>
                  <w:tcMar>
                    <w:top w:w="15" w:type="dxa"/>
                    <w:left w:w="15" w:type="dxa"/>
                    <w:right w:w="15" w:type="dxa"/>
                  </w:tcMar>
                  <w:vAlign w:val="center"/>
                </w:tcPr>
                <w:p w14:paraId="2B3D104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核算方法</w:t>
                  </w:r>
                </w:p>
              </w:tc>
              <w:tc>
                <w:tcPr>
                  <w:tcW w:w="350" w:type="pct"/>
                  <w:tcBorders>
                    <w:right w:val="single" w:color="auto" w:sz="4" w:space="0"/>
                    <w:tl2br w:val="nil"/>
                    <w:tr2bl w:val="nil"/>
                  </w:tcBorders>
                  <w:noWrap w:val="0"/>
                  <w:tcMar>
                    <w:top w:w="15" w:type="dxa"/>
                    <w:left w:w="15" w:type="dxa"/>
                    <w:right w:w="15" w:type="dxa"/>
                  </w:tcMar>
                  <w:vAlign w:val="center"/>
                </w:tcPr>
                <w:p w14:paraId="0AD01B7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废气排放量</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394" w:type="pct"/>
                  <w:tcBorders>
                    <w:left w:val="single" w:color="auto" w:sz="4" w:space="0"/>
                    <w:tl2br w:val="nil"/>
                    <w:tr2bl w:val="nil"/>
                  </w:tcBorders>
                  <w:noWrap w:val="0"/>
                  <w:tcMar>
                    <w:top w:w="15" w:type="dxa"/>
                    <w:left w:w="15" w:type="dxa"/>
                    <w:right w:w="15" w:type="dxa"/>
                  </w:tcMar>
                  <w:vAlign w:val="center"/>
                </w:tcPr>
                <w:p w14:paraId="59A398E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排放</w:t>
                  </w:r>
                  <w:r>
                    <w:rPr>
                      <w:rFonts w:hint="default" w:ascii="Times New Roman" w:hAnsi="Times New Roman" w:eastAsia="宋体" w:cs="Times New Roman"/>
                      <w:b/>
                      <w:bCs/>
                      <w:color w:val="auto"/>
                      <w:sz w:val="21"/>
                      <w:szCs w:val="21"/>
                      <w:highlight w:val="none"/>
                      <w:lang w:val="en-US" w:eastAsia="zh-CN"/>
                    </w:rPr>
                    <w:t>浓度mg/m</w:t>
                  </w:r>
                  <w:r>
                    <w:rPr>
                      <w:rFonts w:hint="default" w:ascii="Times New Roman" w:hAnsi="Times New Roman" w:eastAsia="宋体" w:cs="Times New Roman"/>
                      <w:b/>
                      <w:bCs/>
                      <w:color w:val="auto"/>
                      <w:sz w:val="21"/>
                      <w:szCs w:val="21"/>
                      <w:highlight w:val="none"/>
                      <w:vertAlign w:val="superscript"/>
                      <w:lang w:val="en-US" w:eastAsia="zh-CN"/>
                    </w:rPr>
                    <w:t>3</w:t>
                  </w:r>
                </w:p>
              </w:tc>
              <w:tc>
                <w:tcPr>
                  <w:tcW w:w="445" w:type="pct"/>
                  <w:tcBorders>
                    <w:tl2br w:val="nil"/>
                    <w:tr2bl w:val="nil"/>
                  </w:tcBorders>
                  <w:noWrap w:val="0"/>
                  <w:tcMar>
                    <w:top w:w="15" w:type="dxa"/>
                    <w:left w:w="15" w:type="dxa"/>
                    <w:right w:w="15" w:type="dxa"/>
                  </w:tcMar>
                  <w:vAlign w:val="center"/>
                </w:tcPr>
                <w:p w14:paraId="63CA36E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排放量t/a</w:t>
                  </w:r>
                </w:p>
              </w:tc>
              <w:tc>
                <w:tcPr>
                  <w:tcW w:w="326" w:type="pct"/>
                  <w:vMerge w:val="continue"/>
                  <w:tcBorders>
                    <w:tl2br w:val="nil"/>
                    <w:tr2bl w:val="nil"/>
                  </w:tcBorders>
                  <w:noWrap w:val="0"/>
                  <w:tcMar>
                    <w:top w:w="15" w:type="dxa"/>
                    <w:left w:w="15" w:type="dxa"/>
                    <w:right w:w="15" w:type="dxa"/>
                  </w:tcMar>
                  <w:vAlign w:val="center"/>
                </w:tcPr>
                <w:p w14:paraId="5B46AFB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rPr>
                  </w:pPr>
                </w:p>
              </w:tc>
            </w:tr>
            <w:tr w14:paraId="7E0792A1">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96" w:hRule="atLeast"/>
                <w:jc w:val="center"/>
              </w:trPr>
              <w:tc>
                <w:tcPr>
                  <w:tcW w:w="277" w:type="pct"/>
                  <w:tcBorders>
                    <w:right w:val="single" w:color="auto" w:sz="4" w:space="0"/>
                    <w:tl2br w:val="nil"/>
                    <w:tr2bl w:val="nil"/>
                  </w:tcBorders>
                  <w:noWrap w:val="0"/>
                  <w:tcMar>
                    <w:top w:w="15" w:type="dxa"/>
                    <w:left w:w="15" w:type="dxa"/>
                    <w:right w:w="15" w:type="dxa"/>
                  </w:tcMar>
                  <w:vAlign w:val="center"/>
                </w:tcPr>
                <w:p w14:paraId="6158D2C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sz w:val="21"/>
                      <w:szCs w:val="21"/>
                      <w:lang w:val="en-US" w:eastAsia="zh-CN"/>
                    </w:rPr>
                    <w:t>油烟废气</w:t>
                  </w:r>
                </w:p>
              </w:tc>
              <w:tc>
                <w:tcPr>
                  <w:tcW w:w="278" w:type="pct"/>
                  <w:vMerge w:val="restart"/>
                  <w:tcBorders>
                    <w:left w:val="single" w:color="auto" w:sz="4" w:space="0"/>
                    <w:tl2br w:val="nil"/>
                    <w:tr2bl w:val="nil"/>
                  </w:tcBorders>
                  <w:noWrap w:val="0"/>
                  <w:tcMar>
                    <w:top w:w="15" w:type="dxa"/>
                    <w:left w:w="15" w:type="dxa"/>
                    <w:right w:w="15" w:type="dxa"/>
                  </w:tcMar>
                  <w:vAlign w:val="center"/>
                </w:tcPr>
                <w:p w14:paraId="046CEF4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静电油烟净化装置</w:t>
                  </w:r>
                </w:p>
              </w:tc>
              <w:tc>
                <w:tcPr>
                  <w:tcW w:w="503" w:type="pct"/>
                  <w:vMerge w:val="restart"/>
                  <w:tcBorders>
                    <w:tl2br w:val="nil"/>
                    <w:tr2bl w:val="nil"/>
                  </w:tcBorders>
                  <w:noWrap w:val="0"/>
                  <w:tcMar>
                    <w:top w:w="15" w:type="dxa"/>
                    <w:left w:w="15" w:type="dxa"/>
                    <w:right w:w="15" w:type="dxa"/>
                  </w:tcMar>
                  <w:vAlign w:val="center"/>
                </w:tcPr>
                <w:p w14:paraId="68FE5F6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cs="Times New Roman"/>
                      <w:color w:val="auto"/>
                      <w:sz w:val="21"/>
                      <w:szCs w:val="21"/>
                      <w:highlight w:val="none"/>
                      <w:lang w:val="en-US" w:eastAsia="zh-CN"/>
                    </w:rPr>
                    <w:t>DA001（DA002-DA004和DA001排气筒情况一样）</w:t>
                  </w:r>
                </w:p>
              </w:tc>
              <w:tc>
                <w:tcPr>
                  <w:tcW w:w="457" w:type="pct"/>
                  <w:tcBorders>
                    <w:tl2br w:val="nil"/>
                    <w:tr2bl w:val="nil"/>
                  </w:tcBorders>
                  <w:noWrap w:val="0"/>
                  <w:tcMar>
                    <w:top w:w="15" w:type="dxa"/>
                    <w:left w:w="15" w:type="dxa"/>
                    <w:right w:w="15" w:type="dxa"/>
                  </w:tcMar>
                  <w:vAlign w:val="center"/>
                </w:tcPr>
                <w:p w14:paraId="4C02C39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cs="Times New Roman"/>
                      <w:color w:val="auto"/>
                      <w:sz w:val="21"/>
                      <w:szCs w:val="21"/>
                      <w:highlight w:val="none"/>
                      <w:lang w:val="en-US" w:eastAsia="zh-CN"/>
                    </w:rPr>
                    <w:t>油烟</w:t>
                  </w:r>
                </w:p>
              </w:tc>
              <w:tc>
                <w:tcPr>
                  <w:tcW w:w="203" w:type="pct"/>
                  <w:tcBorders>
                    <w:right w:val="single" w:color="auto" w:sz="4" w:space="0"/>
                    <w:tl2br w:val="nil"/>
                    <w:tr2bl w:val="nil"/>
                  </w:tcBorders>
                  <w:noWrap w:val="0"/>
                  <w:tcMar>
                    <w:top w:w="15" w:type="dxa"/>
                    <w:left w:w="15" w:type="dxa"/>
                    <w:right w:w="15" w:type="dxa"/>
                  </w:tcMar>
                  <w:vAlign w:val="center"/>
                </w:tcPr>
                <w:p w14:paraId="0386D93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物料衡算</w:t>
                  </w:r>
                  <w:r>
                    <w:rPr>
                      <w:rFonts w:hint="default" w:ascii="Times New Roman" w:hAnsi="Times New Roman" w:cs="Times New Roman"/>
                      <w:color w:val="auto"/>
                      <w:sz w:val="21"/>
                      <w:szCs w:val="21"/>
                      <w:highlight w:val="none"/>
                      <w:lang w:val="en-US" w:eastAsia="zh-CN"/>
                    </w:rPr>
                    <w:t>法</w:t>
                  </w:r>
                </w:p>
              </w:tc>
              <w:tc>
                <w:tcPr>
                  <w:tcW w:w="374" w:type="pct"/>
                  <w:tcBorders>
                    <w:left w:val="single" w:color="auto" w:sz="4" w:space="0"/>
                    <w:tl2br w:val="nil"/>
                    <w:tr2bl w:val="nil"/>
                  </w:tcBorders>
                  <w:noWrap w:val="0"/>
                  <w:tcMar>
                    <w:top w:w="15" w:type="dxa"/>
                    <w:left w:w="15" w:type="dxa"/>
                    <w:right w:w="15" w:type="dxa"/>
                  </w:tcMar>
                  <w:vAlign w:val="center"/>
                </w:tcPr>
                <w:p w14:paraId="44577BB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000</w:t>
                  </w:r>
                </w:p>
              </w:tc>
              <w:tc>
                <w:tcPr>
                  <w:tcW w:w="437" w:type="pct"/>
                  <w:tcBorders>
                    <w:tl2br w:val="nil"/>
                    <w:tr2bl w:val="nil"/>
                  </w:tcBorders>
                  <w:noWrap w:val="0"/>
                  <w:tcMar>
                    <w:top w:w="15" w:type="dxa"/>
                    <w:left w:w="15" w:type="dxa"/>
                    <w:right w:w="15" w:type="dxa"/>
                  </w:tcMar>
                  <w:vAlign w:val="center"/>
                </w:tcPr>
                <w:p w14:paraId="2EC4FF42">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17.19</w:t>
                  </w:r>
                </w:p>
              </w:tc>
              <w:tc>
                <w:tcPr>
                  <w:tcW w:w="374" w:type="pct"/>
                  <w:tcBorders>
                    <w:tl2br w:val="nil"/>
                    <w:tr2bl w:val="nil"/>
                  </w:tcBorders>
                  <w:noWrap w:val="0"/>
                  <w:tcMar>
                    <w:top w:w="15" w:type="dxa"/>
                    <w:left w:w="15" w:type="dxa"/>
                    <w:right w:w="15" w:type="dxa"/>
                  </w:tcMar>
                  <w:vAlign w:val="center"/>
                </w:tcPr>
                <w:p w14:paraId="4298080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0.825</w:t>
                  </w:r>
                </w:p>
              </w:tc>
              <w:tc>
                <w:tcPr>
                  <w:tcW w:w="346" w:type="pct"/>
                  <w:tcBorders>
                    <w:tl2br w:val="nil"/>
                    <w:tr2bl w:val="nil"/>
                  </w:tcBorders>
                  <w:noWrap w:val="0"/>
                  <w:tcMar>
                    <w:top w:w="15" w:type="dxa"/>
                    <w:left w:w="15" w:type="dxa"/>
                    <w:right w:w="15" w:type="dxa"/>
                  </w:tcMar>
                  <w:vAlign w:val="center"/>
                </w:tcPr>
                <w:p w14:paraId="0BD4D7F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6"/>
                      <w:kern w:val="0"/>
                      <w:sz w:val="21"/>
                      <w:szCs w:val="21"/>
                      <w:highlight w:val="none"/>
                      <w:lang w:val="en-US" w:eastAsia="zh-CN" w:bidi="ar-SA"/>
                    </w:rPr>
                    <w:t>静电油烟净化装置处理效率85</w:t>
                  </w:r>
                  <w:r>
                    <w:rPr>
                      <w:rFonts w:hint="default" w:ascii="Times New Roman" w:hAnsi="Times New Roman" w:eastAsia="宋体" w:cs="Times New Roman"/>
                      <w:color w:val="auto"/>
                      <w:spacing w:val="6"/>
                      <w:kern w:val="0"/>
                      <w:sz w:val="21"/>
                      <w:szCs w:val="21"/>
                      <w:highlight w:val="none"/>
                      <w:lang w:val="en-US" w:eastAsia="zh-CN" w:bidi="ar-SA"/>
                    </w:rPr>
                    <w:t>%</w:t>
                  </w:r>
                </w:p>
              </w:tc>
              <w:tc>
                <w:tcPr>
                  <w:tcW w:w="229" w:type="pct"/>
                  <w:tcBorders>
                    <w:tl2br w:val="nil"/>
                    <w:tr2bl w:val="nil"/>
                  </w:tcBorders>
                  <w:noWrap w:val="0"/>
                  <w:tcMar>
                    <w:top w:w="15" w:type="dxa"/>
                    <w:left w:w="15" w:type="dxa"/>
                    <w:right w:w="15" w:type="dxa"/>
                  </w:tcMar>
                  <w:vAlign w:val="center"/>
                </w:tcPr>
                <w:p w14:paraId="4FCA7C6C">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lang w:val="en-US"/>
                    </w:rPr>
                  </w:pPr>
                  <w:r>
                    <w:rPr>
                      <w:rFonts w:hint="eastAsia" w:ascii="Times New Roman" w:cs="Times New Roman"/>
                      <w:color w:val="auto"/>
                      <w:sz w:val="21"/>
                      <w:szCs w:val="21"/>
                      <w:highlight w:val="none"/>
                      <w:lang w:val="en-US" w:eastAsia="zh-CN"/>
                    </w:rPr>
                    <w:t>物料衡算</w:t>
                  </w:r>
                  <w:r>
                    <w:rPr>
                      <w:rFonts w:hint="default" w:ascii="Times New Roman" w:hAnsi="Times New Roman" w:cs="Times New Roman"/>
                      <w:color w:val="auto"/>
                      <w:sz w:val="21"/>
                      <w:szCs w:val="21"/>
                      <w:highlight w:val="none"/>
                      <w:lang w:val="en-US" w:eastAsia="zh-CN"/>
                    </w:rPr>
                    <w:t>法</w:t>
                  </w:r>
                </w:p>
              </w:tc>
              <w:tc>
                <w:tcPr>
                  <w:tcW w:w="350" w:type="pct"/>
                  <w:tcBorders>
                    <w:right w:val="single" w:color="auto" w:sz="4" w:space="0"/>
                    <w:tl2br w:val="nil"/>
                    <w:tr2bl w:val="nil"/>
                  </w:tcBorders>
                  <w:noWrap w:val="0"/>
                  <w:tcMar>
                    <w:top w:w="15" w:type="dxa"/>
                    <w:left w:w="15" w:type="dxa"/>
                    <w:right w:w="15" w:type="dxa"/>
                  </w:tcMar>
                  <w:vAlign w:val="center"/>
                </w:tcPr>
                <w:p w14:paraId="72DA151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000</w:t>
                  </w:r>
                </w:p>
              </w:tc>
              <w:tc>
                <w:tcPr>
                  <w:tcW w:w="394" w:type="pct"/>
                  <w:tcBorders>
                    <w:left w:val="single" w:color="auto" w:sz="4" w:space="0"/>
                    <w:tl2br w:val="nil"/>
                    <w:tr2bl w:val="nil"/>
                  </w:tcBorders>
                  <w:noWrap w:val="0"/>
                  <w:tcMar>
                    <w:top w:w="15" w:type="dxa"/>
                    <w:left w:w="15" w:type="dxa"/>
                    <w:right w:w="15" w:type="dxa"/>
                  </w:tcMar>
                  <w:vAlign w:val="center"/>
                </w:tcPr>
                <w:p w14:paraId="3EB3ED0D">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1.72</w:t>
                  </w:r>
                </w:p>
              </w:tc>
              <w:tc>
                <w:tcPr>
                  <w:tcW w:w="445" w:type="pct"/>
                  <w:tcBorders>
                    <w:tl2br w:val="nil"/>
                    <w:tr2bl w:val="nil"/>
                  </w:tcBorders>
                  <w:noWrap w:val="0"/>
                  <w:tcMar>
                    <w:top w:w="15" w:type="dxa"/>
                    <w:left w:w="15" w:type="dxa"/>
                    <w:right w:w="15" w:type="dxa"/>
                  </w:tcMar>
                  <w:vAlign w:val="center"/>
                </w:tcPr>
                <w:p w14:paraId="3AD018A4">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24"/>
                      <w:sz w:val="21"/>
                      <w:szCs w:val="21"/>
                      <w:lang w:val="en-US" w:eastAsia="zh-CN" w:bidi="ar-SA"/>
                    </w:rPr>
                    <w:t>0.0825</w:t>
                  </w:r>
                </w:p>
              </w:tc>
              <w:tc>
                <w:tcPr>
                  <w:tcW w:w="326" w:type="pct"/>
                  <w:tcBorders>
                    <w:tl2br w:val="nil"/>
                    <w:tr2bl w:val="nil"/>
                  </w:tcBorders>
                  <w:noWrap w:val="0"/>
                  <w:tcMar>
                    <w:top w:w="15" w:type="dxa"/>
                    <w:left w:w="15" w:type="dxa"/>
                    <w:right w:w="15" w:type="dxa"/>
                  </w:tcMar>
                  <w:vAlign w:val="center"/>
                </w:tcPr>
                <w:p w14:paraId="284CD48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00</w:t>
                  </w:r>
                </w:p>
              </w:tc>
            </w:tr>
            <w:tr w14:paraId="6E2C2E08">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82" w:hRule="atLeast"/>
                <w:jc w:val="center"/>
              </w:trPr>
              <w:tc>
                <w:tcPr>
                  <w:tcW w:w="277" w:type="pct"/>
                  <w:vMerge w:val="restart"/>
                  <w:tcBorders>
                    <w:right w:val="single" w:color="auto" w:sz="4" w:space="0"/>
                    <w:tl2br w:val="nil"/>
                    <w:tr2bl w:val="nil"/>
                  </w:tcBorders>
                  <w:noWrap w:val="0"/>
                  <w:tcMar>
                    <w:top w:w="15" w:type="dxa"/>
                    <w:left w:w="15" w:type="dxa"/>
                    <w:right w:w="15" w:type="dxa"/>
                  </w:tcMar>
                  <w:vAlign w:val="center"/>
                </w:tcPr>
                <w:p w14:paraId="13BA568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sz w:val="21"/>
                      <w:szCs w:val="21"/>
                      <w:lang w:val="en-US" w:eastAsia="zh-CN"/>
                    </w:rPr>
                    <w:t>燃气灶燃烧废气</w:t>
                  </w:r>
                </w:p>
              </w:tc>
              <w:tc>
                <w:tcPr>
                  <w:tcW w:w="278" w:type="pct"/>
                  <w:vMerge w:val="continue"/>
                  <w:tcBorders>
                    <w:left w:val="single" w:color="auto" w:sz="4" w:space="0"/>
                    <w:tl2br w:val="nil"/>
                    <w:tr2bl w:val="nil"/>
                  </w:tcBorders>
                  <w:noWrap w:val="0"/>
                  <w:tcMar>
                    <w:top w:w="15" w:type="dxa"/>
                    <w:left w:w="15" w:type="dxa"/>
                    <w:right w:w="15" w:type="dxa"/>
                  </w:tcMar>
                  <w:vAlign w:val="center"/>
                </w:tcPr>
                <w:p w14:paraId="1D0A9F8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47F44D2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785F05B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颗粒物</w:t>
                  </w:r>
                </w:p>
              </w:tc>
              <w:tc>
                <w:tcPr>
                  <w:tcW w:w="203" w:type="pct"/>
                  <w:vMerge w:val="restart"/>
                  <w:tcBorders>
                    <w:right w:val="single" w:color="auto" w:sz="4" w:space="0"/>
                    <w:tl2br w:val="nil"/>
                    <w:tr2bl w:val="nil"/>
                  </w:tcBorders>
                  <w:noWrap w:val="0"/>
                  <w:tcMar>
                    <w:top w:w="15" w:type="dxa"/>
                    <w:left w:w="15" w:type="dxa"/>
                    <w:right w:w="15" w:type="dxa"/>
                  </w:tcMar>
                  <w:vAlign w:val="center"/>
                </w:tcPr>
                <w:p w14:paraId="14CC956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74" w:type="pct"/>
                  <w:tcBorders>
                    <w:left w:val="single" w:color="auto" w:sz="4" w:space="0"/>
                    <w:tl2br w:val="nil"/>
                    <w:tr2bl w:val="nil"/>
                  </w:tcBorders>
                  <w:noWrap w:val="0"/>
                  <w:tcMar>
                    <w:top w:w="15" w:type="dxa"/>
                    <w:left w:w="15" w:type="dxa"/>
                    <w:right w:w="15" w:type="dxa"/>
                  </w:tcMar>
                  <w:vAlign w:val="center"/>
                </w:tcPr>
                <w:p w14:paraId="292F319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20000</w:t>
                  </w:r>
                </w:p>
              </w:tc>
              <w:tc>
                <w:tcPr>
                  <w:tcW w:w="437" w:type="pct"/>
                  <w:tcBorders>
                    <w:tl2br w:val="nil"/>
                    <w:tr2bl w:val="nil"/>
                  </w:tcBorders>
                  <w:noWrap w:val="0"/>
                  <w:tcMar>
                    <w:top w:w="15" w:type="dxa"/>
                    <w:left w:w="15" w:type="dxa"/>
                    <w:right w:w="15" w:type="dxa"/>
                  </w:tcMar>
                  <w:vAlign w:val="center"/>
                </w:tcPr>
                <w:p w14:paraId="60546BEA">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0.104</w:t>
                  </w:r>
                </w:p>
              </w:tc>
              <w:tc>
                <w:tcPr>
                  <w:tcW w:w="374" w:type="pct"/>
                  <w:tcBorders>
                    <w:tl2br w:val="nil"/>
                    <w:tr2bl w:val="nil"/>
                  </w:tcBorders>
                  <w:noWrap w:val="0"/>
                  <w:tcMar>
                    <w:top w:w="15" w:type="dxa"/>
                    <w:left w:w="15" w:type="dxa"/>
                    <w:right w:w="15" w:type="dxa"/>
                  </w:tcMar>
                  <w:vAlign w:val="center"/>
                </w:tcPr>
                <w:p w14:paraId="2FA8513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0.0050</w:t>
                  </w:r>
                </w:p>
              </w:tc>
              <w:tc>
                <w:tcPr>
                  <w:tcW w:w="346" w:type="pct"/>
                  <w:vMerge w:val="restart"/>
                  <w:tcBorders>
                    <w:tl2br w:val="nil"/>
                    <w:tr2bl w:val="nil"/>
                  </w:tcBorders>
                  <w:noWrap w:val="0"/>
                  <w:tcMar>
                    <w:top w:w="15" w:type="dxa"/>
                    <w:left w:w="15" w:type="dxa"/>
                    <w:right w:w="15" w:type="dxa"/>
                  </w:tcMar>
                  <w:vAlign w:val="center"/>
                </w:tcPr>
                <w:p w14:paraId="1D0DFE6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cs="Times New Roman"/>
                      <w:color w:val="auto"/>
                      <w:sz w:val="21"/>
                      <w:szCs w:val="21"/>
                      <w:highlight w:val="none"/>
                      <w:lang w:val="en-US" w:eastAsia="zh-CN" w:bidi="ar-SA"/>
                    </w:rPr>
                  </w:pPr>
                  <w:r>
                    <w:rPr>
                      <w:rFonts w:hint="eastAsia" w:ascii="Times New Roman" w:cs="Times New Roman"/>
                      <w:color w:val="auto"/>
                      <w:sz w:val="21"/>
                      <w:szCs w:val="21"/>
                      <w:highlight w:val="none"/>
                      <w:lang w:val="en-US" w:eastAsia="zh-CN" w:bidi="ar-SA"/>
                    </w:rPr>
                    <w:t>/</w:t>
                  </w:r>
                </w:p>
              </w:tc>
              <w:tc>
                <w:tcPr>
                  <w:tcW w:w="229" w:type="pct"/>
                  <w:vMerge w:val="restart"/>
                  <w:tcBorders>
                    <w:tl2br w:val="nil"/>
                    <w:tr2bl w:val="nil"/>
                  </w:tcBorders>
                  <w:noWrap w:val="0"/>
                  <w:tcMar>
                    <w:top w:w="15" w:type="dxa"/>
                    <w:left w:w="15" w:type="dxa"/>
                    <w:right w:w="15" w:type="dxa"/>
                  </w:tcMar>
                  <w:vAlign w:val="center"/>
                </w:tcPr>
                <w:p w14:paraId="037AD0C1">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50" w:type="pct"/>
                  <w:tcBorders>
                    <w:right w:val="single" w:color="auto" w:sz="4" w:space="0"/>
                    <w:tl2br w:val="nil"/>
                    <w:tr2bl w:val="nil"/>
                  </w:tcBorders>
                  <w:shd w:val="clear" w:color="auto" w:fill="auto"/>
                  <w:noWrap w:val="0"/>
                  <w:tcMar>
                    <w:top w:w="15" w:type="dxa"/>
                    <w:left w:w="15" w:type="dxa"/>
                    <w:right w:w="15" w:type="dxa"/>
                  </w:tcMar>
                  <w:vAlign w:val="center"/>
                </w:tcPr>
                <w:p w14:paraId="5C3F421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cs="Times New Roman"/>
                      <w:color w:val="auto"/>
                      <w:sz w:val="21"/>
                      <w:szCs w:val="21"/>
                      <w:highlight w:val="none"/>
                      <w:lang w:val="en-US" w:eastAsia="zh-CN"/>
                    </w:rPr>
                    <w:t>20000</w:t>
                  </w:r>
                </w:p>
              </w:tc>
              <w:tc>
                <w:tcPr>
                  <w:tcW w:w="646" w:type="dxa"/>
                  <w:tcBorders>
                    <w:left w:val="single" w:color="auto" w:sz="4" w:space="0"/>
                    <w:tl2br w:val="nil"/>
                    <w:tr2bl w:val="nil"/>
                  </w:tcBorders>
                  <w:shd w:val="clear" w:color="auto" w:fill="auto"/>
                  <w:noWrap w:val="0"/>
                  <w:tcMar>
                    <w:top w:w="15" w:type="dxa"/>
                    <w:left w:w="15" w:type="dxa"/>
                    <w:right w:w="15" w:type="dxa"/>
                  </w:tcMar>
                  <w:vAlign w:val="center"/>
                </w:tcPr>
                <w:p w14:paraId="127B106A">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0.104</w:t>
                  </w:r>
                </w:p>
              </w:tc>
              <w:tc>
                <w:tcPr>
                  <w:tcW w:w="729" w:type="dxa"/>
                  <w:tcBorders>
                    <w:tl2br w:val="nil"/>
                    <w:tr2bl w:val="nil"/>
                  </w:tcBorders>
                  <w:shd w:val="clear" w:color="auto" w:fill="auto"/>
                  <w:noWrap w:val="0"/>
                  <w:tcMar>
                    <w:top w:w="15" w:type="dxa"/>
                    <w:left w:w="15" w:type="dxa"/>
                    <w:right w:w="15" w:type="dxa"/>
                  </w:tcMar>
                  <w:vAlign w:val="center"/>
                </w:tcPr>
                <w:p w14:paraId="27C6099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0.0050</w:t>
                  </w:r>
                </w:p>
              </w:tc>
              <w:tc>
                <w:tcPr>
                  <w:tcW w:w="326" w:type="pct"/>
                  <w:tcBorders>
                    <w:tl2br w:val="nil"/>
                    <w:tr2bl w:val="nil"/>
                  </w:tcBorders>
                  <w:noWrap w:val="0"/>
                  <w:tcMar>
                    <w:top w:w="15" w:type="dxa"/>
                    <w:left w:w="15" w:type="dxa"/>
                    <w:right w:w="15" w:type="dxa"/>
                  </w:tcMar>
                  <w:vAlign w:val="center"/>
                </w:tcPr>
                <w:p w14:paraId="749B8FC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25F6B440">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7582D5E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eastAsia" w:ascii="Times New Roman" w:hAnsi="Times New Roman" w:eastAsia="宋体" w:cs="Times New Roman"/>
                      <w:b w:val="0"/>
                      <w:bCs/>
                      <w:sz w:val="21"/>
                      <w:szCs w:val="21"/>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4F87DDF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3441672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4B53EB2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二氧化硫</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78F6A0F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53842A2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20000</w:t>
                  </w:r>
                </w:p>
              </w:tc>
              <w:tc>
                <w:tcPr>
                  <w:tcW w:w="437" w:type="pct"/>
                  <w:tcBorders>
                    <w:tl2br w:val="nil"/>
                    <w:tr2bl w:val="nil"/>
                  </w:tcBorders>
                  <w:noWrap w:val="0"/>
                  <w:tcMar>
                    <w:top w:w="15" w:type="dxa"/>
                    <w:left w:w="15" w:type="dxa"/>
                    <w:right w:w="15" w:type="dxa"/>
                  </w:tcMar>
                  <w:vAlign w:val="center"/>
                </w:tcPr>
                <w:p w14:paraId="521927AD">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0.0005</w:t>
                  </w:r>
                </w:p>
              </w:tc>
              <w:tc>
                <w:tcPr>
                  <w:tcW w:w="374" w:type="pct"/>
                  <w:tcBorders>
                    <w:tl2br w:val="nil"/>
                    <w:tr2bl w:val="nil"/>
                  </w:tcBorders>
                  <w:noWrap w:val="0"/>
                  <w:tcMar>
                    <w:top w:w="15" w:type="dxa"/>
                    <w:left w:w="15" w:type="dxa"/>
                    <w:right w:w="15" w:type="dxa"/>
                  </w:tcMar>
                  <w:vAlign w:val="center"/>
                </w:tcPr>
                <w:p w14:paraId="147BF53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0.000025</w:t>
                  </w:r>
                </w:p>
              </w:tc>
              <w:tc>
                <w:tcPr>
                  <w:tcW w:w="346" w:type="pct"/>
                  <w:vMerge w:val="continue"/>
                  <w:tcBorders>
                    <w:tl2br w:val="nil"/>
                    <w:tr2bl w:val="nil"/>
                  </w:tcBorders>
                  <w:noWrap w:val="0"/>
                  <w:tcMar>
                    <w:top w:w="15" w:type="dxa"/>
                    <w:left w:w="15" w:type="dxa"/>
                    <w:right w:w="15" w:type="dxa"/>
                  </w:tcMar>
                  <w:vAlign w:val="center"/>
                </w:tcPr>
                <w:p w14:paraId="257F5EF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cs="Times New Roman"/>
                      <w:color w:val="auto"/>
                      <w:sz w:val="21"/>
                      <w:szCs w:val="21"/>
                      <w:highlight w:val="none"/>
                      <w:lang w:val="en-US" w:eastAsia="zh-CN" w:bidi="ar-SA"/>
                    </w:rPr>
                  </w:pPr>
                </w:p>
              </w:tc>
              <w:tc>
                <w:tcPr>
                  <w:tcW w:w="229" w:type="pct"/>
                  <w:vMerge w:val="continue"/>
                  <w:tcBorders>
                    <w:tl2br w:val="nil"/>
                    <w:tr2bl w:val="nil"/>
                  </w:tcBorders>
                  <w:noWrap w:val="0"/>
                  <w:tcMar>
                    <w:top w:w="15" w:type="dxa"/>
                    <w:left w:w="15" w:type="dxa"/>
                    <w:right w:w="15" w:type="dxa"/>
                  </w:tcMar>
                  <w:vAlign w:val="center"/>
                </w:tcPr>
                <w:p w14:paraId="25C33532">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shd w:val="clear" w:color="auto" w:fill="auto"/>
                  <w:noWrap w:val="0"/>
                  <w:tcMar>
                    <w:top w:w="15" w:type="dxa"/>
                    <w:left w:w="15" w:type="dxa"/>
                    <w:right w:w="15" w:type="dxa"/>
                  </w:tcMar>
                  <w:vAlign w:val="center"/>
                </w:tcPr>
                <w:p w14:paraId="43A7AFF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cs="Times New Roman"/>
                      <w:color w:val="auto"/>
                      <w:sz w:val="21"/>
                      <w:szCs w:val="21"/>
                      <w:highlight w:val="none"/>
                      <w:lang w:val="en-US" w:eastAsia="zh-CN"/>
                    </w:rPr>
                    <w:t>20000</w:t>
                  </w:r>
                </w:p>
              </w:tc>
              <w:tc>
                <w:tcPr>
                  <w:tcW w:w="646" w:type="dxa"/>
                  <w:tcBorders>
                    <w:left w:val="single" w:color="auto" w:sz="4" w:space="0"/>
                    <w:tl2br w:val="nil"/>
                    <w:tr2bl w:val="nil"/>
                  </w:tcBorders>
                  <w:shd w:val="clear" w:color="auto" w:fill="auto"/>
                  <w:noWrap w:val="0"/>
                  <w:tcMar>
                    <w:top w:w="15" w:type="dxa"/>
                    <w:left w:w="15" w:type="dxa"/>
                    <w:right w:w="15" w:type="dxa"/>
                  </w:tcMar>
                  <w:vAlign w:val="center"/>
                </w:tcPr>
                <w:p w14:paraId="6D6D0F36">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0.0005</w:t>
                  </w:r>
                </w:p>
              </w:tc>
              <w:tc>
                <w:tcPr>
                  <w:tcW w:w="729" w:type="dxa"/>
                  <w:tcBorders>
                    <w:tl2br w:val="nil"/>
                    <w:tr2bl w:val="nil"/>
                  </w:tcBorders>
                  <w:shd w:val="clear" w:color="auto" w:fill="auto"/>
                  <w:noWrap w:val="0"/>
                  <w:tcMar>
                    <w:top w:w="15" w:type="dxa"/>
                    <w:left w:w="15" w:type="dxa"/>
                    <w:right w:w="15" w:type="dxa"/>
                  </w:tcMar>
                  <w:vAlign w:val="center"/>
                </w:tcPr>
                <w:p w14:paraId="4F6500F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0.000025</w:t>
                  </w:r>
                </w:p>
              </w:tc>
              <w:tc>
                <w:tcPr>
                  <w:tcW w:w="326" w:type="pct"/>
                  <w:tcBorders>
                    <w:tl2br w:val="nil"/>
                    <w:tr2bl w:val="nil"/>
                  </w:tcBorders>
                  <w:noWrap w:val="0"/>
                  <w:tcMar>
                    <w:top w:w="15" w:type="dxa"/>
                    <w:left w:w="15" w:type="dxa"/>
                    <w:right w:w="15" w:type="dxa"/>
                  </w:tcMar>
                  <w:vAlign w:val="center"/>
                </w:tcPr>
                <w:p w14:paraId="4E756EF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278122B1">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2336010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535CC4C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4587493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36FEF0A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氮氧化物</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6FAD213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43B0B88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20000</w:t>
                  </w:r>
                </w:p>
              </w:tc>
              <w:tc>
                <w:tcPr>
                  <w:tcW w:w="437" w:type="pct"/>
                  <w:tcBorders>
                    <w:tl2br w:val="nil"/>
                    <w:tr2bl w:val="nil"/>
                  </w:tcBorders>
                  <w:noWrap w:val="0"/>
                  <w:tcMar>
                    <w:top w:w="15" w:type="dxa"/>
                    <w:left w:w="15" w:type="dxa"/>
                    <w:right w:w="15" w:type="dxa"/>
                  </w:tcMar>
                  <w:vAlign w:val="center"/>
                </w:tcPr>
                <w:p w14:paraId="4D0DD588">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1.14</w:t>
                  </w:r>
                </w:p>
              </w:tc>
              <w:tc>
                <w:tcPr>
                  <w:tcW w:w="374" w:type="pct"/>
                  <w:tcBorders>
                    <w:tl2br w:val="nil"/>
                    <w:tr2bl w:val="nil"/>
                  </w:tcBorders>
                  <w:noWrap w:val="0"/>
                  <w:tcMar>
                    <w:top w:w="15" w:type="dxa"/>
                    <w:left w:w="15" w:type="dxa"/>
                    <w:right w:w="15" w:type="dxa"/>
                  </w:tcMar>
                  <w:vAlign w:val="center"/>
                </w:tcPr>
                <w:p w14:paraId="7211A30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0.0547</w:t>
                  </w:r>
                </w:p>
              </w:tc>
              <w:tc>
                <w:tcPr>
                  <w:tcW w:w="346" w:type="pct"/>
                  <w:vMerge w:val="continue"/>
                  <w:tcBorders>
                    <w:tl2br w:val="nil"/>
                    <w:tr2bl w:val="nil"/>
                  </w:tcBorders>
                  <w:noWrap w:val="0"/>
                  <w:tcMar>
                    <w:top w:w="15" w:type="dxa"/>
                    <w:left w:w="15" w:type="dxa"/>
                    <w:right w:w="15" w:type="dxa"/>
                  </w:tcMar>
                  <w:vAlign w:val="center"/>
                </w:tcPr>
                <w:p w14:paraId="7FCB58E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cs="Times New Roman"/>
                      <w:color w:val="auto"/>
                      <w:sz w:val="21"/>
                      <w:szCs w:val="21"/>
                      <w:highlight w:val="none"/>
                      <w:lang w:val="en-US" w:eastAsia="zh-CN" w:bidi="ar-SA"/>
                    </w:rPr>
                  </w:pPr>
                </w:p>
              </w:tc>
              <w:tc>
                <w:tcPr>
                  <w:tcW w:w="229" w:type="pct"/>
                  <w:vMerge w:val="continue"/>
                  <w:tcBorders>
                    <w:tl2br w:val="nil"/>
                    <w:tr2bl w:val="nil"/>
                  </w:tcBorders>
                  <w:noWrap w:val="0"/>
                  <w:tcMar>
                    <w:top w:w="15" w:type="dxa"/>
                    <w:left w:w="15" w:type="dxa"/>
                    <w:right w:w="15" w:type="dxa"/>
                  </w:tcMar>
                  <w:vAlign w:val="center"/>
                </w:tcPr>
                <w:p w14:paraId="38CE77DB">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shd w:val="clear" w:color="auto" w:fill="auto"/>
                  <w:noWrap w:val="0"/>
                  <w:tcMar>
                    <w:top w:w="15" w:type="dxa"/>
                    <w:left w:w="15" w:type="dxa"/>
                    <w:right w:w="15" w:type="dxa"/>
                  </w:tcMar>
                  <w:vAlign w:val="center"/>
                </w:tcPr>
                <w:p w14:paraId="40ED54F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cs="Times New Roman"/>
                      <w:color w:val="auto"/>
                      <w:sz w:val="21"/>
                      <w:szCs w:val="21"/>
                      <w:highlight w:val="none"/>
                      <w:lang w:val="en-US" w:eastAsia="zh-CN"/>
                    </w:rPr>
                    <w:t>20000</w:t>
                  </w:r>
                </w:p>
              </w:tc>
              <w:tc>
                <w:tcPr>
                  <w:tcW w:w="646" w:type="dxa"/>
                  <w:tcBorders>
                    <w:left w:val="single" w:color="auto" w:sz="4" w:space="0"/>
                    <w:tl2br w:val="nil"/>
                    <w:tr2bl w:val="nil"/>
                  </w:tcBorders>
                  <w:shd w:val="clear" w:color="auto" w:fill="auto"/>
                  <w:noWrap w:val="0"/>
                  <w:tcMar>
                    <w:top w:w="15" w:type="dxa"/>
                    <w:left w:w="15" w:type="dxa"/>
                    <w:right w:w="15" w:type="dxa"/>
                  </w:tcMar>
                  <w:vAlign w:val="center"/>
                </w:tcPr>
                <w:p w14:paraId="42C2B600">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1.14</w:t>
                  </w:r>
                </w:p>
              </w:tc>
              <w:tc>
                <w:tcPr>
                  <w:tcW w:w="729" w:type="dxa"/>
                  <w:tcBorders>
                    <w:tl2br w:val="nil"/>
                    <w:tr2bl w:val="nil"/>
                  </w:tcBorders>
                  <w:shd w:val="clear" w:color="auto" w:fill="auto"/>
                  <w:noWrap w:val="0"/>
                  <w:tcMar>
                    <w:top w:w="15" w:type="dxa"/>
                    <w:left w:w="15" w:type="dxa"/>
                    <w:right w:w="15" w:type="dxa"/>
                  </w:tcMar>
                  <w:vAlign w:val="center"/>
                </w:tcPr>
                <w:p w14:paraId="4E636DA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0.0547</w:t>
                  </w:r>
                </w:p>
              </w:tc>
              <w:tc>
                <w:tcPr>
                  <w:tcW w:w="326" w:type="pct"/>
                  <w:tcBorders>
                    <w:tl2br w:val="nil"/>
                    <w:tr2bl w:val="nil"/>
                  </w:tcBorders>
                  <w:noWrap w:val="0"/>
                  <w:tcMar>
                    <w:top w:w="15" w:type="dxa"/>
                    <w:left w:w="15" w:type="dxa"/>
                    <w:right w:w="15" w:type="dxa"/>
                  </w:tcMar>
                  <w:vAlign w:val="center"/>
                </w:tcPr>
                <w:p w14:paraId="39F0173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2220339F">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66" w:hRule="atLeast"/>
                <w:jc w:val="center"/>
              </w:trPr>
              <w:tc>
                <w:tcPr>
                  <w:tcW w:w="277" w:type="pct"/>
                  <w:vMerge w:val="restart"/>
                  <w:tcBorders>
                    <w:right w:val="single" w:color="auto" w:sz="4" w:space="0"/>
                    <w:tl2br w:val="nil"/>
                    <w:tr2bl w:val="nil"/>
                  </w:tcBorders>
                  <w:noWrap w:val="0"/>
                  <w:tcMar>
                    <w:top w:w="15" w:type="dxa"/>
                    <w:left w:w="15" w:type="dxa"/>
                    <w:right w:w="15" w:type="dxa"/>
                  </w:tcMar>
                  <w:vAlign w:val="center"/>
                </w:tcPr>
                <w:p w14:paraId="3E5A1DF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中央厨房锅炉废气1</w:t>
                  </w:r>
                </w:p>
              </w:tc>
              <w:tc>
                <w:tcPr>
                  <w:tcW w:w="278" w:type="pct"/>
                  <w:vMerge w:val="restart"/>
                  <w:tcBorders>
                    <w:left w:val="single" w:color="auto" w:sz="4" w:space="0"/>
                    <w:tl2br w:val="nil"/>
                    <w:tr2bl w:val="nil"/>
                  </w:tcBorders>
                  <w:noWrap w:val="0"/>
                  <w:tcMar>
                    <w:top w:w="15" w:type="dxa"/>
                    <w:left w:w="15" w:type="dxa"/>
                    <w:right w:w="15" w:type="dxa"/>
                  </w:tcMar>
                  <w:vAlign w:val="center"/>
                </w:tcPr>
                <w:p w14:paraId="418BCAB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低氮燃烧技术</w:t>
                  </w:r>
                </w:p>
              </w:tc>
              <w:tc>
                <w:tcPr>
                  <w:tcW w:w="503" w:type="pct"/>
                  <w:vMerge w:val="restart"/>
                  <w:tcBorders>
                    <w:tl2br w:val="nil"/>
                    <w:tr2bl w:val="nil"/>
                  </w:tcBorders>
                  <w:noWrap w:val="0"/>
                  <w:tcMar>
                    <w:top w:w="15" w:type="dxa"/>
                    <w:left w:w="15" w:type="dxa"/>
                    <w:right w:w="15" w:type="dxa"/>
                  </w:tcMar>
                  <w:vAlign w:val="center"/>
                </w:tcPr>
                <w:p w14:paraId="58DF250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DA005、（DA006和DA005排气筒情况一样）</w:t>
                  </w:r>
                </w:p>
              </w:tc>
              <w:tc>
                <w:tcPr>
                  <w:tcW w:w="457" w:type="pct"/>
                  <w:tcBorders>
                    <w:tl2br w:val="nil"/>
                    <w:tr2bl w:val="nil"/>
                  </w:tcBorders>
                  <w:noWrap w:val="0"/>
                  <w:tcMar>
                    <w:top w:w="15" w:type="dxa"/>
                    <w:left w:w="15" w:type="dxa"/>
                    <w:right w:w="15" w:type="dxa"/>
                  </w:tcMar>
                  <w:vAlign w:val="center"/>
                </w:tcPr>
                <w:p w14:paraId="240BD0E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颗粒物</w:t>
                  </w:r>
                </w:p>
              </w:tc>
              <w:tc>
                <w:tcPr>
                  <w:tcW w:w="203" w:type="pct"/>
                  <w:vMerge w:val="restart"/>
                  <w:tcBorders>
                    <w:right w:val="single" w:color="auto" w:sz="4" w:space="0"/>
                    <w:tl2br w:val="nil"/>
                    <w:tr2bl w:val="nil"/>
                  </w:tcBorders>
                  <w:noWrap w:val="0"/>
                  <w:tcMar>
                    <w:top w:w="15" w:type="dxa"/>
                    <w:left w:w="15" w:type="dxa"/>
                    <w:right w:w="15" w:type="dxa"/>
                  </w:tcMar>
                  <w:vAlign w:val="center"/>
                </w:tcPr>
                <w:p w14:paraId="7B9E3C5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74" w:type="pct"/>
                  <w:tcBorders>
                    <w:left w:val="single" w:color="auto" w:sz="4" w:space="0"/>
                    <w:tl2br w:val="nil"/>
                    <w:tr2bl w:val="nil"/>
                  </w:tcBorders>
                  <w:noWrap w:val="0"/>
                  <w:tcMar>
                    <w:top w:w="15" w:type="dxa"/>
                    <w:left w:w="15" w:type="dxa"/>
                    <w:right w:w="15" w:type="dxa"/>
                  </w:tcMar>
                  <w:vAlign w:val="center"/>
                </w:tcPr>
                <w:p w14:paraId="2A6E484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000</w:t>
                  </w:r>
                </w:p>
              </w:tc>
              <w:tc>
                <w:tcPr>
                  <w:tcW w:w="437" w:type="pct"/>
                  <w:tcBorders>
                    <w:tl2br w:val="nil"/>
                    <w:tr2bl w:val="nil"/>
                  </w:tcBorders>
                  <w:noWrap w:val="0"/>
                  <w:tcMar>
                    <w:top w:w="15" w:type="dxa"/>
                    <w:left w:w="15" w:type="dxa"/>
                    <w:right w:w="15" w:type="dxa"/>
                  </w:tcMar>
                  <w:vAlign w:val="center"/>
                </w:tcPr>
                <w:p w14:paraId="31EDF69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2.00</w:t>
                  </w:r>
                </w:p>
              </w:tc>
              <w:tc>
                <w:tcPr>
                  <w:tcW w:w="374" w:type="pct"/>
                  <w:tcBorders>
                    <w:tl2br w:val="nil"/>
                    <w:tr2bl w:val="nil"/>
                  </w:tcBorders>
                  <w:noWrap w:val="0"/>
                  <w:tcMar>
                    <w:top w:w="15" w:type="dxa"/>
                    <w:left w:w="15" w:type="dxa"/>
                    <w:right w:w="15" w:type="dxa"/>
                  </w:tcMar>
                  <w:vAlign w:val="center"/>
                </w:tcPr>
                <w:p w14:paraId="68EE9E9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0.024</w:t>
                  </w:r>
                </w:p>
              </w:tc>
              <w:tc>
                <w:tcPr>
                  <w:tcW w:w="346" w:type="pct"/>
                  <w:vMerge w:val="restart"/>
                  <w:tcBorders>
                    <w:tl2br w:val="nil"/>
                    <w:tr2bl w:val="nil"/>
                  </w:tcBorders>
                  <w:noWrap w:val="0"/>
                  <w:tcMar>
                    <w:top w:w="15" w:type="dxa"/>
                    <w:left w:w="15" w:type="dxa"/>
                    <w:right w:w="15" w:type="dxa"/>
                  </w:tcMar>
                  <w:vAlign w:val="center"/>
                </w:tcPr>
                <w:p w14:paraId="3B82BC5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p>
              </w:tc>
              <w:tc>
                <w:tcPr>
                  <w:tcW w:w="229" w:type="pct"/>
                  <w:vMerge w:val="restart"/>
                  <w:tcBorders>
                    <w:tl2br w:val="nil"/>
                    <w:tr2bl w:val="nil"/>
                  </w:tcBorders>
                  <w:noWrap w:val="0"/>
                  <w:tcMar>
                    <w:top w:w="15" w:type="dxa"/>
                    <w:left w:w="15" w:type="dxa"/>
                    <w:right w:w="15" w:type="dxa"/>
                  </w:tcMar>
                  <w:vAlign w:val="center"/>
                </w:tcPr>
                <w:p w14:paraId="26B5698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50" w:type="pct"/>
                  <w:tcBorders>
                    <w:right w:val="single" w:color="auto" w:sz="4" w:space="0"/>
                    <w:tl2br w:val="nil"/>
                    <w:tr2bl w:val="nil"/>
                  </w:tcBorders>
                  <w:noWrap w:val="0"/>
                  <w:tcMar>
                    <w:top w:w="15" w:type="dxa"/>
                    <w:left w:w="15" w:type="dxa"/>
                    <w:right w:w="15" w:type="dxa"/>
                  </w:tcMar>
                  <w:vAlign w:val="center"/>
                </w:tcPr>
                <w:p w14:paraId="794FCBD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000</w:t>
                  </w:r>
                </w:p>
              </w:tc>
              <w:tc>
                <w:tcPr>
                  <w:tcW w:w="394" w:type="pct"/>
                  <w:tcBorders>
                    <w:left w:val="single" w:color="auto" w:sz="4" w:space="0"/>
                    <w:tl2br w:val="nil"/>
                    <w:tr2bl w:val="nil"/>
                  </w:tcBorders>
                  <w:noWrap w:val="0"/>
                  <w:tcMar>
                    <w:top w:w="15" w:type="dxa"/>
                    <w:left w:w="15" w:type="dxa"/>
                    <w:right w:w="15" w:type="dxa"/>
                  </w:tcMar>
                  <w:vAlign w:val="center"/>
                </w:tcPr>
                <w:p w14:paraId="17E2F5E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2.00</w:t>
                  </w:r>
                </w:p>
              </w:tc>
              <w:tc>
                <w:tcPr>
                  <w:tcW w:w="445" w:type="pct"/>
                  <w:tcBorders>
                    <w:tl2br w:val="nil"/>
                    <w:tr2bl w:val="nil"/>
                  </w:tcBorders>
                  <w:noWrap w:val="0"/>
                  <w:tcMar>
                    <w:top w:w="15" w:type="dxa"/>
                    <w:left w:w="15" w:type="dxa"/>
                    <w:right w:w="15" w:type="dxa"/>
                  </w:tcMar>
                  <w:vAlign w:val="center"/>
                </w:tcPr>
                <w:p w14:paraId="1F066DF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0.024</w:t>
                  </w:r>
                </w:p>
              </w:tc>
              <w:tc>
                <w:tcPr>
                  <w:tcW w:w="326" w:type="pct"/>
                  <w:tcBorders>
                    <w:tl2br w:val="nil"/>
                    <w:tr2bl w:val="nil"/>
                  </w:tcBorders>
                  <w:noWrap w:val="0"/>
                  <w:tcMar>
                    <w:top w:w="15" w:type="dxa"/>
                    <w:left w:w="15" w:type="dxa"/>
                    <w:right w:w="15" w:type="dxa"/>
                  </w:tcMar>
                  <w:vAlign w:val="center"/>
                </w:tcPr>
                <w:p w14:paraId="440D95C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39DCA562">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57F01C5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6E3EE9C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07FAF08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1D6D9B8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二氧化硫</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2B402CC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4C9A958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5000</w:t>
                  </w:r>
                </w:p>
              </w:tc>
              <w:tc>
                <w:tcPr>
                  <w:tcW w:w="437" w:type="pct"/>
                  <w:tcBorders>
                    <w:tl2br w:val="nil"/>
                    <w:tr2bl w:val="nil"/>
                  </w:tcBorders>
                  <w:noWrap w:val="0"/>
                  <w:tcMar>
                    <w:top w:w="15" w:type="dxa"/>
                    <w:left w:w="15" w:type="dxa"/>
                    <w:right w:w="15" w:type="dxa"/>
                  </w:tcMar>
                  <w:vAlign w:val="center"/>
                </w:tcPr>
                <w:p w14:paraId="7045FE4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2.80</w:t>
                  </w:r>
                </w:p>
              </w:tc>
              <w:tc>
                <w:tcPr>
                  <w:tcW w:w="374" w:type="pct"/>
                  <w:tcBorders>
                    <w:tl2br w:val="nil"/>
                    <w:tr2bl w:val="nil"/>
                  </w:tcBorders>
                  <w:noWrap w:val="0"/>
                  <w:tcMar>
                    <w:top w:w="15" w:type="dxa"/>
                    <w:left w:w="15" w:type="dxa"/>
                    <w:right w:w="15" w:type="dxa"/>
                  </w:tcMar>
                  <w:vAlign w:val="center"/>
                </w:tcPr>
                <w:p w14:paraId="31DF8EF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0.0336</w:t>
                  </w:r>
                </w:p>
              </w:tc>
              <w:tc>
                <w:tcPr>
                  <w:tcW w:w="346" w:type="pct"/>
                  <w:vMerge w:val="continue"/>
                  <w:tcBorders>
                    <w:tl2br w:val="nil"/>
                    <w:tr2bl w:val="nil"/>
                  </w:tcBorders>
                  <w:noWrap w:val="0"/>
                  <w:tcMar>
                    <w:top w:w="15" w:type="dxa"/>
                    <w:left w:w="15" w:type="dxa"/>
                    <w:right w:w="15" w:type="dxa"/>
                  </w:tcMar>
                  <w:vAlign w:val="center"/>
                </w:tcPr>
                <w:p w14:paraId="30BF348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229" w:type="pct"/>
                  <w:vMerge w:val="continue"/>
                  <w:tcBorders>
                    <w:tl2br w:val="nil"/>
                    <w:tr2bl w:val="nil"/>
                  </w:tcBorders>
                  <w:noWrap w:val="0"/>
                  <w:tcMar>
                    <w:top w:w="15" w:type="dxa"/>
                    <w:left w:w="15" w:type="dxa"/>
                    <w:right w:w="15" w:type="dxa"/>
                  </w:tcMar>
                  <w:vAlign w:val="center"/>
                </w:tcPr>
                <w:p w14:paraId="197BF53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noWrap w:val="0"/>
                  <w:tcMar>
                    <w:top w:w="15" w:type="dxa"/>
                    <w:left w:w="15" w:type="dxa"/>
                    <w:right w:w="15" w:type="dxa"/>
                  </w:tcMar>
                  <w:vAlign w:val="center"/>
                </w:tcPr>
                <w:p w14:paraId="5784F99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5000</w:t>
                  </w:r>
                </w:p>
              </w:tc>
              <w:tc>
                <w:tcPr>
                  <w:tcW w:w="394" w:type="pct"/>
                  <w:tcBorders>
                    <w:left w:val="single" w:color="auto" w:sz="4" w:space="0"/>
                    <w:tl2br w:val="nil"/>
                    <w:tr2bl w:val="nil"/>
                  </w:tcBorders>
                  <w:noWrap w:val="0"/>
                  <w:tcMar>
                    <w:top w:w="15" w:type="dxa"/>
                    <w:left w:w="15" w:type="dxa"/>
                    <w:right w:w="15" w:type="dxa"/>
                  </w:tcMar>
                  <w:vAlign w:val="center"/>
                </w:tcPr>
                <w:p w14:paraId="20556DE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2.80</w:t>
                  </w:r>
                </w:p>
              </w:tc>
              <w:tc>
                <w:tcPr>
                  <w:tcW w:w="445" w:type="pct"/>
                  <w:tcBorders>
                    <w:tl2br w:val="nil"/>
                    <w:tr2bl w:val="nil"/>
                  </w:tcBorders>
                  <w:noWrap w:val="0"/>
                  <w:tcMar>
                    <w:top w:w="15" w:type="dxa"/>
                    <w:left w:w="15" w:type="dxa"/>
                    <w:right w:w="15" w:type="dxa"/>
                  </w:tcMar>
                  <w:vAlign w:val="center"/>
                </w:tcPr>
                <w:p w14:paraId="73E50EF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highlight w:val="none"/>
                      <w:lang w:val="en-US" w:eastAsia="zh-CN"/>
                    </w:rPr>
                    <w:t>0.0336</w:t>
                  </w:r>
                </w:p>
              </w:tc>
              <w:tc>
                <w:tcPr>
                  <w:tcW w:w="326" w:type="pct"/>
                  <w:tcBorders>
                    <w:tl2br w:val="nil"/>
                    <w:tr2bl w:val="nil"/>
                  </w:tcBorders>
                  <w:noWrap w:val="0"/>
                  <w:tcMar>
                    <w:top w:w="15" w:type="dxa"/>
                    <w:left w:w="15" w:type="dxa"/>
                    <w:right w:w="15" w:type="dxa"/>
                  </w:tcMar>
                  <w:vAlign w:val="center"/>
                </w:tcPr>
                <w:p w14:paraId="13B8D3D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51C1D6B6">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6F3D546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0813C27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4F1A715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108D2AB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氮氧化物</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192E0C0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786708E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5000</w:t>
                  </w:r>
                </w:p>
              </w:tc>
              <w:tc>
                <w:tcPr>
                  <w:tcW w:w="437" w:type="pct"/>
                  <w:tcBorders>
                    <w:tl2br w:val="nil"/>
                    <w:tr2bl w:val="nil"/>
                  </w:tcBorders>
                  <w:noWrap w:val="0"/>
                  <w:tcMar>
                    <w:top w:w="15" w:type="dxa"/>
                    <w:left w:w="15" w:type="dxa"/>
                    <w:right w:w="15" w:type="dxa"/>
                  </w:tcMar>
                  <w:vAlign w:val="center"/>
                </w:tcPr>
                <w:p w14:paraId="3F1FD0C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4.88</w:t>
                  </w:r>
                </w:p>
              </w:tc>
              <w:tc>
                <w:tcPr>
                  <w:tcW w:w="374" w:type="pct"/>
                  <w:tcBorders>
                    <w:tl2br w:val="nil"/>
                    <w:tr2bl w:val="nil"/>
                  </w:tcBorders>
                  <w:noWrap w:val="0"/>
                  <w:tcMar>
                    <w:top w:w="15" w:type="dxa"/>
                    <w:left w:w="15" w:type="dxa"/>
                    <w:right w:w="15" w:type="dxa"/>
                  </w:tcMar>
                  <w:vAlign w:val="center"/>
                </w:tcPr>
                <w:p w14:paraId="24B9CC3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0.0585</w:t>
                  </w:r>
                </w:p>
              </w:tc>
              <w:tc>
                <w:tcPr>
                  <w:tcW w:w="346" w:type="pct"/>
                  <w:vMerge w:val="continue"/>
                  <w:tcBorders>
                    <w:tl2br w:val="nil"/>
                    <w:tr2bl w:val="nil"/>
                  </w:tcBorders>
                  <w:noWrap w:val="0"/>
                  <w:tcMar>
                    <w:top w:w="15" w:type="dxa"/>
                    <w:left w:w="15" w:type="dxa"/>
                    <w:right w:w="15" w:type="dxa"/>
                  </w:tcMar>
                  <w:vAlign w:val="center"/>
                </w:tcPr>
                <w:p w14:paraId="33627E0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229" w:type="pct"/>
                  <w:vMerge w:val="continue"/>
                  <w:tcBorders>
                    <w:tl2br w:val="nil"/>
                    <w:tr2bl w:val="nil"/>
                  </w:tcBorders>
                  <w:noWrap w:val="0"/>
                  <w:tcMar>
                    <w:top w:w="15" w:type="dxa"/>
                    <w:left w:w="15" w:type="dxa"/>
                    <w:right w:w="15" w:type="dxa"/>
                  </w:tcMar>
                  <w:vAlign w:val="center"/>
                </w:tcPr>
                <w:p w14:paraId="177D093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noWrap w:val="0"/>
                  <w:tcMar>
                    <w:top w:w="15" w:type="dxa"/>
                    <w:left w:w="15" w:type="dxa"/>
                    <w:right w:w="15" w:type="dxa"/>
                  </w:tcMar>
                  <w:vAlign w:val="center"/>
                </w:tcPr>
                <w:p w14:paraId="76FF177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5000</w:t>
                  </w:r>
                </w:p>
              </w:tc>
              <w:tc>
                <w:tcPr>
                  <w:tcW w:w="394" w:type="pct"/>
                  <w:tcBorders>
                    <w:left w:val="single" w:color="auto" w:sz="4" w:space="0"/>
                    <w:tl2br w:val="nil"/>
                    <w:tr2bl w:val="nil"/>
                  </w:tcBorders>
                  <w:noWrap w:val="0"/>
                  <w:tcMar>
                    <w:top w:w="15" w:type="dxa"/>
                    <w:left w:w="15" w:type="dxa"/>
                    <w:right w:w="15" w:type="dxa"/>
                  </w:tcMar>
                  <w:vAlign w:val="center"/>
                </w:tcPr>
                <w:p w14:paraId="784139C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4.88</w:t>
                  </w:r>
                </w:p>
              </w:tc>
              <w:tc>
                <w:tcPr>
                  <w:tcW w:w="445" w:type="pct"/>
                  <w:tcBorders>
                    <w:tl2br w:val="nil"/>
                    <w:tr2bl w:val="nil"/>
                  </w:tcBorders>
                  <w:noWrap w:val="0"/>
                  <w:tcMar>
                    <w:top w:w="15" w:type="dxa"/>
                    <w:left w:w="15" w:type="dxa"/>
                    <w:right w:w="15" w:type="dxa"/>
                  </w:tcMar>
                  <w:vAlign w:val="center"/>
                </w:tcPr>
                <w:p w14:paraId="282D395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highlight w:val="none"/>
                      <w:lang w:val="en-US" w:eastAsia="zh-CN"/>
                    </w:rPr>
                    <w:t>0.0585</w:t>
                  </w:r>
                </w:p>
              </w:tc>
              <w:tc>
                <w:tcPr>
                  <w:tcW w:w="326" w:type="pct"/>
                  <w:tcBorders>
                    <w:tl2br w:val="nil"/>
                    <w:tr2bl w:val="nil"/>
                  </w:tcBorders>
                  <w:noWrap w:val="0"/>
                  <w:tcMar>
                    <w:top w:w="15" w:type="dxa"/>
                    <w:left w:w="15" w:type="dxa"/>
                    <w:right w:w="15" w:type="dxa"/>
                  </w:tcMar>
                  <w:vAlign w:val="center"/>
                </w:tcPr>
                <w:p w14:paraId="216ED77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0755FC15">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tcBorders>
                    <w:right w:val="single" w:color="auto" w:sz="4" w:space="0"/>
                    <w:tl2br w:val="nil"/>
                    <w:tr2bl w:val="nil"/>
                  </w:tcBorders>
                  <w:noWrap w:val="0"/>
                  <w:tcMar>
                    <w:top w:w="15" w:type="dxa"/>
                    <w:left w:w="15" w:type="dxa"/>
                    <w:right w:w="15" w:type="dxa"/>
                  </w:tcMar>
                  <w:vAlign w:val="center"/>
                </w:tcPr>
                <w:p w14:paraId="3A38D99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hAnsi="Times New Roman" w:eastAsia="宋体" w:cs="Times New Roman"/>
                      <w:b w:val="0"/>
                      <w:bCs/>
                      <w:sz w:val="21"/>
                      <w:szCs w:val="21"/>
                      <w:lang w:val="en-US" w:eastAsia="zh-CN"/>
                    </w:rPr>
                    <w:t>油烟废气</w:t>
                  </w:r>
                </w:p>
              </w:tc>
              <w:tc>
                <w:tcPr>
                  <w:tcW w:w="278" w:type="pct"/>
                  <w:vMerge w:val="restart"/>
                  <w:tcBorders>
                    <w:left w:val="single" w:color="auto" w:sz="4" w:space="0"/>
                    <w:tl2br w:val="nil"/>
                    <w:tr2bl w:val="nil"/>
                  </w:tcBorders>
                  <w:noWrap w:val="0"/>
                  <w:tcMar>
                    <w:top w:w="15" w:type="dxa"/>
                    <w:left w:w="15" w:type="dxa"/>
                    <w:right w:w="15" w:type="dxa"/>
                  </w:tcMar>
                  <w:vAlign w:val="center"/>
                </w:tcPr>
                <w:p w14:paraId="14E59F6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静电油烟净化装置</w:t>
                  </w:r>
                </w:p>
              </w:tc>
              <w:tc>
                <w:tcPr>
                  <w:tcW w:w="503" w:type="pct"/>
                  <w:vMerge w:val="restart"/>
                  <w:tcBorders>
                    <w:tl2br w:val="nil"/>
                    <w:tr2bl w:val="nil"/>
                  </w:tcBorders>
                  <w:noWrap w:val="0"/>
                  <w:tcMar>
                    <w:top w:w="15" w:type="dxa"/>
                    <w:left w:w="15" w:type="dxa"/>
                    <w:right w:w="15" w:type="dxa"/>
                  </w:tcMar>
                  <w:vAlign w:val="center"/>
                </w:tcPr>
                <w:p w14:paraId="22F07A4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DA007（DA008-DA014和DA007排气筒情况一样）</w:t>
                  </w:r>
                </w:p>
              </w:tc>
              <w:tc>
                <w:tcPr>
                  <w:tcW w:w="457" w:type="pct"/>
                  <w:tcBorders>
                    <w:tl2br w:val="nil"/>
                    <w:tr2bl w:val="nil"/>
                  </w:tcBorders>
                  <w:noWrap w:val="0"/>
                  <w:tcMar>
                    <w:top w:w="15" w:type="dxa"/>
                    <w:left w:w="15" w:type="dxa"/>
                    <w:right w:w="15" w:type="dxa"/>
                  </w:tcMar>
                  <w:vAlign w:val="center"/>
                </w:tcPr>
                <w:p w14:paraId="27DDF3C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油烟</w:t>
                  </w:r>
                </w:p>
              </w:tc>
              <w:tc>
                <w:tcPr>
                  <w:tcW w:w="203" w:type="pct"/>
                  <w:tcBorders>
                    <w:right w:val="single" w:color="auto" w:sz="4" w:space="0"/>
                    <w:tl2br w:val="nil"/>
                    <w:tr2bl w:val="nil"/>
                  </w:tcBorders>
                  <w:noWrap w:val="0"/>
                  <w:tcMar>
                    <w:top w:w="15" w:type="dxa"/>
                    <w:left w:w="15" w:type="dxa"/>
                    <w:right w:w="15" w:type="dxa"/>
                  </w:tcMar>
                  <w:vAlign w:val="center"/>
                </w:tcPr>
                <w:p w14:paraId="65DB550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物料衡算</w:t>
                  </w:r>
                  <w:r>
                    <w:rPr>
                      <w:rFonts w:hint="default" w:ascii="Times New Roman" w:hAnsi="Times New Roman" w:cs="Times New Roman"/>
                      <w:color w:val="auto"/>
                      <w:sz w:val="21"/>
                      <w:szCs w:val="21"/>
                      <w:highlight w:val="none"/>
                      <w:lang w:val="en-US" w:eastAsia="zh-CN"/>
                    </w:rPr>
                    <w:t>法</w:t>
                  </w:r>
                </w:p>
              </w:tc>
              <w:tc>
                <w:tcPr>
                  <w:tcW w:w="374" w:type="pct"/>
                  <w:tcBorders>
                    <w:left w:val="single" w:color="auto" w:sz="4" w:space="0"/>
                    <w:tl2br w:val="nil"/>
                    <w:tr2bl w:val="nil"/>
                  </w:tcBorders>
                  <w:noWrap w:val="0"/>
                  <w:tcMar>
                    <w:top w:w="15" w:type="dxa"/>
                    <w:left w:w="15" w:type="dxa"/>
                    <w:right w:w="15" w:type="dxa"/>
                  </w:tcMar>
                  <w:vAlign w:val="center"/>
                </w:tcPr>
                <w:p w14:paraId="1F7C26E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000</w:t>
                  </w:r>
                </w:p>
              </w:tc>
              <w:tc>
                <w:tcPr>
                  <w:tcW w:w="437" w:type="pct"/>
                  <w:tcBorders>
                    <w:tl2br w:val="nil"/>
                    <w:tr2bl w:val="nil"/>
                  </w:tcBorders>
                  <w:noWrap w:val="0"/>
                  <w:tcMar>
                    <w:top w:w="15" w:type="dxa"/>
                    <w:left w:w="15" w:type="dxa"/>
                    <w:right w:w="15" w:type="dxa"/>
                  </w:tcMar>
                  <w:vAlign w:val="center"/>
                </w:tcPr>
                <w:p w14:paraId="49119596">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7.81</w:t>
                  </w:r>
                </w:p>
              </w:tc>
              <w:tc>
                <w:tcPr>
                  <w:tcW w:w="374" w:type="pct"/>
                  <w:tcBorders>
                    <w:tl2br w:val="nil"/>
                    <w:tr2bl w:val="nil"/>
                  </w:tcBorders>
                  <w:noWrap w:val="0"/>
                  <w:tcMar>
                    <w:top w:w="15" w:type="dxa"/>
                    <w:left w:w="15" w:type="dxa"/>
                    <w:right w:w="15" w:type="dxa"/>
                  </w:tcMar>
                  <w:vAlign w:val="center"/>
                </w:tcPr>
                <w:p w14:paraId="6F9B3D1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0.375</w:t>
                  </w:r>
                </w:p>
              </w:tc>
              <w:tc>
                <w:tcPr>
                  <w:tcW w:w="346" w:type="pct"/>
                  <w:tcBorders>
                    <w:tl2br w:val="nil"/>
                    <w:tr2bl w:val="nil"/>
                  </w:tcBorders>
                  <w:noWrap w:val="0"/>
                  <w:tcMar>
                    <w:top w:w="15" w:type="dxa"/>
                    <w:left w:w="15" w:type="dxa"/>
                    <w:right w:w="15" w:type="dxa"/>
                  </w:tcMar>
                  <w:vAlign w:val="center"/>
                </w:tcPr>
                <w:p w14:paraId="2DB2B82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hAnsi="Times New Roman" w:eastAsia="宋体" w:cs="Times New Roman"/>
                      <w:color w:val="auto"/>
                      <w:spacing w:val="6"/>
                      <w:kern w:val="0"/>
                      <w:sz w:val="21"/>
                      <w:szCs w:val="21"/>
                      <w:highlight w:val="none"/>
                      <w:lang w:val="en-US" w:eastAsia="zh-CN" w:bidi="ar-SA"/>
                    </w:rPr>
                    <w:t>静电油烟净化装置处理效率85</w:t>
                  </w:r>
                  <w:r>
                    <w:rPr>
                      <w:rFonts w:hint="default" w:ascii="Times New Roman" w:hAnsi="Times New Roman" w:eastAsia="宋体" w:cs="Times New Roman"/>
                      <w:color w:val="auto"/>
                      <w:spacing w:val="6"/>
                      <w:kern w:val="0"/>
                      <w:sz w:val="21"/>
                      <w:szCs w:val="21"/>
                      <w:highlight w:val="none"/>
                      <w:lang w:val="en-US" w:eastAsia="zh-CN" w:bidi="ar-SA"/>
                    </w:rPr>
                    <w:t>%</w:t>
                  </w:r>
                </w:p>
              </w:tc>
              <w:tc>
                <w:tcPr>
                  <w:tcW w:w="229" w:type="pct"/>
                  <w:tcBorders>
                    <w:tl2br w:val="nil"/>
                    <w:tr2bl w:val="nil"/>
                  </w:tcBorders>
                  <w:noWrap w:val="0"/>
                  <w:tcMar>
                    <w:top w:w="15" w:type="dxa"/>
                    <w:left w:w="15" w:type="dxa"/>
                    <w:right w:w="15" w:type="dxa"/>
                  </w:tcMar>
                  <w:vAlign w:val="center"/>
                </w:tcPr>
                <w:p w14:paraId="7570A616">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物料衡算</w:t>
                  </w:r>
                  <w:r>
                    <w:rPr>
                      <w:rFonts w:hint="default" w:ascii="Times New Roman" w:hAnsi="Times New Roman" w:cs="Times New Roman"/>
                      <w:color w:val="auto"/>
                      <w:sz w:val="21"/>
                      <w:szCs w:val="21"/>
                      <w:highlight w:val="none"/>
                      <w:lang w:val="en-US" w:eastAsia="zh-CN"/>
                    </w:rPr>
                    <w:t>法</w:t>
                  </w:r>
                </w:p>
              </w:tc>
              <w:tc>
                <w:tcPr>
                  <w:tcW w:w="350" w:type="pct"/>
                  <w:tcBorders>
                    <w:right w:val="single" w:color="auto" w:sz="4" w:space="0"/>
                    <w:tl2br w:val="nil"/>
                    <w:tr2bl w:val="nil"/>
                  </w:tcBorders>
                  <w:noWrap w:val="0"/>
                  <w:tcMar>
                    <w:top w:w="15" w:type="dxa"/>
                    <w:left w:w="15" w:type="dxa"/>
                    <w:right w:w="15" w:type="dxa"/>
                  </w:tcMar>
                  <w:vAlign w:val="center"/>
                </w:tcPr>
                <w:p w14:paraId="010702B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000</w:t>
                  </w:r>
                </w:p>
              </w:tc>
              <w:tc>
                <w:tcPr>
                  <w:tcW w:w="394" w:type="pct"/>
                  <w:tcBorders>
                    <w:left w:val="single" w:color="auto" w:sz="4" w:space="0"/>
                    <w:tl2br w:val="nil"/>
                    <w:tr2bl w:val="nil"/>
                  </w:tcBorders>
                  <w:noWrap w:val="0"/>
                  <w:tcMar>
                    <w:top w:w="15" w:type="dxa"/>
                    <w:left w:w="15" w:type="dxa"/>
                    <w:right w:w="15" w:type="dxa"/>
                  </w:tcMar>
                  <w:vAlign w:val="center"/>
                </w:tcPr>
                <w:p w14:paraId="66207989">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default" w:asci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0.78</w:t>
                  </w:r>
                </w:p>
              </w:tc>
              <w:tc>
                <w:tcPr>
                  <w:tcW w:w="445" w:type="pct"/>
                  <w:tcBorders>
                    <w:tl2br w:val="nil"/>
                    <w:tr2bl w:val="nil"/>
                  </w:tcBorders>
                  <w:noWrap w:val="0"/>
                  <w:tcMar>
                    <w:top w:w="15" w:type="dxa"/>
                    <w:left w:w="15" w:type="dxa"/>
                    <w:right w:w="15" w:type="dxa"/>
                  </w:tcMar>
                  <w:vAlign w:val="center"/>
                </w:tcPr>
                <w:p w14:paraId="1C7066EF">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default" w:asci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0.0375</w:t>
                  </w:r>
                </w:p>
              </w:tc>
              <w:tc>
                <w:tcPr>
                  <w:tcW w:w="326" w:type="pct"/>
                  <w:tcBorders>
                    <w:tl2br w:val="nil"/>
                    <w:tr2bl w:val="nil"/>
                  </w:tcBorders>
                  <w:noWrap w:val="0"/>
                  <w:tcMar>
                    <w:top w:w="15" w:type="dxa"/>
                    <w:left w:w="15" w:type="dxa"/>
                    <w:right w:w="15" w:type="dxa"/>
                  </w:tcMar>
                  <w:vAlign w:val="center"/>
                </w:tcPr>
                <w:p w14:paraId="3C8AB87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00</w:t>
                  </w:r>
                </w:p>
              </w:tc>
            </w:tr>
            <w:tr w14:paraId="5C551E6B">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restart"/>
                  <w:tcBorders>
                    <w:right w:val="single" w:color="auto" w:sz="4" w:space="0"/>
                    <w:tl2br w:val="nil"/>
                    <w:tr2bl w:val="nil"/>
                  </w:tcBorders>
                  <w:noWrap w:val="0"/>
                  <w:tcMar>
                    <w:top w:w="15" w:type="dxa"/>
                    <w:left w:w="15" w:type="dxa"/>
                    <w:right w:w="15" w:type="dxa"/>
                  </w:tcMar>
                  <w:vAlign w:val="center"/>
                </w:tcPr>
                <w:p w14:paraId="3AC8D87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hAnsi="Times New Roman" w:eastAsia="宋体" w:cs="Times New Roman"/>
                      <w:b w:val="0"/>
                      <w:bCs/>
                      <w:sz w:val="21"/>
                      <w:szCs w:val="21"/>
                      <w:lang w:val="en-US" w:eastAsia="zh-CN"/>
                    </w:rPr>
                    <w:t>燃气灶燃烧废气</w:t>
                  </w:r>
                </w:p>
              </w:tc>
              <w:tc>
                <w:tcPr>
                  <w:tcW w:w="278" w:type="pct"/>
                  <w:vMerge w:val="continue"/>
                  <w:tcBorders>
                    <w:left w:val="single" w:color="auto" w:sz="4" w:space="0"/>
                    <w:tl2br w:val="nil"/>
                    <w:tr2bl w:val="nil"/>
                  </w:tcBorders>
                  <w:noWrap w:val="0"/>
                  <w:tcMar>
                    <w:top w:w="15" w:type="dxa"/>
                    <w:left w:w="15" w:type="dxa"/>
                    <w:right w:w="15" w:type="dxa"/>
                  </w:tcMar>
                  <w:vAlign w:val="center"/>
                </w:tcPr>
                <w:p w14:paraId="6336CC7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16BAC52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663B08D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颗粒物</w:t>
                  </w:r>
                </w:p>
              </w:tc>
              <w:tc>
                <w:tcPr>
                  <w:tcW w:w="203" w:type="pct"/>
                  <w:vMerge w:val="restart"/>
                  <w:tcBorders>
                    <w:right w:val="single" w:color="auto" w:sz="4" w:space="0"/>
                    <w:tl2br w:val="nil"/>
                    <w:tr2bl w:val="nil"/>
                  </w:tcBorders>
                  <w:noWrap w:val="0"/>
                  <w:tcMar>
                    <w:top w:w="15" w:type="dxa"/>
                    <w:left w:w="15" w:type="dxa"/>
                    <w:right w:w="15" w:type="dxa"/>
                  </w:tcMar>
                  <w:vAlign w:val="center"/>
                </w:tcPr>
                <w:p w14:paraId="55C6891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74" w:type="pct"/>
                  <w:tcBorders>
                    <w:left w:val="single" w:color="auto" w:sz="4" w:space="0"/>
                    <w:tl2br w:val="nil"/>
                    <w:tr2bl w:val="nil"/>
                  </w:tcBorders>
                  <w:noWrap w:val="0"/>
                  <w:tcMar>
                    <w:top w:w="15" w:type="dxa"/>
                    <w:left w:w="15" w:type="dxa"/>
                    <w:right w:w="15" w:type="dxa"/>
                  </w:tcMar>
                  <w:vAlign w:val="center"/>
                </w:tcPr>
                <w:p w14:paraId="4B1332F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20000</w:t>
                  </w:r>
                </w:p>
              </w:tc>
              <w:tc>
                <w:tcPr>
                  <w:tcW w:w="437" w:type="pct"/>
                  <w:tcBorders>
                    <w:tl2br w:val="nil"/>
                    <w:tr2bl w:val="nil"/>
                  </w:tcBorders>
                  <w:noWrap w:val="0"/>
                  <w:tcMar>
                    <w:top w:w="15" w:type="dxa"/>
                    <w:left w:w="15" w:type="dxa"/>
                    <w:right w:w="15" w:type="dxa"/>
                  </w:tcMar>
                  <w:vAlign w:val="center"/>
                </w:tcPr>
                <w:p w14:paraId="53A08282">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04</w:t>
                  </w:r>
                </w:p>
              </w:tc>
              <w:tc>
                <w:tcPr>
                  <w:tcW w:w="374" w:type="pct"/>
                  <w:tcBorders>
                    <w:tl2br w:val="nil"/>
                    <w:tr2bl w:val="nil"/>
                  </w:tcBorders>
                  <w:noWrap w:val="0"/>
                  <w:tcMar>
                    <w:top w:w="15" w:type="dxa"/>
                    <w:left w:w="15" w:type="dxa"/>
                    <w:right w:w="15" w:type="dxa"/>
                  </w:tcMar>
                  <w:vAlign w:val="center"/>
                </w:tcPr>
                <w:p w14:paraId="571CF2E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0.0018</w:t>
                  </w:r>
                </w:p>
              </w:tc>
              <w:tc>
                <w:tcPr>
                  <w:tcW w:w="346" w:type="pct"/>
                  <w:vMerge w:val="restart"/>
                  <w:tcBorders>
                    <w:tl2br w:val="nil"/>
                    <w:tr2bl w:val="nil"/>
                  </w:tcBorders>
                  <w:noWrap w:val="0"/>
                  <w:tcMar>
                    <w:top w:w="15" w:type="dxa"/>
                    <w:left w:w="15" w:type="dxa"/>
                    <w:right w:w="15" w:type="dxa"/>
                  </w:tcMar>
                  <w:vAlign w:val="center"/>
                </w:tcPr>
                <w:p w14:paraId="3DB17BA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bidi="ar-SA"/>
                    </w:rPr>
                    <w:t>/</w:t>
                  </w:r>
                </w:p>
              </w:tc>
              <w:tc>
                <w:tcPr>
                  <w:tcW w:w="229" w:type="pct"/>
                  <w:vMerge w:val="restart"/>
                  <w:tcBorders>
                    <w:tl2br w:val="nil"/>
                    <w:tr2bl w:val="nil"/>
                  </w:tcBorders>
                  <w:noWrap w:val="0"/>
                  <w:tcMar>
                    <w:top w:w="15" w:type="dxa"/>
                    <w:left w:w="15" w:type="dxa"/>
                    <w:right w:w="15" w:type="dxa"/>
                  </w:tcMar>
                  <w:vAlign w:val="center"/>
                </w:tcPr>
                <w:p w14:paraId="4F819CAC">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50" w:type="pct"/>
                  <w:tcBorders>
                    <w:right w:val="single" w:color="auto" w:sz="4" w:space="0"/>
                    <w:tl2br w:val="nil"/>
                    <w:tr2bl w:val="nil"/>
                  </w:tcBorders>
                  <w:noWrap w:val="0"/>
                  <w:tcMar>
                    <w:top w:w="15" w:type="dxa"/>
                    <w:left w:w="15" w:type="dxa"/>
                    <w:right w:w="15" w:type="dxa"/>
                  </w:tcMar>
                  <w:vAlign w:val="center"/>
                </w:tcPr>
                <w:p w14:paraId="4C97660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20000</w:t>
                  </w:r>
                </w:p>
              </w:tc>
              <w:tc>
                <w:tcPr>
                  <w:tcW w:w="646" w:type="dxa"/>
                  <w:tcBorders>
                    <w:left w:val="single" w:color="auto" w:sz="4" w:space="0"/>
                    <w:tl2br w:val="nil"/>
                    <w:tr2bl w:val="nil"/>
                  </w:tcBorders>
                  <w:noWrap w:val="0"/>
                  <w:tcMar>
                    <w:top w:w="15" w:type="dxa"/>
                    <w:left w:w="15" w:type="dxa"/>
                    <w:right w:w="15" w:type="dxa"/>
                  </w:tcMar>
                  <w:vAlign w:val="center"/>
                </w:tcPr>
                <w:p w14:paraId="5A34C5A7">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04</w:t>
                  </w:r>
                </w:p>
              </w:tc>
              <w:tc>
                <w:tcPr>
                  <w:tcW w:w="729" w:type="dxa"/>
                  <w:tcBorders>
                    <w:tl2br w:val="nil"/>
                    <w:tr2bl w:val="nil"/>
                  </w:tcBorders>
                  <w:noWrap w:val="0"/>
                  <w:tcMar>
                    <w:top w:w="15" w:type="dxa"/>
                    <w:left w:w="15" w:type="dxa"/>
                    <w:right w:w="15" w:type="dxa"/>
                  </w:tcMar>
                  <w:vAlign w:val="center"/>
                </w:tcPr>
                <w:p w14:paraId="598E421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0.0018</w:t>
                  </w:r>
                </w:p>
              </w:tc>
              <w:tc>
                <w:tcPr>
                  <w:tcW w:w="326" w:type="pct"/>
                  <w:tcBorders>
                    <w:tl2br w:val="nil"/>
                    <w:tr2bl w:val="nil"/>
                  </w:tcBorders>
                  <w:noWrap w:val="0"/>
                  <w:tcMar>
                    <w:top w:w="15" w:type="dxa"/>
                    <w:left w:w="15" w:type="dxa"/>
                    <w:right w:w="15" w:type="dxa"/>
                  </w:tcMar>
                  <w:vAlign w:val="center"/>
                </w:tcPr>
                <w:p w14:paraId="378BD0D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2167E155">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1AA4D7C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7E6F359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30702A8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34E7BA1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二氧化硫</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5E82E7F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60E36F6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20000</w:t>
                  </w:r>
                </w:p>
              </w:tc>
              <w:tc>
                <w:tcPr>
                  <w:tcW w:w="437" w:type="pct"/>
                  <w:tcBorders>
                    <w:tl2br w:val="nil"/>
                    <w:tr2bl w:val="nil"/>
                  </w:tcBorders>
                  <w:noWrap w:val="0"/>
                  <w:tcMar>
                    <w:top w:w="15" w:type="dxa"/>
                    <w:left w:w="15" w:type="dxa"/>
                    <w:right w:w="15" w:type="dxa"/>
                  </w:tcMar>
                  <w:vAlign w:val="center"/>
                </w:tcPr>
                <w:p w14:paraId="507C3110">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02</w:t>
                  </w:r>
                </w:p>
              </w:tc>
              <w:tc>
                <w:tcPr>
                  <w:tcW w:w="374" w:type="pct"/>
                  <w:tcBorders>
                    <w:tl2br w:val="nil"/>
                    <w:tr2bl w:val="nil"/>
                  </w:tcBorders>
                  <w:noWrap w:val="0"/>
                  <w:tcMar>
                    <w:top w:w="15" w:type="dxa"/>
                    <w:left w:w="15" w:type="dxa"/>
                    <w:right w:w="15" w:type="dxa"/>
                  </w:tcMar>
                  <w:vAlign w:val="center"/>
                </w:tcPr>
                <w:p w14:paraId="00884C2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0.000009</w:t>
                  </w:r>
                </w:p>
              </w:tc>
              <w:tc>
                <w:tcPr>
                  <w:tcW w:w="346" w:type="pct"/>
                  <w:vMerge w:val="continue"/>
                  <w:tcBorders>
                    <w:tl2br w:val="nil"/>
                    <w:tr2bl w:val="nil"/>
                  </w:tcBorders>
                  <w:noWrap w:val="0"/>
                  <w:tcMar>
                    <w:top w:w="15" w:type="dxa"/>
                    <w:left w:w="15" w:type="dxa"/>
                    <w:right w:w="15" w:type="dxa"/>
                  </w:tcMar>
                  <w:vAlign w:val="center"/>
                </w:tcPr>
                <w:p w14:paraId="57ECD99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229" w:type="pct"/>
                  <w:vMerge w:val="continue"/>
                  <w:tcBorders>
                    <w:tl2br w:val="nil"/>
                    <w:tr2bl w:val="nil"/>
                  </w:tcBorders>
                  <w:noWrap w:val="0"/>
                  <w:tcMar>
                    <w:top w:w="15" w:type="dxa"/>
                    <w:left w:w="15" w:type="dxa"/>
                    <w:right w:w="15" w:type="dxa"/>
                  </w:tcMar>
                  <w:vAlign w:val="center"/>
                </w:tcPr>
                <w:p w14:paraId="0B66EB33">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noWrap w:val="0"/>
                  <w:tcMar>
                    <w:top w:w="15" w:type="dxa"/>
                    <w:left w:w="15" w:type="dxa"/>
                    <w:right w:w="15" w:type="dxa"/>
                  </w:tcMar>
                  <w:vAlign w:val="center"/>
                </w:tcPr>
                <w:p w14:paraId="5605EB0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20000</w:t>
                  </w:r>
                </w:p>
              </w:tc>
              <w:tc>
                <w:tcPr>
                  <w:tcW w:w="646" w:type="dxa"/>
                  <w:tcBorders>
                    <w:left w:val="single" w:color="auto" w:sz="4" w:space="0"/>
                    <w:tl2br w:val="nil"/>
                    <w:tr2bl w:val="nil"/>
                  </w:tcBorders>
                  <w:noWrap w:val="0"/>
                  <w:tcMar>
                    <w:top w:w="15" w:type="dxa"/>
                    <w:left w:w="15" w:type="dxa"/>
                    <w:right w:w="15" w:type="dxa"/>
                  </w:tcMar>
                  <w:vAlign w:val="center"/>
                </w:tcPr>
                <w:p w14:paraId="1DF4BF37">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02</w:t>
                  </w:r>
                </w:p>
              </w:tc>
              <w:tc>
                <w:tcPr>
                  <w:tcW w:w="729" w:type="dxa"/>
                  <w:tcBorders>
                    <w:tl2br w:val="nil"/>
                    <w:tr2bl w:val="nil"/>
                  </w:tcBorders>
                  <w:noWrap w:val="0"/>
                  <w:tcMar>
                    <w:top w:w="15" w:type="dxa"/>
                    <w:left w:w="15" w:type="dxa"/>
                    <w:right w:w="15" w:type="dxa"/>
                  </w:tcMar>
                  <w:vAlign w:val="center"/>
                </w:tcPr>
                <w:p w14:paraId="199ABF4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0.000009</w:t>
                  </w:r>
                </w:p>
              </w:tc>
              <w:tc>
                <w:tcPr>
                  <w:tcW w:w="326" w:type="pct"/>
                  <w:tcBorders>
                    <w:tl2br w:val="nil"/>
                    <w:tr2bl w:val="nil"/>
                  </w:tcBorders>
                  <w:noWrap w:val="0"/>
                  <w:tcMar>
                    <w:top w:w="15" w:type="dxa"/>
                    <w:left w:w="15" w:type="dxa"/>
                    <w:right w:w="15" w:type="dxa"/>
                  </w:tcMar>
                  <w:vAlign w:val="center"/>
                </w:tcPr>
                <w:p w14:paraId="2627152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1FD4D3BB">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0F951A8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63DBF26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11B2CDF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2276CDB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氮氧化物</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742F31C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7B7AD54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20000</w:t>
                  </w:r>
                </w:p>
              </w:tc>
              <w:tc>
                <w:tcPr>
                  <w:tcW w:w="437" w:type="pct"/>
                  <w:tcBorders>
                    <w:tl2br w:val="nil"/>
                    <w:tr2bl w:val="nil"/>
                  </w:tcBorders>
                  <w:noWrap w:val="0"/>
                  <w:tcMar>
                    <w:top w:w="15" w:type="dxa"/>
                    <w:left w:w="15" w:type="dxa"/>
                    <w:right w:w="15" w:type="dxa"/>
                  </w:tcMar>
                  <w:vAlign w:val="center"/>
                </w:tcPr>
                <w:p w14:paraId="6CBD9271">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0.42</w:t>
                  </w:r>
                </w:p>
              </w:tc>
              <w:tc>
                <w:tcPr>
                  <w:tcW w:w="374" w:type="pct"/>
                  <w:tcBorders>
                    <w:tl2br w:val="nil"/>
                    <w:tr2bl w:val="nil"/>
                  </w:tcBorders>
                  <w:noWrap w:val="0"/>
                  <w:tcMar>
                    <w:top w:w="15" w:type="dxa"/>
                    <w:left w:w="15" w:type="dxa"/>
                    <w:right w:w="15" w:type="dxa"/>
                  </w:tcMar>
                  <w:vAlign w:val="center"/>
                </w:tcPr>
                <w:p w14:paraId="79B7E14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0.0202</w:t>
                  </w:r>
                </w:p>
              </w:tc>
              <w:tc>
                <w:tcPr>
                  <w:tcW w:w="346" w:type="pct"/>
                  <w:vMerge w:val="continue"/>
                  <w:tcBorders>
                    <w:tl2br w:val="nil"/>
                    <w:tr2bl w:val="nil"/>
                  </w:tcBorders>
                  <w:noWrap w:val="0"/>
                  <w:tcMar>
                    <w:top w:w="15" w:type="dxa"/>
                    <w:left w:w="15" w:type="dxa"/>
                    <w:right w:w="15" w:type="dxa"/>
                  </w:tcMar>
                  <w:vAlign w:val="center"/>
                </w:tcPr>
                <w:p w14:paraId="2221CB1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229" w:type="pct"/>
                  <w:vMerge w:val="continue"/>
                  <w:tcBorders>
                    <w:tl2br w:val="nil"/>
                    <w:tr2bl w:val="nil"/>
                  </w:tcBorders>
                  <w:noWrap w:val="0"/>
                  <w:tcMar>
                    <w:top w:w="15" w:type="dxa"/>
                    <w:left w:w="15" w:type="dxa"/>
                    <w:right w:w="15" w:type="dxa"/>
                  </w:tcMar>
                  <w:vAlign w:val="center"/>
                </w:tcPr>
                <w:p w14:paraId="6121065C">
                  <w:pPr>
                    <w:pStyle w:val="42"/>
                    <w:keepNext w:val="0"/>
                    <w:keepLines w:val="0"/>
                    <w:pageBreakBefore w:val="0"/>
                    <w:widowControl/>
                    <w:kinsoku/>
                    <w:wordWrap/>
                    <w:overflowPunct/>
                    <w:topLinePunct w:val="0"/>
                    <w:bidi w:val="0"/>
                    <w:adjustRightInd/>
                    <w:snapToGrid/>
                    <w:spacing w:line="240" w:lineRule="auto"/>
                    <w:ind w:firstLine="0" w:firstLineChars="0"/>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noWrap w:val="0"/>
                  <w:tcMar>
                    <w:top w:w="15" w:type="dxa"/>
                    <w:left w:w="15" w:type="dxa"/>
                    <w:right w:w="15" w:type="dxa"/>
                  </w:tcMar>
                  <w:vAlign w:val="center"/>
                </w:tcPr>
                <w:p w14:paraId="329D5E3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20000</w:t>
                  </w:r>
                </w:p>
              </w:tc>
              <w:tc>
                <w:tcPr>
                  <w:tcW w:w="646" w:type="dxa"/>
                  <w:tcBorders>
                    <w:left w:val="single" w:color="auto" w:sz="4" w:space="0"/>
                    <w:tl2br w:val="nil"/>
                    <w:tr2bl w:val="nil"/>
                  </w:tcBorders>
                  <w:noWrap w:val="0"/>
                  <w:tcMar>
                    <w:top w:w="15" w:type="dxa"/>
                    <w:left w:w="15" w:type="dxa"/>
                    <w:right w:w="15" w:type="dxa"/>
                  </w:tcMar>
                  <w:vAlign w:val="center"/>
                </w:tcPr>
                <w:p w14:paraId="0F7BBA20">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0.42</w:t>
                  </w:r>
                </w:p>
              </w:tc>
              <w:tc>
                <w:tcPr>
                  <w:tcW w:w="729" w:type="dxa"/>
                  <w:tcBorders>
                    <w:tl2br w:val="nil"/>
                    <w:tr2bl w:val="nil"/>
                  </w:tcBorders>
                  <w:noWrap w:val="0"/>
                  <w:tcMar>
                    <w:top w:w="15" w:type="dxa"/>
                    <w:left w:w="15" w:type="dxa"/>
                    <w:right w:w="15" w:type="dxa"/>
                  </w:tcMar>
                  <w:vAlign w:val="center"/>
                </w:tcPr>
                <w:p w14:paraId="5855AA7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0.0202</w:t>
                  </w:r>
                </w:p>
              </w:tc>
              <w:tc>
                <w:tcPr>
                  <w:tcW w:w="326" w:type="pct"/>
                  <w:tcBorders>
                    <w:tl2br w:val="nil"/>
                    <w:tr2bl w:val="nil"/>
                  </w:tcBorders>
                  <w:noWrap w:val="0"/>
                  <w:tcMar>
                    <w:top w:w="15" w:type="dxa"/>
                    <w:left w:w="15" w:type="dxa"/>
                    <w:right w:w="15" w:type="dxa"/>
                  </w:tcMar>
                  <w:vAlign w:val="center"/>
                </w:tcPr>
                <w:p w14:paraId="48FE421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196A2879">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restart"/>
                  <w:tcBorders>
                    <w:right w:val="single" w:color="auto" w:sz="4" w:space="0"/>
                    <w:tl2br w:val="nil"/>
                    <w:tr2bl w:val="nil"/>
                  </w:tcBorders>
                  <w:noWrap w:val="0"/>
                  <w:tcMar>
                    <w:top w:w="15" w:type="dxa"/>
                    <w:left w:w="15" w:type="dxa"/>
                    <w:right w:w="15" w:type="dxa"/>
                  </w:tcMar>
                  <w:vAlign w:val="center"/>
                </w:tcPr>
                <w:p w14:paraId="614E37E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1号预制菜车间锅炉废气1</w:t>
                  </w:r>
                </w:p>
              </w:tc>
              <w:tc>
                <w:tcPr>
                  <w:tcW w:w="278" w:type="pct"/>
                  <w:vMerge w:val="restart"/>
                  <w:tcBorders>
                    <w:left w:val="single" w:color="auto" w:sz="4" w:space="0"/>
                    <w:tl2br w:val="nil"/>
                    <w:tr2bl w:val="nil"/>
                  </w:tcBorders>
                  <w:noWrap w:val="0"/>
                  <w:tcMar>
                    <w:top w:w="15" w:type="dxa"/>
                    <w:left w:w="15" w:type="dxa"/>
                    <w:right w:w="15" w:type="dxa"/>
                  </w:tcMar>
                  <w:vAlign w:val="center"/>
                </w:tcPr>
                <w:p w14:paraId="0B42D9B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低氮燃烧技术</w:t>
                  </w:r>
                </w:p>
              </w:tc>
              <w:tc>
                <w:tcPr>
                  <w:tcW w:w="503" w:type="pct"/>
                  <w:vMerge w:val="restart"/>
                  <w:tcBorders>
                    <w:tl2br w:val="nil"/>
                    <w:tr2bl w:val="nil"/>
                  </w:tcBorders>
                  <w:noWrap w:val="0"/>
                  <w:tcMar>
                    <w:top w:w="15" w:type="dxa"/>
                    <w:left w:w="15" w:type="dxa"/>
                    <w:right w:w="15" w:type="dxa"/>
                  </w:tcMar>
                  <w:vAlign w:val="center"/>
                </w:tcPr>
                <w:p w14:paraId="2E38121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DA015</w:t>
                  </w:r>
                </w:p>
              </w:tc>
              <w:tc>
                <w:tcPr>
                  <w:tcW w:w="457" w:type="pct"/>
                  <w:tcBorders>
                    <w:tl2br w:val="nil"/>
                    <w:tr2bl w:val="nil"/>
                  </w:tcBorders>
                  <w:noWrap w:val="0"/>
                  <w:tcMar>
                    <w:top w:w="15" w:type="dxa"/>
                    <w:left w:w="15" w:type="dxa"/>
                    <w:right w:w="15" w:type="dxa"/>
                  </w:tcMar>
                  <w:vAlign w:val="center"/>
                </w:tcPr>
                <w:p w14:paraId="2820133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颗粒物</w:t>
                  </w:r>
                </w:p>
              </w:tc>
              <w:tc>
                <w:tcPr>
                  <w:tcW w:w="203" w:type="pct"/>
                  <w:vMerge w:val="restart"/>
                  <w:tcBorders>
                    <w:right w:val="single" w:color="auto" w:sz="4" w:space="0"/>
                    <w:tl2br w:val="nil"/>
                    <w:tr2bl w:val="nil"/>
                  </w:tcBorders>
                  <w:noWrap w:val="0"/>
                  <w:tcMar>
                    <w:top w:w="15" w:type="dxa"/>
                    <w:left w:w="15" w:type="dxa"/>
                    <w:right w:w="15" w:type="dxa"/>
                  </w:tcMar>
                  <w:vAlign w:val="center"/>
                </w:tcPr>
                <w:p w14:paraId="68235F2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74" w:type="pct"/>
                  <w:tcBorders>
                    <w:left w:val="single" w:color="auto" w:sz="4" w:space="0"/>
                    <w:tl2br w:val="nil"/>
                    <w:tr2bl w:val="nil"/>
                  </w:tcBorders>
                  <w:noWrap w:val="0"/>
                  <w:tcMar>
                    <w:top w:w="15" w:type="dxa"/>
                    <w:left w:w="15" w:type="dxa"/>
                    <w:right w:w="15" w:type="dxa"/>
                  </w:tcMar>
                  <w:vAlign w:val="center"/>
                </w:tcPr>
                <w:p w14:paraId="161A460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437" w:type="pct"/>
                  <w:tcBorders>
                    <w:tl2br w:val="nil"/>
                    <w:tr2bl w:val="nil"/>
                  </w:tcBorders>
                  <w:noWrap w:val="0"/>
                  <w:tcMar>
                    <w:top w:w="15" w:type="dxa"/>
                    <w:left w:w="15" w:type="dxa"/>
                    <w:right w:w="15" w:type="dxa"/>
                  </w:tcMar>
                  <w:vAlign w:val="center"/>
                </w:tcPr>
                <w:p w14:paraId="6BE3D84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9.15</w:t>
                  </w:r>
                </w:p>
              </w:tc>
              <w:tc>
                <w:tcPr>
                  <w:tcW w:w="374" w:type="pct"/>
                  <w:tcBorders>
                    <w:tl2br w:val="nil"/>
                    <w:tr2bl w:val="nil"/>
                  </w:tcBorders>
                  <w:noWrap w:val="0"/>
                  <w:tcMar>
                    <w:top w:w="15" w:type="dxa"/>
                    <w:left w:w="15" w:type="dxa"/>
                    <w:right w:w="15" w:type="dxa"/>
                  </w:tcMar>
                  <w:vAlign w:val="center"/>
                </w:tcPr>
                <w:p w14:paraId="35800C6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0.2196</w:t>
                  </w:r>
                </w:p>
              </w:tc>
              <w:tc>
                <w:tcPr>
                  <w:tcW w:w="346" w:type="pct"/>
                  <w:vMerge w:val="restart"/>
                  <w:tcBorders>
                    <w:tl2br w:val="nil"/>
                    <w:tr2bl w:val="nil"/>
                  </w:tcBorders>
                  <w:noWrap w:val="0"/>
                  <w:tcMar>
                    <w:top w:w="15" w:type="dxa"/>
                    <w:left w:w="15" w:type="dxa"/>
                    <w:right w:w="15" w:type="dxa"/>
                  </w:tcMar>
                  <w:vAlign w:val="center"/>
                </w:tcPr>
                <w:p w14:paraId="06AD527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p>
              </w:tc>
              <w:tc>
                <w:tcPr>
                  <w:tcW w:w="229" w:type="pct"/>
                  <w:vMerge w:val="restart"/>
                  <w:tcBorders>
                    <w:tl2br w:val="nil"/>
                    <w:tr2bl w:val="nil"/>
                  </w:tcBorders>
                  <w:noWrap w:val="0"/>
                  <w:tcMar>
                    <w:top w:w="15" w:type="dxa"/>
                    <w:left w:w="15" w:type="dxa"/>
                    <w:right w:w="15" w:type="dxa"/>
                  </w:tcMar>
                  <w:vAlign w:val="center"/>
                </w:tcPr>
                <w:p w14:paraId="712B847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50" w:type="pct"/>
                  <w:tcBorders>
                    <w:right w:val="single" w:color="auto" w:sz="4" w:space="0"/>
                    <w:tl2br w:val="nil"/>
                    <w:tr2bl w:val="nil"/>
                  </w:tcBorders>
                  <w:noWrap w:val="0"/>
                  <w:tcMar>
                    <w:top w:w="15" w:type="dxa"/>
                    <w:left w:w="15" w:type="dxa"/>
                    <w:right w:w="15" w:type="dxa"/>
                  </w:tcMar>
                  <w:vAlign w:val="center"/>
                </w:tcPr>
                <w:p w14:paraId="0A70BAC7">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394" w:type="pct"/>
                  <w:tcBorders>
                    <w:left w:val="single" w:color="auto" w:sz="4" w:space="0"/>
                    <w:tl2br w:val="nil"/>
                    <w:tr2bl w:val="nil"/>
                  </w:tcBorders>
                  <w:noWrap w:val="0"/>
                  <w:tcMar>
                    <w:top w:w="15" w:type="dxa"/>
                    <w:left w:w="15" w:type="dxa"/>
                    <w:right w:w="15" w:type="dxa"/>
                  </w:tcMar>
                  <w:vAlign w:val="center"/>
                </w:tcPr>
                <w:p w14:paraId="7C47D96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9.15</w:t>
                  </w:r>
                </w:p>
              </w:tc>
              <w:tc>
                <w:tcPr>
                  <w:tcW w:w="445" w:type="pct"/>
                  <w:tcBorders>
                    <w:tl2br w:val="nil"/>
                    <w:tr2bl w:val="nil"/>
                  </w:tcBorders>
                  <w:noWrap w:val="0"/>
                  <w:tcMar>
                    <w:top w:w="15" w:type="dxa"/>
                    <w:left w:w="15" w:type="dxa"/>
                    <w:right w:w="15" w:type="dxa"/>
                  </w:tcMar>
                  <w:vAlign w:val="center"/>
                </w:tcPr>
                <w:p w14:paraId="11C845B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0.2196</w:t>
                  </w:r>
                </w:p>
              </w:tc>
              <w:tc>
                <w:tcPr>
                  <w:tcW w:w="326" w:type="pct"/>
                  <w:tcBorders>
                    <w:tl2br w:val="nil"/>
                    <w:tr2bl w:val="nil"/>
                  </w:tcBorders>
                  <w:noWrap w:val="0"/>
                  <w:tcMar>
                    <w:top w:w="15" w:type="dxa"/>
                    <w:left w:w="15" w:type="dxa"/>
                    <w:right w:w="15" w:type="dxa"/>
                  </w:tcMar>
                  <w:vAlign w:val="center"/>
                </w:tcPr>
                <w:p w14:paraId="7AF436C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13D87A7A">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33FBFE2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73263A2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31CFA16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34CDD18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二氧化硫</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5B23578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13D0AAE1">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437" w:type="pct"/>
                  <w:tcBorders>
                    <w:tl2br w:val="nil"/>
                    <w:tr2bl w:val="nil"/>
                  </w:tcBorders>
                  <w:noWrap w:val="0"/>
                  <w:tcMar>
                    <w:top w:w="15" w:type="dxa"/>
                    <w:left w:w="15" w:type="dxa"/>
                    <w:right w:w="15" w:type="dxa"/>
                  </w:tcMar>
                  <w:vAlign w:val="center"/>
                </w:tcPr>
                <w:p w14:paraId="7E0BD84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12.80</w:t>
                  </w:r>
                </w:p>
              </w:tc>
              <w:tc>
                <w:tcPr>
                  <w:tcW w:w="374" w:type="pct"/>
                  <w:tcBorders>
                    <w:tl2br w:val="nil"/>
                    <w:tr2bl w:val="nil"/>
                  </w:tcBorders>
                  <w:noWrap w:val="0"/>
                  <w:tcMar>
                    <w:top w:w="15" w:type="dxa"/>
                    <w:left w:w="15" w:type="dxa"/>
                    <w:right w:w="15" w:type="dxa"/>
                  </w:tcMar>
                  <w:vAlign w:val="center"/>
                </w:tcPr>
                <w:p w14:paraId="14BCD04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0.3072</w:t>
                  </w:r>
                </w:p>
              </w:tc>
              <w:tc>
                <w:tcPr>
                  <w:tcW w:w="346" w:type="pct"/>
                  <w:vMerge w:val="continue"/>
                  <w:tcBorders>
                    <w:tl2br w:val="nil"/>
                    <w:tr2bl w:val="nil"/>
                  </w:tcBorders>
                  <w:noWrap w:val="0"/>
                  <w:tcMar>
                    <w:top w:w="15" w:type="dxa"/>
                    <w:left w:w="15" w:type="dxa"/>
                    <w:right w:w="15" w:type="dxa"/>
                  </w:tcMar>
                  <w:vAlign w:val="center"/>
                </w:tcPr>
                <w:p w14:paraId="3D57033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229" w:type="pct"/>
                  <w:vMerge w:val="continue"/>
                  <w:tcBorders>
                    <w:tl2br w:val="nil"/>
                    <w:tr2bl w:val="nil"/>
                  </w:tcBorders>
                  <w:noWrap w:val="0"/>
                  <w:tcMar>
                    <w:top w:w="15" w:type="dxa"/>
                    <w:left w:w="15" w:type="dxa"/>
                    <w:right w:w="15" w:type="dxa"/>
                  </w:tcMar>
                  <w:vAlign w:val="center"/>
                </w:tcPr>
                <w:p w14:paraId="6F658FA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noWrap w:val="0"/>
                  <w:tcMar>
                    <w:top w:w="15" w:type="dxa"/>
                    <w:left w:w="15" w:type="dxa"/>
                    <w:right w:w="15" w:type="dxa"/>
                  </w:tcMar>
                  <w:vAlign w:val="center"/>
                </w:tcPr>
                <w:p w14:paraId="76E59470">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394" w:type="pct"/>
                  <w:tcBorders>
                    <w:left w:val="single" w:color="auto" w:sz="4" w:space="0"/>
                    <w:tl2br w:val="nil"/>
                    <w:tr2bl w:val="nil"/>
                  </w:tcBorders>
                  <w:noWrap w:val="0"/>
                  <w:tcMar>
                    <w:top w:w="15" w:type="dxa"/>
                    <w:left w:w="15" w:type="dxa"/>
                    <w:right w:w="15" w:type="dxa"/>
                  </w:tcMar>
                  <w:vAlign w:val="center"/>
                </w:tcPr>
                <w:p w14:paraId="5E74572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12.80</w:t>
                  </w:r>
                </w:p>
              </w:tc>
              <w:tc>
                <w:tcPr>
                  <w:tcW w:w="445" w:type="pct"/>
                  <w:tcBorders>
                    <w:tl2br w:val="nil"/>
                    <w:tr2bl w:val="nil"/>
                  </w:tcBorders>
                  <w:noWrap w:val="0"/>
                  <w:tcMar>
                    <w:top w:w="15" w:type="dxa"/>
                    <w:left w:w="15" w:type="dxa"/>
                    <w:right w:w="15" w:type="dxa"/>
                  </w:tcMar>
                  <w:vAlign w:val="center"/>
                </w:tcPr>
                <w:p w14:paraId="08A4B1E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0.3072</w:t>
                  </w:r>
                </w:p>
              </w:tc>
              <w:tc>
                <w:tcPr>
                  <w:tcW w:w="326" w:type="pct"/>
                  <w:tcBorders>
                    <w:tl2br w:val="nil"/>
                    <w:tr2bl w:val="nil"/>
                  </w:tcBorders>
                  <w:noWrap w:val="0"/>
                  <w:tcMar>
                    <w:top w:w="15" w:type="dxa"/>
                    <w:left w:w="15" w:type="dxa"/>
                    <w:right w:w="15" w:type="dxa"/>
                  </w:tcMar>
                  <w:vAlign w:val="center"/>
                </w:tcPr>
                <w:p w14:paraId="14481DE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06278005">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3E40AE8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2C5722E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1767F0E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2C7FBEC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氮氧化物</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48DB009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52984D4C">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437" w:type="pct"/>
                  <w:tcBorders>
                    <w:tl2br w:val="nil"/>
                    <w:tr2bl w:val="nil"/>
                  </w:tcBorders>
                  <w:noWrap w:val="0"/>
                  <w:tcMar>
                    <w:top w:w="15" w:type="dxa"/>
                    <w:left w:w="15" w:type="dxa"/>
                    <w:right w:w="15" w:type="dxa"/>
                  </w:tcMar>
                  <w:vAlign w:val="center"/>
                </w:tcPr>
                <w:p w14:paraId="67FBBE3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22.30</w:t>
                  </w:r>
                </w:p>
              </w:tc>
              <w:tc>
                <w:tcPr>
                  <w:tcW w:w="374" w:type="pct"/>
                  <w:tcBorders>
                    <w:tl2br w:val="nil"/>
                    <w:tr2bl w:val="nil"/>
                  </w:tcBorders>
                  <w:noWrap w:val="0"/>
                  <w:tcMar>
                    <w:top w:w="15" w:type="dxa"/>
                    <w:left w:w="15" w:type="dxa"/>
                    <w:right w:w="15" w:type="dxa"/>
                  </w:tcMar>
                  <w:vAlign w:val="center"/>
                </w:tcPr>
                <w:p w14:paraId="26A388C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0.5353</w:t>
                  </w:r>
                </w:p>
              </w:tc>
              <w:tc>
                <w:tcPr>
                  <w:tcW w:w="346" w:type="pct"/>
                  <w:vMerge w:val="continue"/>
                  <w:tcBorders>
                    <w:tl2br w:val="nil"/>
                    <w:tr2bl w:val="nil"/>
                  </w:tcBorders>
                  <w:noWrap w:val="0"/>
                  <w:tcMar>
                    <w:top w:w="15" w:type="dxa"/>
                    <w:left w:w="15" w:type="dxa"/>
                    <w:right w:w="15" w:type="dxa"/>
                  </w:tcMar>
                  <w:vAlign w:val="center"/>
                </w:tcPr>
                <w:p w14:paraId="643FDA5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229" w:type="pct"/>
                  <w:vMerge w:val="continue"/>
                  <w:tcBorders>
                    <w:tl2br w:val="nil"/>
                    <w:tr2bl w:val="nil"/>
                  </w:tcBorders>
                  <w:noWrap w:val="0"/>
                  <w:tcMar>
                    <w:top w:w="15" w:type="dxa"/>
                    <w:left w:w="15" w:type="dxa"/>
                    <w:right w:w="15" w:type="dxa"/>
                  </w:tcMar>
                  <w:vAlign w:val="center"/>
                </w:tcPr>
                <w:p w14:paraId="680EBEE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noWrap w:val="0"/>
                  <w:tcMar>
                    <w:top w:w="15" w:type="dxa"/>
                    <w:left w:w="15" w:type="dxa"/>
                    <w:right w:w="15" w:type="dxa"/>
                  </w:tcMar>
                  <w:vAlign w:val="center"/>
                </w:tcPr>
                <w:p w14:paraId="072F0113">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394" w:type="pct"/>
                  <w:tcBorders>
                    <w:left w:val="single" w:color="auto" w:sz="4" w:space="0"/>
                    <w:tl2br w:val="nil"/>
                    <w:tr2bl w:val="nil"/>
                  </w:tcBorders>
                  <w:noWrap w:val="0"/>
                  <w:tcMar>
                    <w:top w:w="15" w:type="dxa"/>
                    <w:left w:w="15" w:type="dxa"/>
                    <w:right w:w="15" w:type="dxa"/>
                  </w:tcMar>
                  <w:vAlign w:val="center"/>
                </w:tcPr>
                <w:p w14:paraId="19262FA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22.30</w:t>
                  </w:r>
                </w:p>
              </w:tc>
              <w:tc>
                <w:tcPr>
                  <w:tcW w:w="445" w:type="pct"/>
                  <w:tcBorders>
                    <w:tl2br w:val="nil"/>
                    <w:tr2bl w:val="nil"/>
                  </w:tcBorders>
                  <w:noWrap w:val="0"/>
                  <w:tcMar>
                    <w:top w:w="15" w:type="dxa"/>
                    <w:left w:w="15" w:type="dxa"/>
                    <w:right w:w="15" w:type="dxa"/>
                  </w:tcMar>
                  <w:vAlign w:val="center"/>
                </w:tcPr>
                <w:p w14:paraId="680265D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0.5353</w:t>
                  </w:r>
                </w:p>
              </w:tc>
              <w:tc>
                <w:tcPr>
                  <w:tcW w:w="326" w:type="pct"/>
                  <w:tcBorders>
                    <w:tl2br w:val="nil"/>
                    <w:tr2bl w:val="nil"/>
                  </w:tcBorders>
                  <w:noWrap w:val="0"/>
                  <w:tcMar>
                    <w:top w:w="15" w:type="dxa"/>
                    <w:left w:w="15" w:type="dxa"/>
                    <w:right w:w="15" w:type="dxa"/>
                  </w:tcMar>
                  <w:vAlign w:val="center"/>
                </w:tcPr>
                <w:p w14:paraId="7552E43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151D02BF">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restart"/>
                  <w:tcBorders>
                    <w:right w:val="single" w:color="auto" w:sz="4" w:space="0"/>
                    <w:tl2br w:val="nil"/>
                    <w:tr2bl w:val="nil"/>
                  </w:tcBorders>
                  <w:noWrap w:val="0"/>
                  <w:tcMar>
                    <w:top w:w="15" w:type="dxa"/>
                    <w:left w:w="15" w:type="dxa"/>
                    <w:right w:w="15" w:type="dxa"/>
                  </w:tcMar>
                  <w:vAlign w:val="center"/>
                </w:tcPr>
                <w:p w14:paraId="7B5BE48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1号预制菜车间锅炉废气2</w:t>
                  </w:r>
                </w:p>
              </w:tc>
              <w:tc>
                <w:tcPr>
                  <w:tcW w:w="278" w:type="pct"/>
                  <w:vMerge w:val="restart"/>
                  <w:tcBorders>
                    <w:left w:val="single" w:color="auto" w:sz="4" w:space="0"/>
                    <w:tl2br w:val="nil"/>
                    <w:tr2bl w:val="nil"/>
                  </w:tcBorders>
                  <w:noWrap w:val="0"/>
                  <w:tcMar>
                    <w:top w:w="15" w:type="dxa"/>
                    <w:left w:w="15" w:type="dxa"/>
                    <w:right w:w="15" w:type="dxa"/>
                  </w:tcMar>
                  <w:vAlign w:val="center"/>
                </w:tcPr>
                <w:p w14:paraId="30B6436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低氮燃烧技术</w:t>
                  </w:r>
                </w:p>
              </w:tc>
              <w:tc>
                <w:tcPr>
                  <w:tcW w:w="503" w:type="pct"/>
                  <w:vMerge w:val="restart"/>
                  <w:tcBorders>
                    <w:tl2br w:val="nil"/>
                    <w:tr2bl w:val="nil"/>
                  </w:tcBorders>
                  <w:noWrap w:val="0"/>
                  <w:tcMar>
                    <w:top w:w="15" w:type="dxa"/>
                    <w:left w:w="15" w:type="dxa"/>
                    <w:right w:w="15" w:type="dxa"/>
                  </w:tcMar>
                  <w:vAlign w:val="center"/>
                </w:tcPr>
                <w:p w14:paraId="5E80A14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DA016</w:t>
                  </w:r>
                </w:p>
              </w:tc>
              <w:tc>
                <w:tcPr>
                  <w:tcW w:w="457" w:type="pct"/>
                  <w:tcBorders>
                    <w:tl2br w:val="nil"/>
                    <w:tr2bl w:val="nil"/>
                  </w:tcBorders>
                  <w:noWrap w:val="0"/>
                  <w:tcMar>
                    <w:top w:w="15" w:type="dxa"/>
                    <w:left w:w="15" w:type="dxa"/>
                    <w:right w:w="15" w:type="dxa"/>
                  </w:tcMar>
                  <w:vAlign w:val="center"/>
                </w:tcPr>
                <w:p w14:paraId="22D7787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颗粒物</w:t>
                  </w:r>
                </w:p>
              </w:tc>
              <w:tc>
                <w:tcPr>
                  <w:tcW w:w="203" w:type="pct"/>
                  <w:vMerge w:val="restart"/>
                  <w:tcBorders>
                    <w:right w:val="single" w:color="auto" w:sz="4" w:space="0"/>
                    <w:tl2br w:val="nil"/>
                    <w:tr2bl w:val="nil"/>
                  </w:tcBorders>
                  <w:noWrap w:val="0"/>
                  <w:tcMar>
                    <w:top w:w="15" w:type="dxa"/>
                    <w:left w:w="15" w:type="dxa"/>
                    <w:right w:w="15" w:type="dxa"/>
                  </w:tcMar>
                  <w:vAlign w:val="center"/>
                </w:tcPr>
                <w:p w14:paraId="59DAAF4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74" w:type="pct"/>
                  <w:tcBorders>
                    <w:left w:val="single" w:color="auto" w:sz="4" w:space="0"/>
                    <w:tl2br w:val="nil"/>
                    <w:tr2bl w:val="nil"/>
                  </w:tcBorders>
                  <w:noWrap w:val="0"/>
                  <w:tcMar>
                    <w:top w:w="15" w:type="dxa"/>
                    <w:left w:w="15" w:type="dxa"/>
                    <w:right w:w="15" w:type="dxa"/>
                  </w:tcMar>
                  <w:vAlign w:val="center"/>
                </w:tcPr>
                <w:p w14:paraId="002CE3D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437" w:type="pct"/>
                  <w:tcBorders>
                    <w:tl2br w:val="nil"/>
                    <w:tr2bl w:val="nil"/>
                  </w:tcBorders>
                  <w:noWrap w:val="0"/>
                  <w:tcMar>
                    <w:top w:w="15" w:type="dxa"/>
                    <w:left w:w="15" w:type="dxa"/>
                    <w:right w:w="15" w:type="dxa"/>
                  </w:tcMar>
                  <w:vAlign w:val="center"/>
                </w:tcPr>
                <w:p w14:paraId="055B6B0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12.87</w:t>
                  </w:r>
                </w:p>
              </w:tc>
              <w:tc>
                <w:tcPr>
                  <w:tcW w:w="374" w:type="pct"/>
                  <w:tcBorders>
                    <w:tl2br w:val="nil"/>
                    <w:tr2bl w:val="nil"/>
                  </w:tcBorders>
                  <w:noWrap w:val="0"/>
                  <w:tcMar>
                    <w:top w:w="15" w:type="dxa"/>
                    <w:left w:w="15" w:type="dxa"/>
                    <w:right w:w="15" w:type="dxa"/>
                  </w:tcMar>
                  <w:vAlign w:val="center"/>
                </w:tcPr>
                <w:p w14:paraId="456DD61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0.3089</w:t>
                  </w:r>
                </w:p>
              </w:tc>
              <w:tc>
                <w:tcPr>
                  <w:tcW w:w="346" w:type="pct"/>
                  <w:vMerge w:val="restart"/>
                  <w:tcBorders>
                    <w:tl2br w:val="nil"/>
                    <w:tr2bl w:val="nil"/>
                  </w:tcBorders>
                  <w:noWrap w:val="0"/>
                  <w:tcMar>
                    <w:top w:w="15" w:type="dxa"/>
                    <w:left w:w="15" w:type="dxa"/>
                    <w:right w:w="15" w:type="dxa"/>
                  </w:tcMar>
                  <w:vAlign w:val="center"/>
                </w:tcPr>
                <w:p w14:paraId="131196BF">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p>
              </w:tc>
              <w:tc>
                <w:tcPr>
                  <w:tcW w:w="229" w:type="pct"/>
                  <w:vMerge w:val="restart"/>
                  <w:tcBorders>
                    <w:tl2br w:val="nil"/>
                    <w:tr2bl w:val="nil"/>
                  </w:tcBorders>
                  <w:noWrap w:val="0"/>
                  <w:tcMar>
                    <w:top w:w="15" w:type="dxa"/>
                    <w:left w:w="15" w:type="dxa"/>
                    <w:right w:w="15" w:type="dxa"/>
                  </w:tcMar>
                  <w:vAlign w:val="center"/>
                </w:tcPr>
                <w:p w14:paraId="2AE471D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产物系数</w:t>
                  </w:r>
                  <w:r>
                    <w:rPr>
                      <w:rFonts w:hint="default" w:ascii="Times New Roman" w:hAnsi="Times New Roman" w:cs="Times New Roman"/>
                      <w:color w:val="auto"/>
                      <w:sz w:val="21"/>
                      <w:szCs w:val="21"/>
                      <w:highlight w:val="none"/>
                      <w:lang w:val="en-US" w:eastAsia="zh-CN"/>
                    </w:rPr>
                    <w:t>法</w:t>
                  </w:r>
                </w:p>
              </w:tc>
              <w:tc>
                <w:tcPr>
                  <w:tcW w:w="350" w:type="pct"/>
                  <w:tcBorders>
                    <w:right w:val="single" w:color="auto" w:sz="4" w:space="0"/>
                    <w:tl2br w:val="nil"/>
                    <w:tr2bl w:val="nil"/>
                  </w:tcBorders>
                  <w:noWrap w:val="0"/>
                  <w:tcMar>
                    <w:top w:w="15" w:type="dxa"/>
                    <w:left w:w="15" w:type="dxa"/>
                    <w:right w:w="15" w:type="dxa"/>
                  </w:tcMar>
                  <w:vAlign w:val="center"/>
                </w:tcPr>
                <w:p w14:paraId="13507E40">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646" w:type="dxa"/>
                  <w:tcBorders>
                    <w:left w:val="single" w:color="auto" w:sz="4" w:space="0"/>
                    <w:tl2br w:val="nil"/>
                    <w:tr2bl w:val="nil"/>
                  </w:tcBorders>
                  <w:noWrap w:val="0"/>
                  <w:tcMar>
                    <w:top w:w="15" w:type="dxa"/>
                    <w:left w:w="15" w:type="dxa"/>
                    <w:right w:w="15" w:type="dxa"/>
                  </w:tcMar>
                  <w:vAlign w:val="center"/>
                </w:tcPr>
                <w:p w14:paraId="4D26021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12.87</w:t>
                  </w:r>
                </w:p>
              </w:tc>
              <w:tc>
                <w:tcPr>
                  <w:tcW w:w="729" w:type="dxa"/>
                  <w:tcBorders>
                    <w:tl2br w:val="nil"/>
                    <w:tr2bl w:val="nil"/>
                  </w:tcBorders>
                  <w:noWrap w:val="0"/>
                  <w:tcMar>
                    <w:top w:w="15" w:type="dxa"/>
                    <w:left w:w="15" w:type="dxa"/>
                    <w:right w:w="15" w:type="dxa"/>
                  </w:tcMar>
                  <w:vAlign w:val="center"/>
                </w:tcPr>
                <w:p w14:paraId="2E3CDBD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0.3089</w:t>
                  </w:r>
                </w:p>
              </w:tc>
              <w:tc>
                <w:tcPr>
                  <w:tcW w:w="326" w:type="pct"/>
                  <w:tcBorders>
                    <w:tl2br w:val="nil"/>
                    <w:tr2bl w:val="nil"/>
                  </w:tcBorders>
                  <w:noWrap w:val="0"/>
                  <w:tcMar>
                    <w:top w:w="15" w:type="dxa"/>
                    <w:left w:w="15" w:type="dxa"/>
                    <w:right w:w="15" w:type="dxa"/>
                  </w:tcMar>
                  <w:vAlign w:val="center"/>
                </w:tcPr>
                <w:p w14:paraId="0DC133E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338420A4">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2A56497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037ECA1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4DB02D1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6C7E457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二氧化硫</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6A9C857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50F30E82">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437" w:type="pct"/>
                  <w:tcBorders>
                    <w:tl2br w:val="nil"/>
                    <w:tr2bl w:val="nil"/>
                  </w:tcBorders>
                  <w:noWrap w:val="0"/>
                  <w:tcMar>
                    <w:top w:w="15" w:type="dxa"/>
                    <w:left w:w="15" w:type="dxa"/>
                    <w:right w:w="15" w:type="dxa"/>
                  </w:tcMar>
                  <w:vAlign w:val="center"/>
                </w:tcPr>
                <w:p w14:paraId="45E7EE5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18.00</w:t>
                  </w:r>
                </w:p>
              </w:tc>
              <w:tc>
                <w:tcPr>
                  <w:tcW w:w="374" w:type="pct"/>
                  <w:tcBorders>
                    <w:tl2br w:val="nil"/>
                    <w:tr2bl w:val="nil"/>
                  </w:tcBorders>
                  <w:noWrap w:val="0"/>
                  <w:tcMar>
                    <w:top w:w="15" w:type="dxa"/>
                    <w:left w:w="15" w:type="dxa"/>
                    <w:right w:w="15" w:type="dxa"/>
                  </w:tcMar>
                  <w:vAlign w:val="center"/>
                </w:tcPr>
                <w:p w14:paraId="4A4BAF8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0.432</w:t>
                  </w:r>
                </w:p>
              </w:tc>
              <w:tc>
                <w:tcPr>
                  <w:tcW w:w="346" w:type="pct"/>
                  <w:vMerge w:val="continue"/>
                  <w:tcBorders>
                    <w:tl2br w:val="nil"/>
                    <w:tr2bl w:val="nil"/>
                  </w:tcBorders>
                  <w:noWrap w:val="0"/>
                  <w:tcMar>
                    <w:top w:w="15" w:type="dxa"/>
                    <w:left w:w="15" w:type="dxa"/>
                    <w:right w:w="15" w:type="dxa"/>
                  </w:tcMar>
                  <w:vAlign w:val="center"/>
                </w:tcPr>
                <w:p w14:paraId="29F7FBF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229" w:type="pct"/>
                  <w:vMerge w:val="continue"/>
                  <w:tcBorders>
                    <w:tl2br w:val="nil"/>
                    <w:tr2bl w:val="nil"/>
                  </w:tcBorders>
                  <w:noWrap w:val="0"/>
                  <w:tcMar>
                    <w:top w:w="15" w:type="dxa"/>
                    <w:left w:w="15" w:type="dxa"/>
                    <w:right w:w="15" w:type="dxa"/>
                  </w:tcMar>
                  <w:vAlign w:val="center"/>
                </w:tcPr>
                <w:p w14:paraId="6B0BEEC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noWrap w:val="0"/>
                  <w:tcMar>
                    <w:top w:w="15" w:type="dxa"/>
                    <w:left w:w="15" w:type="dxa"/>
                    <w:right w:w="15" w:type="dxa"/>
                  </w:tcMar>
                  <w:vAlign w:val="center"/>
                </w:tcPr>
                <w:p w14:paraId="1DD3C4C8">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646" w:type="dxa"/>
                  <w:tcBorders>
                    <w:left w:val="single" w:color="auto" w:sz="4" w:space="0"/>
                    <w:tl2br w:val="nil"/>
                    <w:tr2bl w:val="nil"/>
                  </w:tcBorders>
                  <w:noWrap w:val="0"/>
                  <w:tcMar>
                    <w:top w:w="15" w:type="dxa"/>
                    <w:left w:w="15" w:type="dxa"/>
                    <w:right w:w="15" w:type="dxa"/>
                  </w:tcMar>
                  <w:vAlign w:val="center"/>
                </w:tcPr>
                <w:p w14:paraId="4326CFC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18.00</w:t>
                  </w:r>
                </w:p>
              </w:tc>
              <w:tc>
                <w:tcPr>
                  <w:tcW w:w="729" w:type="dxa"/>
                  <w:tcBorders>
                    <w:tl2br w:val="nil"/>
                    <w:tr2bl w:val="nil"/>
                  </w:tcBorders>
                  <w:noWrap w:val="0"/>
                  <w:tcMar>
                    <w:top w:w="15" w:type="dxa"/>
                    <w:left w:w="15" w:type="dxa"/>
                    <w:right w:w="15" w:type="dxa"/>
                  </w:tcMar>
                  <w:vAlign w:val="center"/>
                </w:tcPr>
                <w:p w14:paraId="30E6370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0.432</w:t>
                  </w:r>
                </w:p>
              </w:tc>
              <w:tc>
                <w:tcPr>
                  <w:tcW w:w="326" w:type="pct"/>
                  <w:tcBorders>
                    <w:tl2br w:val="nil"/>
                    <w:tr2bl w:val="nil"/>
                  </w:tcBorders>
                  <w:noWrap w:val="0"/>
                  <w:tcMar>
                    <w:top w:w="15" w:type="dxa"/>
                    <w:left w:w="15" w:type="dxa"/>
                    <w:right w:w="15" w:type="dxa"/>
                  </w:tcMar>
                  <w:vAlign w:val="center"/>
                </w:tcPr>
                <w:p w14:paraId="40CACB0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r w14:paraId="1558051E">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277" w:type="pct"/>
                  <w:vMerge w:val="continue"/>
                  <w:tcBorders>
                    <w:right w:val="single" w:color="auto" w:sz="4" w:space="0"/>
                    <w:tl2br w:val="nil"/>
                    <w:tr2bl w:val="nil"/>
                  </w:tcBorders>
                  <w:noWrap w:val="0"/>
                  <w:tcMar>
                    <w:top w:w="15" w:type="dxa"/>
                    <w:left w:w="15" w:type="dxa"/>
                    <w:right w:w="15" w:type="dxa"/>
                  </w:tcMar>
                  <w:vAlign w:val="center"/>
                </w:tcPr>
                <w:p w14:paraId="1F0A52A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p>
              </w:tc>
              <w:tc>
                <w:tcPr>
                  <w:tcW w:w="278" w:type="pct"/>
                  <w:vMerge w:val="continue"/>
                  <w:tcBorders>
                    <w:left w:val="single" w:color="auto" w:sz="4" w:space="0"/>
                    <w:tl2br w:val="nil"/>
                    <w:tr2bl w:val="nil"/>
                  </w:tcBorders>
                  <w:noWrap w:val="0"/>
                  <w:tcMar>
                    <w:top w:w="15" w:type="dxa"/>
                    <w:left w:w="15" w:type="dxa"/>
                    <w:right w:w="15" w:type="dxa"/>
                  </w:tcMar>
                  <w:vAlign w:val="center"/>
                </w:tcPr>
                <w:p w14:paraId="78A940F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503" w:type="pct"/>
                  <w:vMerge w:val="continue"/>
                  <w:tcBorders>
                    <w:tl2br w:val="nil"/>
                    <w:tr2bl w:val="nil"/>
                  </w:tcBorders>
                  <w:noWrap w:val="0"/>
                  <w:tcMar>
                    <w:top w:w="15" w:type="dxa"/>
                    <w:left w:w="15" w:type="dxa"/>
                    <w:right w:w="15" w:type="dxa"/>
                  </w:tcMar>
                  <w:vAlign w:val="center"/>
                </w:tcPr>
                <w:p w14:paraId="475DA38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457" w:type="pct"/>
                  <w:tcBorders>
                    <w:tl2br w:val="nil"/>
                    <w:tr2bl w:val="nil"/>
                  </w:tcBorders>
                  <w:noWrap w:val="0"/>
                  <w:tcMar>
                    <w:top w:w="15" w:type="dxa"/>
                    <w:left w:w="15" w:type="dxa"/>
                    <w:right w:w="15" w:type="dxa"/>
                  </w:tcMar>
                  <w:vAlign w:val="center"/>
                </w:tcPr>
                <w:p w14:paraId="15BD1A7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氮氧化物</w:t>
                  </w:r>
                </w:p>
              </w:tc>
              <w:tc>
                <w:tcPr>
                  <w:tcW w:w="203" w:type="pct"/>
                  <w:vMerge w:val="continue"/>
                  <w:tcBorders>
                    <w:right w:val="single" w:color="auto" w:sz="4" w:space="0"/>
                    <w:tl2br w:val="nil"/>
                    <w:tr2bl w:val="nil"/>
                  </w:tcBorders>
                  <w:noWrap w:val="0"/>
                  <w:tcMar>
                    <w:top w:w="15" w:type="dxa"/>
                    <w:left w:w="15" w:type="dxa"/>
                    <w:right w:w="15" w:type="dxa"/>
                  </w:tcMar>
                  <w:vAlign w:val="center"/>
                </w:tcPr>
                <w:p w14:paraId="4AD8E2E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74" w:type="pct"/>
                  <w:tcBorders>
                    <w:left w:val="single" w:color="auto" w:sz="4" w:space="0"/>
                    <w:tl2br w:val="nil"/>
                    <w:tr2bl w:val="nil"/>
                  </w:tcBorders>
                  <w:noWrap w:val="0"/>
                  <w:tcMar>
                    <w:top w:w="15" w:type="dxa"/>
                    <w:left w:w="15" w:type="dxa"/>
                    <w:right w:w="15" w:type="dxa"/>
                  </w:tcMar>
                  <w:vAlign w:val="center"/>
                </w:tcPr>
                <w:p w14:paraId="530AB5A9">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437" w:type="pct"/>
                  <w:tcBorders>
                    <w:tl2br w:val="nil"/>
                    <w:tr2bl w:val="nil"/>
                  </w:tcBorders>
                  <w:noWrap w:val="0"/>
                  <w:tcMar>
                    <w:top w:w="15" w:type="dxa"/>
                    <w:left w:w="15" w:type="dxa"/>
                    <w:right w:w="15" w:type="dxa"/>
                  </w:tcMar>
                  <w:vAlign w:val="center"/>
                </w:tcPr>
                <w:p w14:paraId="36B4C4A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31.37</w:t>
                  </w:r>
                </w:p>
              </w:tc>
              <w:tc>
                <w:tcPr>
                  <w:tcW w:w="374" w:type="pct"/>
                  <w:tcBorders>
                    <w:tl2br w:val="nil"/>
                    <w:tr2bl w:val="nil"/>
                  </w:tcBorders>
                  <w:noWrap w:val="0"/>
                  <w:tcMar>
                    <w:top w:w="15" w:type="dxa"/>
                    <w:left w:w="15" w:type="dxa"/>
                    <w:right w:w="15" w:type="dxa"/>
                  </w:tcMar>
                  <w:vAlign w:val="center"/>
                </w:tcPr>
                <w:p w14:paraId="2050093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0.7528</w:t>
                  </w:r>
                </w:p>
              </w:tc>
              <w:tc>
                <w:tcPr>
                  <w:tcW w:w="346" w:type="pct"/>
                  <w:vMerge w:val="continue"/>
                  <w:tcBorders>
                    <w:tl2br w:val="nil"/>
                    <w:tr2bl w:val="nil"/>
                  </w:tcBorders>
                  <w:noWrap w:val="0"/>
                  <w:tcMar>
                    <w:top w:w="15" w:type="dxa"/>
                    <w:left w:w="15" w:type="dxa"/>
                    <w:right w:w="15" w:type="dxa"/>
                  </w:tcMar>
                  <w:vAlign w:val="center"/>
                </w:tcPr>
                <w:p w14:paraId="0614979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229" w:type="pct"/>
                  <w:vMerge w:val="continue"/>
                  <w:tcBorders>
                    <w:tl2br w:val="nil"/>
                    <w:tr2bl w:val="nil"/>
                  </w:tcBorders>
                  <w:noWrap w:val="0"/>
                  <w:tcMar>
                    <w:top w:w="15" w:type="dxa"/>
                    <w:left w:w="15" w:type="dxa"/>
                    <w:right w:w="15" w:type="dxa"/>
                  </w:tcMar>
                  <w:vAlign w:val="center"/>
                </w:tcPr>
                <w:p w14:paraId="64032F8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350" w:type="pct"/>
                  <w:tcBorders>
                    <w:right w:val="single" w:color="auto" w:sz="4" w:space="0"/>
                    <w:tl2br w:val="nil"/>
                    <w:tr2bl w:val="nil"/>
                  </w:tcBorders>
                  <w:noWrap w:val="0"/>
                  <w:tcMar>
                    <w:top w:w="15" w:type="dxa"/>
                    <w:left w:w="15" w:type="dxa"/>
                    <w:right w:w="15" w:type="dxa"/>
                  </w:tcMar>
                  <w:vAlign w:val="center"/>
                </w:tcPr>
                <w:p w14:paraId="7E910DC6">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000</w:t>
                  </w:r>
                </w:p>
              </w:tc>
              <w:tc>
                <w:tcPr>
                  <w:tcW w:w="646" w:type="dxa"/>
                  <w:tcBorders>
                    <w:left w:val="single" w:color="auto" w:sz="4" w:space="0"/>
                    <w:tl2br w:val="nil"/>
                    <w:tr2bl w:val="nil"/>
                  </w:tcBorders>
                  <w:noWrap w:val="0"/>
                  <w:tcMar>
                    <w:top w:w="15" w:type="dxa"/>
                    <w:left w:w="15" w:type="dxa"/>
                    <w:right w:w="15" w:type="dxa"/>
                  </w:tcMar>
                  <w:vAlign w:val="center"/>
                </w:tcPr>
                <w:p w14:paraId="61CFE94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31.37</w:t>
                  </w:r>
                </w:p>
              </w:tc>
              <w:tc>
                <w:tcPr>
                  <w:tcW w:w="729" w:type="dxa"/>
                  <w:tcBorders>
                    <w:tl2br w:val="nil"/>
                    <w:tr2bl w:val="nil"/>
                  </w:tcBorders>
                  <w:noWrap w:val="0"/>
                  <w:tcMar>
                    <w:top w:w="15" w:type="dxa"/>
                    <w:left w:w="15" w:type="dxa"/>
                    <w:right w:w="15" w:type="dxa"/>
                  </w:tcMar>
                  <w:vAlign w:val="center"/>
                </w:tcPr>
                <w:p w14:paraId="0DEB11F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0.7528</w:t>
                  </w:r>
                </w:p>
              </w:tc>
              <w:tc>
                <w:tcPr>
                  <w:tcW w:w="326" w:type="pct"/>
                  <w:tcBorders>
                    <w:tl2br w:val="nil"/>
                    <w:tr2bl w:val="nil"/>
                  </w:tcBorders>
                  <w:noWrap w:val="0"/>
                  <w:tcMar>
                    <w:top w:w="15" w:type="dxa"/>
                    <w:left w:w="15" w:type="dxa"/>
                    <w:right w:w="15" w:type="dxa"/>
                  </w:tcMar>
                  <w:vAlign w:val="center"/>
                </w:tcPr>
                <w:p w14:paraId="6853248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2400</w:t>
                  </w:r>
                </w:p>
              </w:tc>
            </w:tr>
          </w:tbl>
          <w:p w14:paraId="17711F3D">
            <w:pPr>
              <w:pStyle w:val="144"/>
              <w:keepNext w:val="0"/>
              <w:keepLines w:val="0"/>
              <w:pageBreakBefore w:val="0"/>
              <w:widowControl/>
              <w:tabs>
                <w:tab w:val="left" w:pos="0"/>
              </w:tabs>
              <w:kinsoku/>
              <w:wordWrap/>
              <w:overflowPunct/>
              <w:topLinePunct w:val="0"/>
              <w:autoSpaceDE/>
              <w:autoSpaceDN/>
              <w:bidi w:val="0"/>
              <w:adjustRightInd/>
              <w:snapToGrid w:val="0"/>
              <w:spacing w:before="0" w:line="240" w:lineRule="auto"/>
              <w:ind w:right="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 xml:space="preserve">5  </w:t>
            </w:r>
            <w:r>
              <w:rPr>
                <w:rFonts w:hint="default" w:ascii="Times New Roman" w:hAnsi="Times New Roman" w:cs="Times New Roman"/>
                <w:b/>
                <w:bCs/>
                <w:color w:val="auto"/>
                <w:sz w:val="21"/>
                <w:szCs w:val="21"/>
                <w:highlight w:val="none"/>
                <w:lang w:val="en-US" w:eastAsia="zh-CN"/>
              </w:rPr>
              <w:t>项</w:t>
            </w:r>
            <w:r>
              <w:rPr>
                <w:rFonts w:hint="default" w:ascii="Times New Roman" w:hAnsi="Times New Roman" w:cs="Times New Roman"/>
                <w:b/>
                <w:bCs/>
                <w:color w:val="auto"/>
                <w:sz w:val="21"/>
                <w:szCs w:val="21"/>
                <w:highlight w:val="none"/>
              </w:rPr>
              <w:t>目无组织废气及其污染物排放状况</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267"/>
              <w:gridCol w:w="867"/>
              <w:gridCol w:w="1316"/>
              <w:gridCol w:w="1349"/>
              <w:gridCol w:w="1069"/>
              <w:gridCol w:w="1170"/>
            </w:tblGrid>
            <w:tr w14:paraId="2CAAB7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03" w:type="pct"/>
                  <w:tcBorders>
                    <w:top w:val="single" w:color="auto" w:sz="4" w:space="0"/>
                    <w:tl2br w:val="nil"/>
                    <w:tr2bl w:val="nil"/>
                  </w:tcBorders>
                  <w:noWrap w:val="0"/>
                  <w:tcMar>
                    <w:top w:w="15" w:type="dxa"/>
                    <w:left w:w="15" w:type="dxa"/>
                    <w:right w:w="15" w:type="dxa"/>
                  </w:tcMar>
                  <w:vAlign w:val="center"/>
                </w:tcPr>
                <w:p w14:paraId="0C8F3F74">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污染源位置</w:t>
                  </w:r>
                </w:p>
              </w:tc>
              <w:tc>
                <w:tcPr>
                  <w:tcW w:w="773" w:type="pct"/>
                  <w:tcBorders>
                    <w:top w:val="single" w:color="auto" w:sz="4" w:space="0"/>
                    <w:tl2br w:val="nil"/>
                    <w:tr2bl w:val="nil"/>
                  </w:tcBorders>
                  <w:noWrap w:val="0"/>
                  <w:tcMar>
                    <w:top w:w="15" w:type="dxa"/>
                    <w:left w:w="15" w:type="dxa"/>
                    <w:right w:w="15" w:type="dxa"/>
                  </w:tcMar>
                  <w:vAlign w:val="center"/>
                </w:tcPr>
                <w:p w14:paraId="71FA072A">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污染源</w:t>
                  </w:r>
                </w:p>
              </w:tc>
              <w:tc>
                <w:tcPr>
                  <w:tcW w:w="529" w:type="pct"/>
                  <w:tcBorders>
                    <w:top w:val="single" w:color="auto" w:sz="4" w:space="0"/>
                    <w:tl2br w:val="nil"/>
                    <w:tr2bl w:val="nil"/>
                  </w:tcBorders>
                  <w:noWrap w:val="0"/>
                  <w:tcMar>
                    <w:top w:w="15" w:type="dxa"/>
                    <w:left w:w="15" w:type="dxa"/>
                    <w:right w:w="15" w:type="dxa"/>
                  </w:tcMar>
                  <w:vAlign w:val="center"/>
                </w:tcPr>
                <w:p w14:paraId="692C49F9">
                  <w:pPr>
                    <w:widowControl/>
                    <w:jc w:val="center"/>
                    <w:textAlignment w:val="center"/>
                    <w:rPr>
                      <w:rFonts w:hint="default"/>
                      <w:color w:val="auto"/>
                      <w:highlight w:val="no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污染物</w:t>
                  </w:r>
                </w:p>
              </w:tc>
              <w:tc>
                <w:tcPr>
                  <w:tcW w:w="803" w:type="pct"/>
                  <w:tcBorders>
                    <w:top w:val="single" w:color="auto" w:sz="4" w:space="0"/>
                    <w:tl2br w:val="nil"/>
                    <w:tr2bl w:val="nil"/>
                  </w:tcBorders>
                  <w:noWrap w:val="0"/>
                  <w:tcMar>
                    <w:top w:w="15" w:type="dxa"/>
                    <w:left w:w="15" w:type="dxa"/>
                    <w:right w:w="15" w:type="dxa"/>
                  </w:tcMar>
                  <w:vAlign w:val="center"/>
                </w:tcPr>
                <w:p w14:paraId="255A472D">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污染物排放速率kg/h</w:t>
                  </w:r>
                </w:p>
              </w:tc>
              <w:tc>
                <w:tcPr>
                  <w:tcW w:w="823" w:type="pct"/>
                  <w:tcBorders>
                    <w:top w:val="single" w:color="auto" w:sz="4" w:space="0"/>
                    <w:tl2br w:val="nil"/>
                    <w:tr2bl w:val="nil"/>
                  </w:tcBorders>
                  <w:noWrap w:val="0"/>
                  <w:tcMar>
                    <w:top w:w="15" w:type="dxa"/>
                    <w:left w:w="15" w:type="dxa"/>
                    <w:right w:w="15" w:type="dxa"/>
                  </w:tcMar>
                  <w:vAlign w:val="center"/>
                </w:tcPr>
                <w:p w14:paraId="11737CF9">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污染物排放量t/a</w:t>
                  </w:r>
                </w:p>
              </w:tc>
              <w:tc>
                <w:tcPr>
                  <w:tcW w:w="652" w:type="pct"/>
                  <w:tcBorders>
                    <w:top w:val="single" w:color="auto" w:sz="4" w:space="0"/>
                    <w:tl2br w:val="nil"/>
                    <w:tr2bl w:val="nil"/>
                  </w:tcBorders>
                  <w:noWrap w:val="0"/>
                  <w:tcMar>
                    <w:top w:w="15" w:type="dxa"/>
                    <w:left w:w="15" w:type="dxa"/>
                    <w:right w:w="15" w:type="dxa"/>
                  </w:tcMar>
                  <w:vAlign w:val="center"/>
                </w:tcPr>
                <w:p w14:paraId="65AAFB98">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面源面积m×m</w:t>
                  </w:r>
                </w:p>
              </w:tc>
              <w:tc>
                <w:tcPr>
                  <w:tcW w:w="714" w:type="pct"/>
                  <w:tcBorders>
                    <w:top w:val="single" w:color="auto" w:sz="4" w:space="0"/>
                    <w:tl2br w:val="nil"/>
                    <w:tr2bl w:val="nil"/>
                  </w:tcBorders>
                  <w:noWrap w:val="0"/>
                  <w:tcMar>
                    <w:top w:w="15" w:type="dxa"/>
                    <w:left w:w="15" w:type="dxa"/>
                    <w:right w:w="15" w:type="dxa"/>
                  </w:tcMar>
                  <w:vAlign w:val="center"/>
                </w:tcPr>
                <w:p w14:paraId="63E9F37F">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面源高度m</w:t>
                  </w:r>
                </w:p>
              </w:tc>
            </w:tr>
            <w:tr w14:paraId="1F9E19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03" w:type="pct"/>
                  <w:vMerge w:val="restart"/>
                  <w:tcBorders>
                    <w:tl2br w:val="nil"/>
                    <w:tr2bl w:val="nil"/>
                  </w:tcBorders>
                  <w:noWrap w:val="0"/>
                  <w:tcMar>
                    <w:top w:w="15" w:type="dxa"/>
                    <w:left w:w="15" w:type="dxa"/>
                    <w:right w:w="15" w:type="dxa"/>
                  </w:tcMar>
                  <w:vAlign w:val="center"/>
                </w:tcPr>
                <w:p w14:paraId="7DE91D44">
                  <w:pPr>
                    <w:keepNext w:val="0"/>
                    <w:keepLines w:val="0"/>
                    <w:widowControl/>
                    <w:suppressLineNumbers w:val="0"/>
                    <w:jc w:val="center"/>
                    <w:textAlignment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污水处理站</w:t>
                  </w:r>
                </w:p>
              </w:tc>
              <w:tc>
                <w:tcPr>
                  <w:tcW w:w="773" w:type="pct"/>
                  <w:vMerge w:val="restart"/>
                  <w:tcBorders>
                    <w:tl2br w:val="nil"/>
                    <w:tr2bl w:val="nil"/>
                  </w:tcBorders>
                  <w:noWrap w:val="0"/>
                  <w:tcMar>
                    <w:top w:w="15" w:type="dxa"/>
                    <w:left w:w="15" w:type="dxa"/>
                    <w:right w:w="15" w:type="dxa"/>
                  </w:tcMar>
                  <w:vAlign w:val="center"/>
                </w:tcPr>
                <w:p w14:paraId="32A8BC78">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污水处理站恶臭污染物</w:t>
                  </w:r>
                </w:p>
              </w:tc>
              <w:tc>
                <w:tcPr>
                  <w:tcW w:w="529" w:type="pct"/>
                  <w:tcBorders>
                    <w:tl2br w:val="nil"/>
                    <w:tr2bl w:val="nil"/>
                  </w:tcBorders>
                  <w:noWrap w:val="0"/>
                  <w:tcMar>
                    <w:top w:w="15" w:type="dxa"/>
                    <w:left w:w="15" w:type="dxa"/>
                    <w:right w:w="15" w:type="dxa"/>
                  </w:tcMar>
                  <w:vAlign w:val="center"/>
                </w:tcPr>
                <w:p w14:paraId="6741ED5F">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硫化氢</w:t>
                  </w:r>
                </w:p>
              </w:tc>
              <w:tc>
                <w:tcPr>
                  <w:tcW w:w="803" w:type="pct"/>
                  <w:tcBorders>
                    <w:tl2br w:val="nil"/>
                    <w:tr2bl w:val="nil"/>
                  </w:tcBorders>
                  <w:noWrap w:val="0"/>
                  <w:tcMar>
                    <w:top w:w="15" w:type="dxa"/>
                    <w:left w:w="15" w:type="dxa"/>
                    <w:right w:w="15" w:type="dxa"/>
                  </w:tcMar>
                  <w:vAlign w:val="center"/>
                </w:tcPr>
                <w:p w14:paraId="320C45C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0.0015</w:t>
                  </w:r>
                </w:p>
              </w:tc>
              <w:tc>
                <w:tcPr>
                  <w:tcW w:w="823" w:type="pct"/>
                  <w:tcBorders>
                    <w:tl2br w:val="nil"/>
                    <w:tr2bl w:val="nil"/>
                  </w:tcBorders>
                  <w:noWrap w:val="0"/>
                  <w:tcMar>
                    <w:top w:w="15" w:type="dxa"/>
                    <w:left w:w="15" w:type="dxa"/>
                    <w:right w:w="15" w:type="dxa"/>
                  </w:tcMar>
                  <w:vAlign w:val="center"/>
                </w:tcPr>
                <w:p w14:paraId="3C75DEF2">
                  <w:pPr>
                    <w:keepNext w:val="0"/>
                    <w:keepLines w:val="0"/>
                    <w:widowControl/>
                    <w:suppressLineNumbers w:val="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0.0036</w:t>
                  </w:r>
                </w:p>
              </w:tc>
              <w:tc>
                <w:tcPr>
                  <w:tcW w:w="652" w:type="pct"/>
                  <w:vMerge w:val="restart"/>
                  <w:tcBorders>
                    <w:top w:val="single" w:color="000000" w:sz="4" w:space="0"/>
                    <w:tl2br w:val="nil"/>
                    <w:tr2bl w:val="nil"/>
                  </w:tcBorders>
                  <w:noWrap w:val="0"/>
                  <w:tcMar>
                    <w:top w:w="15" w:type="dxa"/>
                    <w:left w:w="15" w:type="dxa"/>
                    <w:right w:w="15" w:type="dxa"/>
                  </w:tcMar>
                  <w:vAlign w:val="center"/>
                </w:tcPr>
                <w:p w14:paraId="23F7EC9E">
                  <w:pPr>
                    <w:keepNext w:val="0"/>
                    <w:keepLines w:val="0"/>
                    <w:widowControl/>
                    <w:suppressLineNumbers w:val="0"/>
                    <w:jc w:val="center"/>
                    <w:textAlignment w:val="center"/>
                    <w:rPr>
                      <w:rFonts w:hint="default" w:cs="Times New Roman"/>
                      <w:i w:val="0"/>
                      <w:color w:val="FF0000"/>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14.5</w:t>
                  </w:r>
                  <w:r>
                    <w:rPr>
                      <w:rFonts w:hint="default" w:ascii="Times New Roman" w:hAnsi="Times New Roman" w:eastAsia="宋体" w:cs="Times New Roman"/>
                      <w:b w:val="0"/>
                      <w:bCs w:val="0"/>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12</w:t>
                  </w:r>
                </w:p>
              </w:tc>
              <w:tc>
                <w:tcPr>
                  <w:tcW w:w="714" w:type="pct"/>
                  <w:vMerge w:val="restart"/>
                  <w:tcBorders>
                    <w:top w:val="single" w:color="000000" w:sz="4" w:space="0"/>
                    <w:tl2br w:val="nil"/>
                    <w:tr2bl w:val="nil"/>
                  </w:tcBorders>
                  <w:noWrap w:val="0"/>
                  <w:tcMar>
                    <w:top w:w="15" w:type="dxa"/>
                    <w:left w:w="15" w:type="dxa"/>
                    <w:right w:w="15" w:type="dxa"/>
                  </w:tcMar>
                  <w:vAlign w:val="center"/>
                </w:tcPr>
                <w:p w14:paraId="09F13687">
                  <w:pPr>
                    <w:keepNext w:val="0"/>
                    <w:keepLines w:val="0"/>
                    <w:widowControl/>
                    <w:suppressLineNumbers w:val="0"/>
                    <w:jc w:val="center"/>
                    <w:textAlignment w:val="center"/>
                    <w:rPr>
                      <w:rFonts w:hint="eastAsia"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w:t>
                  </w:r>
                </w:p>
              </w:tc>
            </w:tr>
            <w:tr w14:paraId="780206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03" w:type="pct"/>
                  <w:vMerge w:val="continue"/>
                  <w:tcBorders>
                    <w:bottom w:val="single" w:color="auto" w:sz="4" w:space="0"/>
                    <w:tl2br w:val="nil"/>
                    <w:tr2bl w:val="nil"/>
                  </w:tcBorders>
                  <w:noWrap w:val="0"/>
                  <w:tcMar>
                    <w:top w:w="15" w:type="dxa"/>
                    <w:left w:w="15" w:type="dxa"/>
                    <w:right w:w="15" w:type="dxa"/>
                  </w:tcMar>
                  <w:vAlign w:val="center"/>
                </w:tcPr>
                <w:p w14:paraId="3A63CB6D">
                  <w:pPr>
                    <w:keepNext w:val="0"/>
                    <w:keepLines w:val="0"/>
                    <w:widowControl/>
                    <w:suppressLineNumbers w:val="0"/>
                    <w:jc w:val="center"/>
                    <w:textAlignment w:val="center"/>
                    <w:rPr>
                      <w:rFonts w:hint="eastAsia" w:cs="Times New Roman"/>
                      <w:b w:val="0"/>
                      <w:bCs w:val="0"/>
                      <w:color w:val="auto"/>
                      <w:sz w:val="21"/>
                      <w:szCs w:val="21"/>
                      <w:highlight w:val="none"/>
                      <w:vertAlign w:val="baseline"/>
                      <w:lang w:val="en-US" w:eastAsia="zh-CN"/>
                    </w:rPr>
                  </w:pPr>
                </w:p>
              </w:tc>
              <w:tc>
                <w:tcPr>
                  <w:tcW w:w="773" w:type="pct"/>
                  <w:vMerge w:val="continue"/>
                  <w:tcBorders>
                    <w:bottom w:val="single" w:color="auto" w:sz="4" w:space="0"/>
                    <w:tl2br w:val="nil"/>
                    <w:tr2bl w:val="nil"/>
                  </w:tcBorders>
                  <w:noWrap w:val="0"/>
                  <w:tcMar>
                    <w:top w:w="15" w:type="dxa"/>
                    <w:left w:w="15" w:type="dxa"/>
                    <w:right w:w="15" w:type="dxa"/>
                  </w:tcMar>
                  <w:vAlign w:val="center"/>
                </w:tcPr>
                <w:p w14:paraId="7923EE3F">
                  <w:pPr>
                    <w:keepNext w:val="0"/>
                    <w:keepLines w:val="0"/>
                    <w:widowControl/>
                    <w:suppressLineNumbers w:val="0"/>
                    <w:jc w:val="center"/>
                    <w:textAlignment w:val="center"/>
                    <w:rPr>
                      <w:rFonts w:hint="eastAsia" w:cs="Times New Roman"/>
                      <w:color w:val="auto"/>
                      <w:sz w:val="21"/>
                      <w:szCs w:val="21"/>
                      <w:highlight w:val="none"/>
                      <w:lang w:val="en-US" w:eastAsia="zh-CN"/>
                    </w:rPr>
                  </w:pPr>
                </w:p>
              </w:tc>
              <w:tc>
                <w:tcPr>
                  <w:tcW w:w="529" w:type="pct"/>
                  <w:tcBorders>
                    <w:bottom w:val="single" w:color="auto" w:sz="4" w:space="0"/>
                    <w:tl2br w:val="nil"/>
                    <w:tr2bl w:val="nil"/>
                  </w:tcBorders>
                  <w:noWrap w:val="0"/>
                  <w:tcMar>
                    <w:top w:w="15" w:type="dxa"/>
                    <w:left w:w="15" w:type="dxa"/>
                    <w:right w:w="15" w:type="dxa"/>
                  </w:tcMar>
                  <w:vAlign w:val="center"/>
                </w:tcPr>
                <w:p w14:paraId="344A81AA">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803" w:type="pct"/>
                  <w:tcBorders>
                    <w:bottom w:val="single" w:color="auto" w:sz="4" w:space="0"/>
                    <w:tl2br w:val="nil"/>
                    <w:tr2bl w:val="nil"/>
                  </w:tcBorders>
                  <w:noWrap w:val="0"/>
                  <w:tcMar>
                    <w:top w:w="15" w:type="dxa"/>
                    <w:left w:w="15" w:type="dxa"/>
                    <w:right w:w="15" w:type="dxa"/>
                  </w:tcMar>
                  <w:vAlign w:val="center"/>
                </w:tcPr>
                <w:p w14:paraId="3AE5EDE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0.0389</w:t>
                  </w:r>
                </w:p>
              </w:tc>
              <w:tc>
                <w:tcPr>
                  <w:tcW w:w="823" w:type="pct"/>
                  <w:tcBorders>
                    <w:bottom w:val="single" w:color="auto" w:sz="4" w:space="0"/>
                    <w:tl2br w:val="nil"/>
                    <w:tr2bl w:val="nil"/>
                  </w:tcBorders>
                  <w:noWrap w:val="0"/>
                  <w:tcMar>
                    <w:top w:w="15" w:type="dxa"/>
                    <w:left w:w="15" w:type="dxa"/>
                    <w:right w:w="15" w:type="dxa"/>
                  </w:tcMar>
                  <w:vAlign w:val="center"/>
                </w:tcPr>
                <w:p w14:paraId="362F8AA3">
                  <w:pPr>
                    <w:keepNext w:val="0"/>
                    <w:keepLines w:val="0"/>
                    <w:widowControl/>
                    <w:suppressLineNumbers w:val="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0.0934</w:t>
                  </w:r>
                </w:p>
              </w:tc>
              <w:tc>
                <w:tcPr>
                  <w:tcW w:w="652" w:type="pct"/>
                  <w:vMerge w:val="continue"/>
                  <w:tcBorders>
                    <w:bottom w:val="single" w:color="auto" w:sz="4" w:space="0"/>
                    <w:tl2br w:val="nil"/>
                    <w:tr2bl w:val="nil"/>
                  </w:tcBorders>
                  <w:noWrap w:val="0"/>
                  <w:tcMar>
                    <w:top w:w="15" w:type="dxa"/>
                    <w:left w:w="15" w:type="dxa"/>
                    <w:right w:w="15" w:type="dxa"/>
                  </w:tcMar>
                  <w:vAlign w:val="center"/>
                </w:tcPr>
                <w:p w14:paraId="1AC44A73">
                  <w:pPr>
                    <w:keepNext w:val="0"/>
                    <w:keepLines w:val="0"/>
                    <w:widowControl/>
                    <w:suppressLineNumbers w:val="0"/>
                    <w:jc w:val="center"/>
                    <w:textAlignment w:val="center"/>
                    <w:rPr>
                      <w:rFonts w:hint="eastAsia" w:cs="Times New Roman"/>
                      <w:i w:val="0"/>
                      <w:color w:val="FF0000"/>
                      <w:kern w:val="0"/>
                      <w:sz w:val="21"/>
                      <w:szCs w:val="21"/>
                      <w:highlight w:val="none"/>
                      <w:u w:val="none"/>
                      <w:lang w:val="en-US" w:eastAsia="zh-CN" w:bidi="ar"/>
                    </w:rPr>
                  </w:pPr>
                </w:p>
              </w:tc>
              <w:tc>
                <w:tcPr>
                  <w:tcW w:w="714" w:type="pct"/>
                  <w:vMerge w:val="continue"/>
                  <w:tcBorders>
                    <w:bottom w:val="single" w:color="auto" w:sz="4" w:space="0"/>
                    <w:tl2br w:val="nil"/>
                    <w:tr2bl w:val="nil"/>
                  </w:tcBorders>
                  <w:noWrap w:val="0"/>
                  <w:tcMar>
                    <w:top w:w="15" w:type="dxa"/>
                    <w:left w:w="15" w:type="dxa"/>
                    <w:right w:w="15" w:type="dxa"/>
                  </w:tcMar>
                  <w:vAlign w:val="center"/>
                </w:tcPr>
                <w:p w14:paraId="4581216A">
                  <w:pPr>
                    <w:keepNext w:val="0"/>
                    <w:keepLines w:val="0"/>
                    <w:widowControl/>
                    <w:suppressLineNumbers w:val="0"/>
                    <w:jc w:val="center"/>
                    <w:textAlignment w:val="center"/>
                    <w:rPr>
                      <w:rFonts w:hint="eastAsia" w:cs="Times New Roman"/>
                      <w:i w:val="0"/>
                      <w:color w:val="auto"/>
                      <w:kern w:val="0"/>
                      <w:sz w:val="21"/>
                      <w:szCs w:val="21"/>
                      <w:highlight w:val="none"/>
                      <w:u w:val="none"/>
                      <w:lang w:val="en-US" w:eastAsia="zh-CN" w:bidi="ar"/>
                    </w:rPr>
                  </w:pPr>
                </w:p>
              </w:tc>
            </w:tr>
          </w:tbl>
          <w:p w14:paraId="7BE66E86">
            <w:pPr>
              <w:pStyle w:val="124"/>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4</w:t>
            </w:r>
            <w:r>
              <w:rPr>
                <w:rFonts w:hint="default" w:ascii="Times New Roman" w:hAnsi="Times New Roman" w:cs="Times New Roman"/>
                <w:b/>
                <w:bCs/>
                <w:color w:val="auto"/>
                <w:lang w:val="en-US" w:eastAsia="zh-CN"/>
              </w:rPr>
              <w:t>、非正常工况废气排放</w:t>
            </w:r>
          </w:p>
          <w:p w14:paraId="38F43D42">
            <w:pPr>
              <w:pStyle w:val="12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正常排放情况下，本项目主要考虑废气处理装置故障，从而使废气污染物排放量增加，故障发生时，废气处理效率将降低（本项目按最不利因素考虑，即废气处理效率为零），发生故障时，应立即停产进行维修，避免对周围环境造成污染。非正常工况排放源见表4-</w:t>
            </w:r>
            <w:r>
              <w:rPr>
                <w:rFonts w:hint="eastAsia" w:cs="Times New Roman"/>
                <w:color w:val="auto"/>
                <w:lang w:val="en-US" w:eastAsia="zh-CN"/>
              </w:rPr>
              <w:t>6</w:t>
            </w:r>
            <w:r>
              <w:rPr>
                <w:rFonts w:hint="default" w:ascii="Times New Roman" w:hAnsi="Times New Roman" w:eastAsia="宋体" w:cs="Times New Roman"/>
                <w:color w:val="auto"/>
                <w:lang w:val="en-US" w:eastAsia="zh-CN"/>
              </w:rPr>
              <w:t>。</w:t>
            </w:r>
          </w:p>
          <w:p w14:paraId="15871413">
            <w:pPr>
              <w:pStyle w:val="12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表4-</w:t>
            </w:r>
            <w:r>
              <w:rPr>
                <w:rFonts w:hint="eastAsia" w:cs="Times New Roman"/>
                <w:color w:val="auto"/>
                <w:lang w:val="en-US" w:eastAsia="zh-CN"/>
              </w:rPr>
              <w:t>6</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非正常工况排放参数一览表</w:t>
            </w:r>
          </w:p>
          <w:tbl>
            <w:tblPr>
              <w:tblStyle w:val="3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90"/>
              <w:gridCol w:w="1383"/>
              <w:gridCol w:w="821"/>
              <w:gridCol w:w="1111"/>
              <w:gridCol w:w="883"/>
              <w:gridCol w:w="943"/>
              <w:gridCol w:w="1258"/>
            </w:tblGrid>
            <w:tr w14:paraId="7EAC2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8" w:hRule="atLeast"/>
                <w:tblHeader/>
                <w:jc w:val="center"/>
              </w:trPr>
              <w:tc>
                <w:tcPr>
                  <w:tcW w:w="1092" w:type="pct"/>
                  <w:tcBorders>
                    <w:tl2br w:val="nil"/>
                    <w:tr2bl w:val="nil"/>
                  </w:tcBorders>
                  <w:noWrap w:val="0"/>
                  <w:vAlign w:val="center"/>
                </w:tcPr>
                <w:p w14:paraId="4F2ACD06">
                  <w:pPr>
                    <w:pStyle w:val="1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污染源位置</w:t>
                  </w:r>
                </w:p>
              </w:tc>
              <w:tc>
                <w:tcPr>
                  <w:tcW w:w="844" w:type="pct"/>
                  <w:tcBorders>
                    <w:tl2br w:val="nil"/>
                    <w:tr2bl w:val="nil"/>
                  </w:tcBorders>
                  <w:noWrap w:val="0"/>
                  <w:vAlign w:val="center"/>
                </w:tcPr>
                <w:p w14:paraId="58E20D05">
                  <w:pPr>
                    <w:pStyle w:val="126"/>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color w:val="auto"/>
                      <w:sz w:val="21"/>
                      <w:szCs w:val="21"/>
                      <w:lang w:val="en-US" w:eastAsia="zh-CN"/>
                    </w:rPr>
                    <w:t>污染源</w:t>
                  </w:r>
                </w:p>
              </w:tc>
              <w:tc>
                <w:tcPr>
                  <w:tcW w:w="501" w:type="pct"/>
                  <w:tcBorders>
                    <w:tl2br w:val="nil"/>
                    <w:tr2bl w:val="nil"/>
                  </w:tcBorders>
                  <w:noWrap w:val="0"/>
                  <w:vAlign w:val="center"/>
                </w:tcPr>
                <w:p w14:paraId="53737258">
                  <w:pPr>
                    <w:pStyle w:val="126"/>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color w:val="auto"/>
                      <w:sz w:val="21"/>
                      <w:szCs w:val="21"/>
                      <w:lang w:val="en-US" w:eastAsia="zh-CN"/>
                    </w:rPr>
                    <w:t>污染物</w:t>
                  </w:r>
                </w:p>
              </w:tc>
              <w:tc>
                <w:tcPr>
                  <w:tcW w:w="678" w:type="pct"/>
                  <w:tcBorders>
                    <w:tl2br w:val="nil"/>
                    <w:tr2bl w:val="nil"/>
                  </w:tcBorders>
                  <w:noWrap w:val="0"/>
                  <w:vAlign w:val="center"/>
                </w:tcPr>
                <w:p w14:paraId="2C1586DB">
                  <w:pPr>
                    <w:pStyle w:val="126"/>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年发生频次(次)</w:t>
                  </w:r>
                </w:p>
              </w:tc>
              <w:tc>
                <w:tcPr>
                  <w:tcW w:w="539" w:type="pct"/>
                  <w:tcBorders>
                    <w:tl2br w:val="nil"/>
                    <w:tr2bl w:val="nil"/>
                  </w:tcBorders>
                  <w:noWrap w:val="0"/>
                  <w:vAlign w:val="center"/>
                </w:tcPr>
                <w:p w14:paraId="341B5919">
                  <w:pPr>
                    <w:pStyle w:val="1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单次持续时间(h)</w:t>
                  </w:r>
                </w:p>
              </w:tc>
              <w:tc>
                <w:tcPr>
                  <w:tcW w:w="575" w:type="pct"/>
                  <w:tcBorders>
                    <w:tl2br w:val="nil"/>
                    <w:tr2bl w:val="nil"/>
                  </w:tcBorders>
                  <w:noWrap w:val="0"/>
                  <w:vAlign w:val="center"/>
                </w:tcPr>
                <w:p w14:paraId="467C853D">
                  <w:pPr>
                    <w:pStyle w:val="1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无组织排放量</w:t>
                  </w:r>
                  <w:r>
                    <w:rPr>
                      <w:rFonts w:hint="default" w:ascii="Times New Roman" w:hAnsi="Times New Roman" w:cs="Times New Roman"/>
                      <w:color w:val="auto"/>
                      <w:sz w:val="21"/>
                      <w:szCs w:val="21"/>
                      <w:lang w:val="en-US" w:eastAsia="zh-CN"/>
                    </w:rPr>
                    <w:t>(kg/</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lang w:val="en-US" w:eastAsia="zh-CN"/>
                    </w:rPr>
                    <w:t>)</w:t>
                  </w:r>
                </w:p>
              </w:tc>
              <w:tc>
                <w:tcPr>
                  <w:tcW w:w="768" w:type="pct"/>
                  <w:tcBorders>
                    <w:tl2br w:val="nil"/>
                    <w:tr2bl w:val="nil"/>
                  </w:tcBorders>
                  <w:noWrap w:val="0"/>
                  <w:vAlign w:val="center"/>
                </w:tcPr>
                <w:p w14:paraId="26437888">
                  <w:pPr>
                    <w:pStyle w:val="1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措施</w:t>
                  </w:r>
                </w:p>
              </w:tc>
            </w:tr>
            <w:tr w14:paraId="0A871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092" w:type="pct"/>
                  <w:vMerge w:val="restart"/>
                  <w:tcBorders>
                    <w:tl2br w:val="nil"/>
                    <w:tr2bl w:val="nil"/>
                  </w:tcBorders>
                  <w:noWrap w:val="0"/>
                  <w:vAlign w:val="center"/>
                </w:tcPr>
                <w:p w14:paraId="157AA87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中央厨房</w:t>
                  </w:r>
                </w:p>
              </w:tc>
              <w:tc>
                <w:tcPr>
                  <w:tcW w:w="844" w:type="pct"/>
                  <w:tcBorders>
                    <w:tl2br w:val="nil"/>
                    <w:tr2bl w:val="nil"/>
                  </w:tcBorders>
                  <w:noWrap w:val="0"/>
                  <w:vAlign w:val="center"/>
                </w:tcPr>
                <w:p w14:paraId="1872864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highlight w:val="none"/>
                      <w:lang w:val="en-US" w:eastAsia="zh-CN"/>
                    </w:rPr>
                    <w:t>油烟废气</w:t>
                  </w:r>
                </w:p>
              </w:tc>
              <w:tc>
                <w:tcPr>
                  <w:tcW w:w="501" w:type="pct"/>
                  <w:tcBorders>
                    <w:tl2br w:val="nil"/>
                    <w:tr2bl w:val="nil"/>
                  </w:tcBorders>
                  <w:noWrap w:val="0"/>
                  <w:vAlign w:val="center"/>
                </w:tcPr>
                <w:p w14:paraId="0433C9ED">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油烟</w:t>
                  </w:r>
                </w:p>
              </w:tc>
              <w:tc>
                <w:tcPr>
                  <w:tcW w:w="678" w:type="pct"/>
                  <w:tcBorders>
                    <w:tl2br w:val="nil"/>
                    <w:tr2bl w:val="nil"/>
                  </w:tcBorders>
                  <w:noWrap w:val="0"/>
                  <w:vAlign w:val="center"/>
                </w:tcPr>
                <w:p w14:paraId="4910C0D6">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39" w:type="pct"/>
                  <w:tcBorders>
                    <w:tl2br w:val="nil"/>
                    <w:tr2bl w:val="nil"/>
                  </w:tcBorders>
                  <w:noWrap w:val="0"/>
                  <w:vAlign w:val="center"/>
                </w:tcPr>
                <w:p w14:paraId="68AFA175">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75" w:type="pct"/>
                  <w:tcBorders>
                    <w:tl2br w:val="nil"/>
                    <w:tr2bl w:val="nil"/>
                  </w:tcBorders>
                  <w:noWrap w:val="0"/>
                  <w:vAlign w:val="center"/>
                </w:tcPr>
                <w:p w14:paraId="3FE70515">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2.75</w:t>
                  </w:r>
                </w:p>
              </w:tc>
              <w:tc>
                <w:tcPr>
                  <w:tcW w:w="768" w:type="pct"/>
                  <w:vMerge w:val="restart"/>
                  <w:tcBorders>
                    <w:tl2br w:val="nil"/>
                    <w:tr2bl w:val="nil"/>
                  </w:tcBorders>
                  <w:noWrap w:val="0"/>
                  <w:vAlign w:val="center"/>
                </w:tcPr>
                <w:p w14:paraId="55568AE6">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停产检修</w:t>
                  </w:r>
                  <w:r>
                    <w:rPr>
                      <w:rFonts w:hint="eastAsia" w:cs="Times New Roman"/>
                      <w:color w:val="auto"/>
                      <w:sz w:val="21"/>
                      <w:szCs w:val="21"/>
                      <w:lang w:val="en-US" w:eastAsia="zh-CN"/>
                    </w:rPr>
                    <w:t>，</w:t>
                  </w:r>
                </w:p>
                <w:p w14:paraId="15D95713">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olor w:val="auto"/>
                      <w:sz w:val="21"/>
                      <w:szCs w:val="21"/>
                    </w:rPr>
                    <w:t>加强厂区内</w:t>
                  </w:r>
                  <w:r>
                    <w:rPr>
                      <w:rFonts w:hint="eastAsia"/>
                      <w:color w:val="auto"/>
                      <w:sz w:val="21"/>
                      <w:szCs w:val="21"/>
                      <w:lang w:val="en-US" w:eastAsia="zh-CN"/>
                    </w:rPr>
                    <w:t>通风</w:t>
                  </w:r>
                  <w:r>
                    <w:rPr>
                      <w:rFonts w:hint="eastAsia"/>
                      <w:color w:val="auto"/>
                      <w:sz w:val="21"/>
                      <w:szCs w:val="21"/>
                      <w:lang w:eastAsia="zh-CN"/>
                    </w:rPr>
                    <w:t>、</w:t>
                  </w:r>
                  <w:r>
                    <w:rPr>
                      <w:rFonts w:hint="eastAsia"/>
                      <w:color w:val="auto"/>
                      <w:sz w:val="21"/>
                      <w:szCs w:val="21"/>
                      <w:lang w:val="en-US" w:eastAsia="zh-CN"/>
                    </w:rPr>
                    <w:t>各生产区</w:t>
                  </w:r>
                  <w:r>
                    <w:rPr>
                      <w:rFonts w:hint="eastAsia"/>
                      <w:color w:val="auto"/>
                      <w:sz w:val="21"/>
                      <w:szCs w:val="21"/>
                    </w:rPr>
                    <w:t>安装通风排气扇</w:t>
                  </w:r>
                </w:p>
              </w:tc>
            </w:tr>
            <w:tr w14:paraId="6181E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9" w:hRule="atLeast"/>
                <w:tblHeader/>
                <w:jc w:val="center"/>
              </w:trPr>
              <w:tc>
                <w:tcPr>
                  <w:tcW w:w="1092" w:type="pct"/>
                  <w:vMerge w:val="continue"/>
                  <w:tcBorders>
                    <w:tl2br w:val="nil"/>
                    <w:tr2bl w:val="nil"/>
                  </w:tcBorders>
                  <w:noWrap w:val="0"/>
                  <w:vAlign w:val="center"/>
                </w:tcPr>
                <w:p w14:paraId="52D57FD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sz w:val="21"/>
                      <w:szCs w:val="21"/>
                      <w:lang w:val="en-US" w:eastAsia="zh-CN"/>
                    </w:rPr>
                  </w:pPr>
                </w:p>
              </w:tc>
              <w:tc>
                <w:tcPr>
                  <w:tcW w:w="844" w:type="pct"/>
                  <w:vMerge w:val="restart"/>
                  <w:tcBorders>
                    <w:tl2br w:val="nil"/>
                    <w:tr2bl w:val="nil"/>
                  </w:tcBorders>
                  <w:noWrap w:val="0"/>
                  <w:vAlign w:val="center"/>
                </w:tcPr>
                <w:p w14:paraId="1ABB7D7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b w:val="0"/>
                      <w:bCs/>
                      <w:sz w:val="21"/>
                      <w:szCs w:val="21"/>
                      <w:lang w:val="en-US" w:eastAsia="zh-CN"/>
                    </w:rPr>
                    <w:t>燃气灶燃烧废气</w:t>
                  </w:r>
                  <w:r>
                    <w:rPr>
                      <w:rFonts w:hint="eastAsia" w:ascii="Times New Roman" w:eastAsia="宋体" w:cs="Times New Roman"/>
                      <w:b w:val="0"/>
                      <w:bCs/>
                      <w:sz w:val="21"/>
                      <w:szCs w:val="21"/>
                      <w:lang w:val="en-US" w:eastAsia="zh-CN"/>
                    </w:rPr>
                    <w:t>、</w:t>
                  </w:r>
                  <w:r>
                    <w:rPr>
                      <w:rFonts w:hint="eastAsia" w:ascii="Times New Roman" w:eastAsia="宋体" w:cs="Times New Roman"/>
                      <w:color w:val="auto"/>
                      <w:sz w:val="21"/>
                      <w:szCs w:val="21"/>
                      <w:highlight w:val="none"/>
                      <w:lang w:val="en-US" w:eastAsia="zh-CN"/>
                    </w:rPr>
                    <w:t>中央厨房锅炉废气1和2</w:t>
                  </w:r>
                </w:p>
              </w:tc>
              <w:tc>
                <w:tcPr>
                  <w:tcW w:w="501" w:type="pct"/>
                  <w:tcBorders>
                    <w:tl2br w:val="nil"/>
                    <w:tr2bl w:val="nil"/>
                  </w:tcBorders>
                  <w:noWrap w:val="0"/>
                  <w:vAlign w:val="center"/>
                </w:tcPr>
                <w:p w14:paraId="3174BEB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highlight w:val="none"/>
                      <w:lang w:val="en-US" w:eastAsia="zh-CN"/>
                    </w:rPr>
                    <w:t>颗粒物</w:t>
                  </w:r>
                </w:p>
              </w:tc>
              <w:tc>
                <w:tcPr>
                  <w:tcW w:w="678" w:type="pct"/>
                  <w:tcBorders>
                    <w:tl2br w:val="nil"/>
                    <w:tr2bl w:val="nil"/>
                  </w:tcBorders>
                  <w:noWrap w:val="0"/>
                  <w:vAlign w:val="center"/>
                </w:tcPr>
                <w:p w14:paraId="2A1ADBD7">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39" w:type="pct"/>
                  <w:tcBorders>
                    <w:tl2br w:val="nil"/>
                    <w:tr2bl w:val="nil"/>
                  </w:tcBorders>
                  <w:noWrap w:val="0"/>
                  <w:vAlign w:val="center"/>
                </w:tcPr>
                <w:p w14:paraId="51BF07E9">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75" w:type="pct"/>
                  <w:tcBorders>
                    <w:tl2br w:val="nil"/>
                    <w:tr2bl w:val="nil"/>
                  </w:tcBorders>
                  <w:shd w:val="clear" w:color="auto" w:fill="auto"/>
                  <w:noWrap w:val="0"/>
                  <w:vAlign w:val="center"/>
                </w:tcPr>
                <w:p w14:paraId="14639D7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0.06</w:t>
                  </w:r>
                </w:p>
              </w:tc>
              <w:tc>
                <w:tcPr>
                  <w:tcW w:w="768" w:type="pct"/>
                  <w:vMerge w:val="continue"/>
                  <w:tcBorders>
                    <w:tl2br w:val="nil"/>
                    <w:tr2bl w:val="nil"/>
                  </w:tcBorders>
                  <w:noWrap w:val="0"/>
                  <w:vAlign w:val="center"/>
                </w:tcPr>
                <w:p w14:paraId="3E19C3FF">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r w14:paraId="1C2A0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9" w:hRule="atLeast"/>
                <w:tblHeader/>
                <w:jc w:val="center"/>
              </w:trPr>
              <w:tc>
                <w:tcPr>
                  <w:tcW w:w="1092" w:type="pct"/>
                  <w:vMerge w:val="continue"/>
                  <w:tcBorders>
                    <w:tl2br w:val="nil"/>
                    <w:tr2bl w:val="nil"/>
                  </w:tcBorders>
                  <w:noWrap w:val="0"/>
                  <w:vAlign w:val="center"/>
                </w:tcPr>
                <w:p w14:paraId="11E6D98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sz w:val="21"/>
                      <w:szCs w:val="21"/>
                      <w:lang w:val="en-US" w:eastAsia="zh-CN"/>
                    </w:rPr>
                  </w:pPr>
                </w:p>
              </w:tc>
              <w:tc>
                <w:tcPr>
                  <w:tcW w:w="844" w:type="pct"/>
                  <w:vMerge w:val="continue"/>
                  <w:tcBorders>
                    <w:tl2br w:val="nil"/>
                    <w:tr2bl w:val="nil"/>
                  </w:tcBorders>
                  <w:noWrap w:val="0"/>
                  <w:vAlign w:val="center"/>
                </w:tcPr>
                <w:p w14:paraId="20BB911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p>
              </w:tc>
              <w:tc>
                <w:tcPr>
                  <w:tcW w:w="501" w:type="pct"/>
                  <w:tcBorders>
                    <w:tl2br w:val="nil"/>
                    <w:tr2bl w:val="nil"/>
                  </w:tcBorders>
                  <w:noWrap w:val="0"/>
                  <w:vAlign w:val="center"/>
                </w:tcPr>
                <w:p w14:paraId="0FE60E94">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ascii="Times New Roman" w:cs="Times New Roman"/>
                      <w:color w:val="auto"/>
                      <w:sz w:val="21"/>
                      <w:szCs w:val="21"/>
                      <w:highlight w:val="none"/>
                      <w:lang w:val="en-US" w:eastAsia="zh-CN"/>
                    </w:rPr>
                    <w:t>二氧化硫</w:t>
                  </w:r>
                </w:p>
              </w:tc>
              <w:tc>
                <w:tcPr>
                  <w:tcW w:w="678" w:type="pct"/>
                  <w:tcBorders>
                    <w:tl2br w:val="nil"/>
                    <w:tr2bl w:val="nil"/>
                  </w:tcBorders>
                  <w:noWrap w:val="0"/>
                  <w:vAlign w:val="center"/>
                </w:tcPr>
                <w:p w14:paraId="659945C2">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539" w:type="pct"/>
                  <w:tcBorders>
                    <w:tl2br w:val="nil"/>
                    <w:tr2bl w:val="nil"/>
                  </w:tcBorders>
                  <w:noWrap w:val="0"/>
                  <w:vAlign w:val="center"/>
                </w:tcPr>
                <w:p w14:paraId="3EB9CF79">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575" w:type="pct"/>
                  <w:tcBorders>
                    <w:tl2br w:val="nil"/>
                    <w:tr2bl w:val="nil"/>
                  </w:tcBorders>
                  <w:shd w:val="clear" w:color="auto" w:fill="auto"/>
                  <w:noWrap w:val="0"/>
                  <w:vAlign w:val="center"/>
                </w:tcPr>
                <w:p w14:paraId="4CFAB5BE">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0.06</w:t>
                  </w:r>
                </w:p>
              </w:tc>
              <w:tc>
                <w:tcPr>
                  <w:tcW w:w="768" w:type="pct"/>
                  <w:vMerge w:val="continue"/>
                  <w:tcBorders>
                    <w:tl2br w:val="nil"/>
                    <w:tr2bl w:val="nil"/>
                  </w:tcBorders>
                  <w:noWrap w:val="0"/>
                  <w:vAlign w:val="center"/>
                </w:tcPr>
                <w:p w14:paraId="54383C68">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r w14:paraId="740FE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blHeader/>
                <w:jc w:val="center"/>
              </w:trPr>
              <w:tc>
                <w:tcPr>
                  <w:tcW w:w="1092" w:type="pct"/>
                  <w:vMerge w:val="continue"/>
                  <w:tcBorders>
                    <w:tl2br w:val="nil"/>
                    <w:tr2bl w:val="nil"/>
                  </w:tcBorders>
                  <w:noWrap w:val="0"/>
                  <w:vAlign w:val="center"/>
                </w:tcPr>
                <w:p w14:paraId="7708BB5D">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lang w:val="en-US" w:eastAsia="zh-CN"/>
                    </w:rPr>
                  </w:pPr>
                </w:p>
              </w:tc>
              <w:tc>
                <w:tcPr>
                  <w:tcW w:w="844" w:type="pct"/>
                  <w:vMerge w:val="continue"/>
                  <w:tcBorders>
                    <w:tl2br w:val="nil"/>
                    <w:tr2bl w:val="nil"/>
                  </w:tcBorders>
                  <w:noWrap w:val="0"/>
                  <w:vAlign w:val="center"/>
                </w:tcPr>
                <w:p w14:paraId="3374120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lang w:val="en-US" w:eastAsia="zh-CN"/>
                    </w:rPr>
                  </w:pPr>
                </w:p>
              </w:tc>
              <w:tc>
                <w:tcPr>
                  <w:tcW w:w="501" w:type="pct"/>
                  <w:tcBorders>
                    <w:tl2br w:val="nil"/>
                    <w:tr2bl w:val="nil"/>
                  </w:tcBorders>
                  <w:noWrap w:val="0"/>
                  <w:vAlign w:val="center"/>
                </w:tcPr>
                <w:p w14:paraId="1F526CA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highlight w:val="none"/>
                      <w:lang w:val="en-US" w:eastAsia="zh-CN"/>
                    </w:rPr>
                    <w:t>氮氧化物</w:t>
                  </w:r>
                </w:p>
              </w:tc>
              <w:tc>
                <w:tcPr>
                  <w:tcW w:w="678" w:type="pct"/>
                  <w:tcBorders>
                    <w:tl2br w:val="nil"/>
                    <w:tr2bl w:val="nil"/>
                  </w:tcBorders>
                  <w:noWrap w:val="0"/>
                  <w:vAlign w:val="center"/>
                </w:tcPr>
                <w:p w14:paraId="484CA462">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539" w:type="pct"/>
                  <w:tcBorders>
                    <w:tl2br w:val="nil"/>
                    <w:tr2bl w:val="nil"/>
                  </w:tcBorders>
                  <w:noWrap w:val="0"/>
                  <w:vAlign w:val="center"/>
                </w:tcPr>
                <w:p w14:paraId="759EA05B">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575" w:type="pct"/>
                  <w:tcBorders>
                    <w:tl2br w:val="nil"/>
                    <w:tr2bl w:val="nil"/>
                  </w:tcBorders>
                  <w:shd w:val="clear" w:color="auto" w:fill="auto"/>
                  <w:noWrap w:val="0"/>
                  <w:vAlign w:val="center"/>
                </w:tcPr>
                <w:p w14:paraId="2B7D5FA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0.28</w:t>
                  </w:r>
                </w:p>
              </w:tc>
              <w:tc>
                <w:tcPr>
                  <w:tcW w:w="768" w:type="pct"/>
                  <w:vMerge w:val="continue"/>
                  <w:tcBorders>
                    <w:tl2br w:val="nil"/>
                    <w:tr2bl w:val="nil"/>
                  </w:tcBorders>
                  <w:noWrap w:val="0"/>
                  <w:vAlign w:val="center"/>
                </w:tcPr>
                <w:p w14:paraId="5415DDBE">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r w14:paraId="6700B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blHeader/>
                <w:jc w:val="center"/>
              </w:trPr>
              <w:tc>
                <w:tcPr>
                  <w:tcW w:w="1092" w:type="pct"/>
                  <w:vMerge w:val="restart"/>
                  <w:tcBorders>
                    <w:tl2br w:val="nil"/>
                    <w:tr2bl w:val="nil"/>
                  </w:tcBorders>
                  <w:noWrap w:val="0"/>
                  <w:vAlign w:val="center"/>
                </w:tcPr>
                <w:p w14:paraId="22C3A5A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1号预制菜车间</w:t>
                  </w:r>
                </w:p>
              </w:tc>
              <w:tc>
                <w:tcPr>
                  <w:tcW w:w="844" w:type="pct"/>
                  <w:tcBorders>
                    <w:tl2br w:val="nil"/>
                    <w:tr2bl w:val="nil"/>
                  </w:tcBorders>
                  <w:shd w:val="clear" w:color="auto" w:fill="auto"/>
                  <w:noWrap w:val="0"/>
                  <w:vAlign w:val="center"/>
                </w:tcPr>
                <w:p w14:paraId="78341A7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highlight w:val="none"/>
                      <w:lang w:val="en-US" w:eastAsia="zh-CN"/>
                    </w:rPr>
                    <w:t>油烟废气</w:t>
                  </w:r>
                </w:p>
              </w:tc>
              <w:tc>
                <w:tcPr>
                  <w:tcW w:w="501" w:type="pct"/>
                  <w:tcBorders>
                    <w:tl2br w:val="nil"/>
                    <w:tr2bl w:val="nil"/>
                  </w:tcBorders>
                  <w:shd w:val="clear" w:color="auto" w:fill="auto"/>
                  <w:noWrap w:val="0"/>
                  <w:vAlign w:val="center"/>
                </w:tcPr>
                <w:p w14:paraId="7B6E78A6">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油烟</w:t>
                  </w:r>
                </w:p>
              </w:tc>
              <w:tc>
                <w:tcPr>
                  <w:tcW w:w="678" w:type="pct"/>
                  <w:tcBorders>
                    <w:tl2br w:val="nil"/>
                    <w:tr2bl w:val="nil"/>
                  </w:tcBorders>
                  <w:shd w:val="clear" w:color="auto" w:fill="auto"/>
                  <w:noWrap w:val="0"/>
                  <w:vAlign w:val="center"/>
                </w:tcPr>
                <w:p w14:paraId="12C48B95">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539" w:type="pct"/>
                  <w:tcBorders>
                    <w:tl2br w:val="nil"/>
                    <w:tr2bl w:val="nil"/>
                  </w:tcBorders>
                  <w:shd w:val="clear" w:color="auto" w:fill="auto"/>
                  <w:noWrap w:val="0"/>
                  <w:vAlign w:val="center"/>
                </w:tcPr>
                <w:p w14:paraId="26C27F82">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575" w:type="pct"/>
                  <w:tcBorders>
                    <w:tl2br w:val="nil"/>
                    <w:tr2bl w:val="nil"/>
                  </w:tcBorders>
                  <w:shd w:val="clear" w:color="auto" w:fill="auto"/>
                  <w:noWrap w:val="0"/>
                  <w:vAlign w:val="center"/>
                </w:tcPr>
                <w:p w14:paraId="228AB6DC">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768" w:type="pct"/>
                  <w:vMerge w:val="continue"/>
                  <w:tcBorders>
                    <w:tl2br w:val="nil"/>
                    <w:tr2bl w:val="nil"/>
                  </w:tcBorders>
                  <w:noWrap w:val="0"/>
                  <w:vAlign w:val="center"/>
                </w:tcPr>
                <w:p w14:paraId="521C7A4B">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r w14:paraId="7FFBE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blHeader/>
                <w:jc w:val="center"/>
              </w:trPr>
              <w:tc>
                <w:tcPr>
                  <w:tcW w:w="1092" w:type="pct"/>
                  <w:vMerge w:val="continue"/>
                  <w:tcBorders>
                    <w:tl2br w:val="nil"/>
                    <w:tr2bl w:val="nil"/>
                  </w:tcBorders>
                  <w:noWrap w:val="0"/>
                  <w:vAlign w:val="center"/>
                </w:tcPr>
                <w:p w14:paraId="45915B9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lang w:val="en-US" w:eastAsia="zh-CN"/>
                    </w:rPr>
                  </w:pPr>
                </w:p>
              </w:tc>
              <w:tc>
                <w:tcPr>
                  <w:tcW w:w="844" w:type="pct"/>
                  <w:vMerge w:val="restart"/>
                  <w:tcBorders>
                    <w:tl2br w:val="nil"/>
                    <w:tr2bl w:val="nil"/>
                  </w:tcBorders>
                  <w:shd w:val="clear" w:color="auto" w:fill="auto"/>
                  <w:noWrap w:val="0"/>
                  <w:vAlign w:val="center"/>
                </w:tcPr>
                <w:p w14:paraId="594BE0F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宋体" w:hAnsi="Times New Roman" w:eastAsia="宋体" w:cs="Times New Roman"/>
                      <w:color w:val="auto"/>
                      <w:sz w:val="21"/>
                      <w:szCs w:val="21"/>
                      <w:lang w:val="en-US" w:eastAsia="zh-CN" w:bidi="ar-SA"/>
                    </w:rPr>
                  </w:pPr>
                  <w:r>
                    <w:rPr>
                      <w:rFonts w:hint="eastAsia" w:ascii="Times New Roman" w:hAnsi="Times New Roman" w:eastAsia="宋体" w:cs="Times New Roman"/>
                      <w:b w:val="0"/>
                      <w:bCs/>
                      <w:sz w:val="21"/>
                      <w:szCs w:val="21"/>
                      <w:lang w:val="en-US" w:eastAsia="zh-CN"/>
                    </w:rPr>
                    <w:t>燃气灶燃烧废气</w:t>
                  </w:r>
                  <w:r>
                    <w:rPr>
                      <w:rFonts w:hint="eastAsia" w:ascii="Times New Roman" w:eastAsia="宋体" w:cs="Times New Roman"/>
                      <w:b w:val="0"/>
                      <w:bCs/>
                      <w:sz w:val="21"/>
                      <w:szCs w:val="21"/>
                      <w:lang w:val="en-US" w:eastAsia="zh-CN"/>
                    </w:rPr>
                    <w:t>、</w:t>
                  </w:r>
                  <w:r>
                    <w:rPr>
                      <w:rFonts w:hint="eastAsia" w:ascii="Times New Roman" w:hAnsi="Times New Roman" w:eastAsia="宋体" w:cs="Times New Roman"/>
                      <w:color w:val="000000"/>
                      <w:kern w:val="0"/>
                      <w:sz w:val="21"/>
                      <w:szCs w:val="21"/>
                      <w:lang w:val="en-US" w:eastAsia="zh-CN" w:bidi="ar"/>
                    </w:rPr>
                    <w:t>1号预制菜车间</w:t>
                  </w:r>
                  <w:r>
                    <w:rPr>
                      <w:rFonts w:hint="eastAsia" w:cs="Times New Roman"/>
                      <w:b w:val="0"/>
                      <w:bCs w:val="0"/>
                      <w:color w:val="auto"/>
                      <w:kern w:val="0"/>
                      <w:sz w:val="21"/>
                      <w:szCs w:val="21"/>
                      <w:lang w:val="en-US" w:eastAsia="zh-CN" w:bidi="ar-SA"/>
                    </w:rPr>
                    <w:t>锅炉废气1和2</w:t>
                  </w:r>
                </w:p>
                <w:p w14:paraId="310A95B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lang w:val="en-US" w:eastAsia="zh-CN"/>
                    </w:rPr>
                  </w:pPr>
                </w:p>
              </w:tc>
              <w:tc>
                <w:tcPr>
                  <w:tcW w:w="501" w:type="pct"/>
                  <w:tcBorders>
                    <w:tl2br w:val="nil"/>
                    <w:tr2bl w:val="nil"/>
                  </w:tcBorders>
                  <w:shd w:val="clear" w:color="auto" w:fill="auto"/>
                  <w:noWrap w:val="0"/>
                  <w:vAlign w:val="center"/>
                </w:tcPr>
                <w:p w14:paraId="077A960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highlight w:val="none"/>
                      <w:lang w:val="en-US" w:eastAsia="zh-CN"/>
                    </w:rPr>
                    <w:t>颗粒物</w:t>
                  </w:r>
                </w:p>
              </w:tc>
              <w:tc>
                <w:tcPr>
                  <w:tcW w:w="678" w:type="pct"/>
                  <w:tcBorders>
                    <w:tl2br w:val="nil"/>
                    <w:tr2bl w:val="nil"/>
                  </w:tcBorders>
                  <w:shd w:val="clear" w:color="auto" w:fill="auto"/>
                  <w:noWrap w:val="0"/>
                  <w:vAlign w:val="center"/>
                </w:tcPr>
                <w:p w14:paraId="40F47201">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539" w:type="pct"/>
                  <w:tcBorders>
                    <w:tl2br w:val="nil"/>
                    <w:tr2bl w:val="nil"/>
                  </w:tcBorders>
                  <w:shd w:val="clear" w:color="auto" w:fill="auto"/>
                  <w:noWrap w:val="0"/>
                  <w:vAlign w:val="center"/>
                </w:tcPr>
                <w:p w14:paraId="10479D40">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575" w:type="pct"/>
                  <w:tcBorders>
                    <w:tl2br w:val="nil"/>
                    <w:tr2bl w:val="nil"/>
                  </w:tcBorders>
                  <w:shd w:val="clear" w:color="auto" w:fill="auto"/>
                  <w:noWrap w:val="0"/>
                  <w:vAlign w:val="center"/>
                </w:tcPr>
                <w:p w14:paraId="6DC31A2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 w:val="21"/>
                      <w:szCs w:val="21"/>
                      <w:highlight w:val="none"/>
                      <w:lang w:val="en-US" w:eastAsia="zh-CN"/>
                    </w:rPr>
                    <w:t>0.45</w:t>
                  </w:r>
                </w:p>
              </w:tc>
              <w:tc>
                <w:tcPr>
                  <w:tcW w:w="768" w:type="pct"/>
                  <w:vMerge w:val="continue"/>
                  <w:tcBorders>
                    <w:tl2br w:val="nil"/>
                    <w:tr2bl w:val="nil"/>
                  </w:tcBorders>
                  <w:noWrap w:val="0"/>
                  <w:vAlign w:val="center"/>
                </w:tcPr>
                <w:p w14:paraId="47708C00">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r w14:paraId="01890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blHeader/>
                <w:jc w:val="center"/>
              </w:trPr>
              <w:tc>
                <w:tcPr>
                  <w:tcW w:w="1092" w:type="pct"/>
                  <w:vMerge w:val="continue"/>
                  <w:tcBorders>
                    <w:tl2br w:val="nil"/>
                    <w:tr2bl w:val="nil"/>
                  </w:tcBorders>
                  <w:shd w:val="clear" w:color="auto" w:fill="auto"/>
                  <w:noWrap w:val="0"/>
                  <w:vAlign w:val="center"/>
                </w:tcPr>
                <w:p w14:paraId="1B10A8C5">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宋体" w:hAnsi="Times New Roman" w:eastAsia="宋体" w:cs="Times New Roman"/>
                      <w:color w:val="auto"/>
                      <w:sz w:val="21"/>
                      <w:szCs w:val="21"/>
                      <w:lang w:val="en-US" w:eastAsia="zh-CN" w:bidi="ar-SA"/>
                    </w:rPr>
                  </w:pPr>
                </w:p>
              </w:tc>
              <w:tc>
                <w:tcPr>
                  <w:tcW w:w="844" w:type="pct"/>
                  <w:vMerge w:val="continue"/>
                  <w:tcBorders>
                    <w:tl2br w:val="nil"/>
                    <w:tr2bl w:val="nil"/>
                  </w:tcBorders>
                  <w:noWrap w:val="0"/>
                  <w:vAlign w:val="center"/>
                </w:tcPr>
                <w:p w14:paraId="4B6621A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lang w:val="en-US" w:eastAsia="zh-CN"/>
                    </w:rPr>
                  </w:pPr>
                </w:p>
              </w:tc>
              <w:tc>
                <w:tcPr>
                  <w:tcW w:w="501" w:type="pct"/>
                  <w:tcBorders>
                    <w:tl2br w:val="nil"/>
                    <w:tr2bl w:val="nil"/>
                  </w:tcBorders>
                  <w:shd w:val="clear" w:color="auto" w:fill="auto"/>
                  <w:noWrap w:val="0"/>
                  <w:vAlign w:val="center"/>
                </w:tcPr>
                <w:p w14:paraId="3D5E05EA">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宋体" w:hAnsi="Times New Roman" w:eastAsia="宋体" w:cs="Times New Roman"/>
                      <w:color w:val="auto"/>
                      <w:sz w:val="21"/>
                      <w:szCs w:val="21"/>
                      <w:lang w:val="en-US" w:eastAsia="zh-CN" w:bidi="ar-SA"/>
                    </w:rPr>
                  </w:pPr>
                  <w:r>
                    <w:rPr>
                      <w:rFonts w:hint="eastAsia" w:ascii="Times New Roman" w:cs="Times New Roman"/>
                      <w:color w:val="auto"/>
                      <w:sz w:val="21"/>
                      <w:szCs w:val="21"/>
                      <w:highlight w:val="none"/>
                      <w:lang w:val="en-US" w:eastAsia="zh-CN"/>
                    </w:rPr>
                    <w:t>二氧化硫</w:t>
                  </w:r>
                </w:p>
              </w:tc>
              <w:tc>
                <w:tcPr>
                  <w:tcW w:w="678" w:type="pct"/>
                  <w:tcBorders>
                    <w:tl2br w:val="nil"/>
                    <w:tr2bl w:val="nil"/>
                  </w:tcBorders>
                  <w:shd w:val="clear" w:color="auto" w:fill="auto"/>
                  <w:noWrap w:val="0"/>
                  <w:vAlign w:val="center"/>
                </w:tcPr>
                <w:p w14:paraId="1780A024">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539" w:type="pct"/>
                  <w:tcBorders>
                    <w:tl2br w:val="nil"/>
                    <w:tr2bl w:val="nil"/>
                  </w:tcBorders>
                  <w:shd w:val="clear" w:color="auto" w:fill="auto"/>
                  <w:noWrap w:val="0"/>
                  <w:vAlign w:val="center"/>
                </w:tcPr>
                <w:p w14:paraId="732483C0">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575" w:type="pct"/>
                  <w:tcBorders>
                    <w:tl2br w:val="nil"/>
                    <w:tr2bl w:val="nil"/>
                  </w:tcBorders>
                  <w:shd w:val="clear" w:color="auto" w:fill="auto"/>
                  <w:noWrap w:val="0"/>
                  <w:vAlign w:val="center"/>
                </w:tcPr>
                <w:p w14:paraId="66818CD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 w:val="21"/>
                      <w:szCs w:val="21"/>
                      <w:highlight w:val="none"/>
                      <w:lang w:val="en-US" w:eastAsia="zh-CN"/>
                    </w:rPr>
                    <w:t>0.62</w:t>
                  </w:r>
                </w:p>
              </w:tc>
              <w:tc>
                <w:tcPr>
                  <w:tcW w:w="768" w:type="pct"/>
                  <w:vMerge w:val="continue"/>
                  <w:tcBorders>
                    <w:tl2br w:val="nil"/>
                    <w:tr2bl w:val="nil"/>
                  </w:tcBorders>
                  <w:noWrap w:val="0"/>
                  <w:vAlign w:val="center"/>
                </w:tcPr>
                <w:p w14:paraId="675659E2">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r w14:paraId="11639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blHeader/>
                <w:jc w:val="center"/>
              </w:trPr>
              <w:tc>
                <w:tcPr>
                  <w:tcW w:w="1092" w:type="pct"/>
                  <w:vMerge w:val="continue"/>
                  <w:tcBorders>
                    <w:tl2br w:val="nil"/>
                    <w:tr2bl w:val="nil"/>
                  </w:tcBorders>
                  <w:noWrap w:val="0"/>
                  <w:vAlign w:val="center"/>
                </w:tcPr>
                <w:p w14:paraId="1FB5EA0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lang w:val="en-US" w:eastAsia="zh-CN"/>
                    </w:rPr>
                  </w:pPr>
                </w:p>
              </w:tc>
              <w:tc>
                <w:tcPr>
                  <w:tcW w:w="844" w:type="pct"/>
                  <w:vMerge w:val="continue"/>
                  <w:tcBorders>
                    <w:tl2br w:val="nil"/>
                    <w:tr2bl w:val="nil"/>
                  </w:tcBorders>
                  <w:noWrap w:val="0"/>
                  <w:vAlign w:val="center"/>
                </w:tcPr>
                <w:p w14:paraId="0972857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lang w:val="en-US" w:eastAsia="zh-CN"/>
                    </w:rPr>
                  </w:pPr>
                </w:p>
              </w:tc>
              <w:tc>
                <w:tcPr>
                  <w:tcW w:w="501" w:type="pct"/>
                  <w:tcBorders>
                    <w:tl2br w:val="nil"/>
                    <w:tr2bl w:val="nil"/>
                  </w:tcBorders>
                  <w:shd w:val="clear" w:color="auto" w:fill="auto"/>
                  <w:noWrap w:val="0"/>
                  <w:vAlign w:val="center"/>
                </w:tcPr>
                <w:p w14:paraId="0C6923E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highlight w:val="none"/>
                      <w:lang w:val="en-US" w:eastAsia="zh-CN"/>
                    </w:rPr>
                    <w:t>氮氧化物</w:t>
                  </w:r>
                </w:p>
              </w:tc>
              <w:tc>
                <w:tcPr>
                  <w:tcW w:w="678" w:type="pct"/>
                  <w:tcBorders>
                    <w:tl2br w:val="nil"/>
                    <w:tr2bl w:val="nil"/>
                  </w:tcBorders>
                  <w:shd w:val="clear" w:color="auto" w:fill="auto"/>
                  <w:noWrap w:val="0"/>
                  <w:vAlign w:val="center"/>
                </w:tcPr>
                <w:p w14:paraId="5F6D1350">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539" w:type="pct"/>
                  <w:tcBorders>
                    <w:tl2br w:val="nil"/>
                    <w:tr2bl w:val="nil"/>
                  </w:tcBorders>
                  <w:shd w:val="clear" w:color="auto" w:fill="auto"/>
                  <w:noWrap w:val="0"/>
                  <w:vAlign w:val="center"/>
                </w:tcPr>
                <w:p w14:paraId="5BE6C5EF">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575" w:type="pct"/>
                  <w:tcBorders>
                    <w:tl2br w:val="nil"/>
                    <w:tr2bl w:val="nil"/>
                  </w:tcBorders>
                  <w:shd w:val="clear" w:color="auto" w:fill="auto"/>
                  <w:noWrap w:val="0"/>
                  <w:vAlign w:val="center"/>
                </w:tcPr>
                <w:p w14:paraId="5979FC3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 w:val="21"/>
                      <w:szCs w:val="21"/>
                      <w:highlight w:val="none"/>
                      <w:lang w:val="en-US" w:eastAsia="zh-CN"/>
                    </w:rPr>
                    <w:t>1.21</w:t>
                  </w:r>
                </w:p>
              </w:tc>
              <w:tc>
                <w:tcPr>
                  <w:tcW w:w="768" w:type="pct"/>
                  <w:vMerge w:val="continue"/>
                  <w:tcBorders>
                    <w:tl2br w:val="nil"/>
                    <w:tr2bl w:val="nil"/>
                  </w:tcBorders>
                  <w:noWrap w:val="0"/>
                  <w:vAlign w:val="center"/>
                </w:tcPr>
                <w:p w14:paraId="4B297AB6">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r w14:paraId="2C400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blHeader/>
                <w:jc w:val="center"/>
              </w:trPr>
              <w:tc>
                <w:tcPr>
                  <w:tcW w:w="1092" w:type="pct"/>
                  <w:vMerge w:val="restart"/>
                  <w:tcBorders>
                    <w:tl2br w:val="nil"/>
                    <w:tr2bl w:val="nil"/>
                  </w:tcBorders>
                  <w:noWrap w:val="0"/>
                  <w:vAlign w:val="center"/>
                </w:tcPr>
                <w:p w14:paraId="3AFB793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污水处理站</w:t>
                  </w:r>
                </w:p>
              </w:tc>
              <w:tc>
                <w:tcPr>
                  <w:tcW w:w="844" w:type="pct"/>
                  <w:vMerge w:val="restart"/>
                  <w:tcBorders>
                    <w:tl2br w:val="nil"/>
                    <w:tr2bl w:val="nil"/>
                  </w:tcBorders>
                  <w:noWrap w:val="0"/>
                  <w:vAlign w:val="center"/>
                </w:tcPr>
                <w:p w14:paraId="387503E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ascii="Times New Roman" w:cs="Times New Roman"/>
                      <w:color w:val="auto"/>
                      <w:sz w:val="21"/>
                      <w:szCs w:val="21"/>
                      <w:highlight w:val="none"/>
                      <w:lang w:val="en-US" w:eastAsia="zh-CN"/>
                    </w:rPr>
                    <w:t>污水处理站恶恶臭污染物</w:t>
                  </w:r>
                </w:p>
              </w:tc>
              <w:tc>
                <w:tcPr>
                  <w:tcW w:w="501" w:type="pct"/>
                  <w:tcBorders>
                    <w:tl2br w:val="nil"/>
                    <w:tr2bl w:val="nil"/>
                  </w:tcBorders>
                  <w:noWrap w:val="0"/>
                  <w:vAlign w:val="center"/>
                </w:tcPr>
                <w:p w14:paraId="1DB6D45F">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硫化氢</w:t>
                  </w:r>
                </w:p>
              </w:tc>
              <w:tc>
                <w:tcPr>
                  <w:tcW w:w="678" w:type="pct"/>
                  <w:tcBorders>
                    <w:tl2br w:val="nil"/>
                    <w:tr2bl w:val="nil"/>
                  </w:tcBorders>
                  <w:noWrap w:val="0"/>
                  <w:vAlign w:val="center"/>
                </w:tcPr>
                <w:p w14:paraId="6D7CD57E">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39" w:type="pct"/>
                  <w:tcBorders>
                    <w:tl2br w:val="nil"/>
                    <w:tr2bl w:val="nil"/>
                  </w:tcBorders>
                  <w:noWrap w:val="0"/>
                  <w:vAlign w:val="center"/>
                </w:tcPr>
                <w:p w14:paraId="024516A7">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75" w:type="pct"/>
                  <w:tcBorders>
                    <w:tl2br w:val="nil"/>
                    <w:tr2bl w:val="nil"/>
                  </w:tcBorders>
                  <w:noWrap w:val="0"/>
                  <w:vAlign w:val="center"/>
                </w:tcPr>
                <w:p w14:paraId="2CCD016F">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0.006</w:t>
                  </w:r>
                </w:p>
              </w:tc>
              <w:tc>
                <w:tcPr>
                  <w:tcW w:w="768" w:type="pct"/>
                  <w:vMerge w:val="continue"/>
                  <w:tcBorders>
                    <w:tl2br w:val="nil"/>
                    <w:tr2bl w:val="nil"/>
                  </w:tcBorders>
                  <w:noWrap w:val="0"/>
                  <w:vAlign w:val="center"/>
                </w:tcPr>
                <w:p w14:paraId="4F0A5EC7">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r w14:paraId="61C5D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blHeader/>
                <w:jc w:val="center"/>
              </w:trPr>
              <w:tc>
                <w:tcPr>
                  <w:tcW w:w="1092" w:type="pct"/>
                  <w:vMerge w:val="continue"/>
                  <w:tcBorders>
                    <w:tl2br w:val="nil"/>
                    <w:tr2bl w:val="nil"/>
                  </w:tcBorders>
                  <w:noWrap w:val="0"/>
                  <w:vAlign w:val="center"/>
                </w:tcPr>
                <w:p w14:paraId="72DC2F4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ascii="Times New Roman" w:cs="Times New Roman"/>
                      <w:color w:val="auto"/>
                      <w:sz w:val="21"/>
                      <w:szCs w:val="21"/>
                      <w:highlight w:val="none"/>
                      <w:lang w:val="en-US" w:eastAsia="zh-CN"/>
                    </w:rPr>
                  </w:pPr>
                </w:p>
              </w:tc>
              <w:tc>
                <w:tcPr>
                  <w:tcW w:w="844" w:type="pct"/>
                  <w:vMerge w:val="continue"/>
                  <w:tcBorders>
                    <w:tl2br w:val="nil"/>
                    <w:tr2bl w:val="nil"/>
                  </w:tcBorders>
                  <w:noWrap w:val="0"/>
                  <w:vAlign w:val="center"/>
                </w:tcPr>
                <w:p w14:paraId="2830E5B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sz w:val="21"/>
                      <w:szCs w:val="21"/>
                      <w:vertAlign w:val="baseline"/>
                      <w:lang w:val="en-US" w:eastAsia="zh-CN"/>
                    </w:rPr>
                  </w:pPr>
                </w:p>
              </w:tc>
              <w:tc>
                <w:tcPr>
                  <w:tcW w:w="501" w:type="pct"/>
                  <w:tcBorders>
                    <w:tl2br w:val="nil"/>
                    <w:tr2bl w:val="nil"/>
                  </w:tcBorders>
                  <w:noWrap w:val="0"/>
                  <w:vAlign w:val="center"/>
                </w:tcPr>
                <w:p w14:paraId="2CAF8D89">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氨</w:t>
                  </w:r>
                </w:p>
              </w:tc>
              <w:tc>
                <w:tcPr>
                  <w:tcW w:w="678" w:type="pct"/>
                  <w:tcBorders>
                    <w:tl2br w:val="nil"/>
                    <w:tr2bl w:val="nil"/>
                  </w:tcBorders>
                  <w:noWrap w:val="0"/>
                  <w:vAlign w:val="center"/>
                </w:tcPr>
                <w:p w14:paraId="6F7AAE5B">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39" w:type="pct"/>
                  <w:tcBorders>
                    <w:tl2br w:val="nil"/>
                    <w:tr2bl w:val="nil"/>
                  </w:tcBorders>
                  <w:noWrap w:val="0"/>
                  <w:vAlign w:val="center"/>
                </w:tcPr>
                <w:p w14:paraId="3B20A6B8">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75" w:type="pct"/>
                  <w:tcBorders>
                    <w:tl2br w:val="nil"/>
                    <w:tr2bl w:val="nil"/>
                  </w:tcBorders>
                  <w:noWrap w:val="0"/>
                  <w:vAlign w:val="center"/>
                </w:tcPr>
                <w:p w14:paraId="6F69A223">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0.16</w:t>
                  </w:r>
                </w:p>
              </w:tc>
              <w:tc>
                <w:tcPr>
                  <w:tcW w:w="768" w:type="pct"/>
                  <w:vMerge w:val="continue"/>
                  <w:tcBorders>
                    <w:tl2br w:val="nil"/>
                    <w:tr2bl w:val="nil"/>
                  </w:tcBorders>
                  <w:noWrap w:val="0"/>
                  <w:vAlign w:val="center"/>
                </w:tcPr>
                <w:p w14:paraId="2566F999">
                  <w:pPr>
                    <w:pStyle w:val="1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bl>
          <w:p w14:paraId="707EFF79">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由上表可知，非正常工况下，</w:t>
            </w:r>
            <w:r>
              <w:rPr>
                <w:rFonts w:hint="eastAsia" w:cs="Times New Roman"/>
                <w:b w:val="0"/>
                <w:bCs/>
                <w:sz w:val="24"/>
                <w:szCs w:val="24"/>
                <w:lang w:val="en-US" w:eastAsia="zh-CN"/>
              </w:rPr>
              <w:t>油烟、颗粒物、二氧化硫、氮氧化物、</w:t>
            </w:r>
            <w:r>
              <w:rPr>
                <w:rFonts w:hint="eastAsia" w:ascii="Times New Roman" w:cs="Times New Roman"/>
                <w:color w:val="auto"/>
                <w:sz w:val="24"/>
                <w:szCs w:val="24"/>
                <w:highlight w:val="none"/>
                <w:lang w:val="en-US" w:eastAsia="zh-CN"/>
              </w:rPr>
              <w:t>硫化氢和氨</w:t>
            </w:r>
            <w:r>
              <w:rPr>
                <w:rFonts w:hint="default" w:ascii="Times New Roman" w:hAnsi="Times New Roman" w:eastAsia="宋体" w:cs="Times New Roman"/>
                <w:color w:val="auto"/>
                <w:sz w:val="24"/>
                <w:szCs w:val="24"/>
                <w:highlight w:val="none"/>
                <w:lang w:val="zh-CN" w:eastAsia="zh-CN"/>
              </w:rPr>
              <w:t>无组织</w:t>
            </w:r>
            <w:r>
              <w:rPr>
                <w:rFonts w:hint="eastAsia" w:ascii="Times New Roman" w:cs="Times New Roman"/>
                <w:color w:val="auto"/>
                <w:sz w:val="24"/>
                <w:szCs w:val="24"/>
                <w:highlight w:val="none"/>
                <w:lang w:val="en-US" w:eastAsia="zh-CN"/>
              </w:rPr>
              <w:t>量将增大</w:t>
            </w:r>
            <w:r>
              <w:rPr>
                <w:rFonts w:hint="default" w:ascii="Times New Roman" w:hAnsi="Times New Roman" w:eastAsia="宋体" w:cs="Times New Roman"/>
                <w:color w:val="auto"/>
                <w:sz w:val="24"/>
                <w:szCs w:val="24"/>
                <w:highlight w:val="none"/>
                <w:lang w:val="zh-CN"/>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5BB92610">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①安排专人负责环保设备的日常维护和管理，每个固定时间检查、汇报情况，及时发现废气处理设备的隐患，确保废气处理系统正常运行</w:t>
            </w:r>
            <w:r>
              <w:rPr>
                <w:rFonts w:hint="eastAsia" w:ascii="Times New Roman" w:cs="Times New Roman"/>
                <w:color w:val="auto"/>
                <w:sz w:val="24"/>
                <w:szCs w:val="24"/>
                <w:highlight w:val="none"/>
                <w:lang w:val="zh-CN"/>
              </w:rPr>
              <w:t>。</w:t>
            </w:r>
          </w:p>
          <w:p w14:paraId="7725F51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②建立健全的环保管理机构，对环保管理人员和技术人员进行岗位培训，委托具有专业资质的环境检测单位对项目排放的各类污染物进行定期检测</w:t>
            </w:r>
            <w:r>
              <w:rPr>
                <w:rFonts w:hint="eastAsia" w:ascii="Times New Roman" w:cs="Times New Roman"/>
                <w:b w:val="0"/>
                <w:bCs w:val="0"/>
                <w:color w:val="auto"/>
                <w:sz w:val="24"/>
                <w:szCs w:val="24"/>
                <w:highlight w:val="none"/>
                <w:lang w:val="en-US" w:eastAsia="zh-CN"/>
              </w:rPr>
              <w:t>。</w:t>
            </w:r>
          </w:p>
          <w:p w14:paraId="6CE1BD46">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sz w:val="24"/>
                <w:szCs w:val="24"/>
                <w:highlight w:val="none"/>
                <w:lang w:val="en-US" w:eastAsia="zh-CN"/>
              </w:rPr>
              <w:t>③应定期维护、检修</w:t>
            </w:r>
            <w:r>
              <w:rPr>
                <w:rFonts w:hint="eastAsia" w:ascii="Times New Roman" w:cs="Times New Roman"/>
                <w:b w:val="0"/>
                <w:bCs w:val="0"/>
                <w:color w:val="auto"/>
                <w:kern w:val="24"/>
                <w:sz w:val="24"/>
                <w:szCs w:val="24"/>
                <w:lang w:val="en-US" w:eastAsia="zh-CN" w:bidi="ar-SA"/>
              </w:rPr>
              <w:t>静电油烟净化装置</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cs="Times New Roman"/>
                <w:b w:val="0"/>
                <w:bCs w:val="0"/>
                <w:color w:val="auto"/>
                <w:sz w:val="24"/>
                <w:szCs w:val="24"/>
                <w:highlight w:val="none"/>
                <w:lang w:val="en-US" w:eastAsia="zh-CN"/>
              </w:rPr>
              <w:t>定期清理设备中的油脂，</w:t>
            </w:r>
            <w:r>
              <w:rPr>
                <w:rFonts w:hint="default" w:ascii="Times New Roman" w:hAnsi="Times New Roman" w:eastAsia="宋体" w:cs="Times New Roman"/>
                <w:b w:val="0"/>
                <w:bCs w:val="0"/>
                <w:color w:val="auto"/>
                <w:sz w:val="24"/>
                <w:szCs w:val="24"/>
                <w:highlight w:val="none"/>
                <w:lang w:val="en-US" w:eastAsia="zh-CN"/>
              </w:rPr>
              <w:t>以保持废气处理装置的净化能力和净化容量。</w:t>
            </w:r>
          </w:p>
          <w:p w14:paraId="560AAF46">
            <w:pPr>
              <w:pStyle w:val="145"/>
              <w:keepNext w:val="0"/>
              <w:keepLines w:val="0"/>
              <w:pageBreakBefore w:val="0"/>
              <w:widowControl w:val="0"/>
              <w:kinsoku/>
              <w:wordWrap/>
              <w:overflowPunct/>
              <w:topLinePunct w:val="0"/>
              <w:autoSpaceDE/>
              <w:autoSpaceDN/>
              <w:bidi w:val="0"/>
              <w:adjustRightInd w:val="0"/>
              <w:snapToGrid/>
              <w:spacing w:before="0" w:line="360" w:lineRule="auto"/>
              <w:ind w:firstLine="474" w:firstLineChars="200"/>
              <w:jc w:val="both"/>
              <w:textAlignment w:val="baseline"/>
              <w:rPr>
                <w:rFonts w:hint="eastAsia" w:ascii="Times New Roman" w:hAnsi="Times New Roman" w:eastAsia="宋体" w:cs="Times New Roman"/>
                <w:b/>
                <w:color w:val="auto"/>
                <w:kern w:val="2"/>
                <w:sz w:val="24"/>
                <w:szCs w:val="24"/>
                <w:highlight w:val="none"/>
                <w:lang w:val="en-US" w:eastAsia="zh-CN" w:bidi="ar-SA"/>
              </w:rPr>
            </w:pPr>
            <w:r>
              <w:rPr>
                <w:rFonts w:hint="eastAsia" w:eastAsia="宋体" w:cs="Times New Roman"/>
                <w:b/>
                <w:color w:val="auto"/>
                <w:kern w:val="2"/>
                <w:sz w:val="24"/>
                <w:szCs w:val="24"/>
                <w:highlight w:val="none"/>
                <w:lang w:val="en-US" w:eastAsia="zh-CN" w:bidi="ar-SA"/>
              </w:rPr>
              <w:t>5</w:t>
            </w:r>
            <w:r>
              <w:rPr>
                <w:rFonts w:hint="default" w:ascii="Times New Roman" w:hAnsi="Times New Roman" w:cs="Times New Roman"/>
                <w:b/>
                <w:bCs/>
                <w:color w:val="000000"/>
                <w:lang w:val="en-US" w:eastAsia="zh-CN"/>
              </w:rPr>
              <w:t>、</w:t>
            </w:r>
            <w:r>
              <w:rPr>
                <w:rFonts w:hint="eastAsia" w:ascii="Times New Roman" w:hAnsi="Times New Roman" w:eastAsia="宋体" w:cs="Times New Roman"/>
                <w:b/>
                <w:color w:val="auto"/>
                <w:kern w:val="2"/>
                <w:sz w:val="24"/>
                <w:szCs w:val="24"/>
                <w:highlight w:val="none"/>
                <w:lang w:val="en-US" w:eastAsia="zh-CN" w:bidi="ar-SA"/>
              </w:rPr>
              <w:t>废气排放口基本情况</w:t>
            </w:r>
          </w:p>
          <w:p w14:paraId="1ACEAF4F">
            <w:pPr>
              <w:pStyle w:val="145"/>
              <w:keepNext w:val="0"/>
              <w:keepLines w:val="0"/>
              <w:pageBreakBefore w:val="0"/>
              <w:widowControl w:val="0"/>
              <w:kinsoku/>
              <w:wordWrap/>
              <w:overflowPunct/>
              <w:topLinePunct w:val="0"/>
              <w:autoSpaceDE/>
              <w:autoSpaceDN/>
              <w:bidi w:val="0"/>
              <w:adjustRightInd w:val="0"/>
              <w:snapToGrid/>
              <w:spacing w:before="0" w:line="240" w:lineRule="auto"/>
              <w:textAlignment w:val="baseline"/>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表4-</w:t>
            </w:r>
            <w:r>
              <w:rPr>
                <w:rFonts w:hint="eastAsia" w:eastAsia="宋体" w:cs="Times New Roman"/>
                <w:b/>
                <w:color w:val="auto"/>
                <w:kern w:val="2"/>
                <w:sz w:val="21"/>
                <w:szCs w:val="21"/>
                <w:highlight w:val="none"/>
                <w:lang w:val="en-US" w:eastAsia="zh-CN" w:bidi="ar-SA"/>
              </w:rPr>
              <w:t>7</w:t>
            </w:r>
            <w:r>
              <w:rPr>
                <w:rFonts w:hint="eastAsia" w:ascii="Times New Roman" w:hAnsi="Times New Roman" w:eastAsia="宋体" w:cs="Times New Roman"/>
                <w:b/>
                <w:color w:val="auto"/>
                <w:kern w:val="2"/>
                <w:sz w:val="21"/>
                <w:szCs w:val="21"/>
                <w:highlight w:val="none"/>
                <w:lang w:val="en-US" w:eastAsia="zh-CN" w:bidi="ar-SA"/>
              </w:rPr>
              <w:t xml:space="preserve"> </w:t>
            </w:r>
            <w:r>
              <w:rPr>
                <w:rFonts w:hint="eastAsia" w:eastAsia="宋体" w:cs="Times New Roman"/>
                <w:b/>
                <w:color w:val="auto"/>
                <w:kern w:val="2"/>
                <w:sz w:val="21"/>
                <w:szCs w:val="21"/>
                <w:highlight w:val="none"/>
                <w:lang w:val="en-US" w:eastAsia="zh-CN" w:bidi="ar-SA"/>
              </w:rPr>
              <w:t xml:space="preserve"> </w:t>
            </w:r>
            <w:r>
              <w:rPr>
                <w:rFonts w:hint="default" w:ascii="Times New Roman" w:hAnsi="Times New Roman" w:eastAsia="宋体" w:cs="Times New Roman"/>
                <w:b/>
                <w:bCs/>
                <w:color w:val="auto"/>
                <w:sz w:val="21"/>
                <w:szCs w:val="21"/>
                <w:highlight w:val="none"/>
              </w:rPr>
              <w:t>主要废气污染源参数一览表（点源）</w:t>
            </w:r>
          </w:p>
          <w:tbl>
            <w:tblPr>
              <w:tblStyle w:val="3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3"/>
              <w:gridCol w:w="1103"/>
              <w:gridCol w:w="715"/>
              <w:gridCol w:w="992"/>
              <w:gridCol w:w="1351"/>
              <w:gridCol w:w="1256"/>
              <w:gridCol w:w="592"/>
              <w:gridCol w:w="806"/>
              <w:gridCol w:w="571"/>
            </w:tblGrid>
            <w:tr w14:paraId="3B92F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490" w:type="pct"/>
                  <w:vMerge w:val="restart"/>
                  <w:tcBorders>
                    <w:tl2br w:val="nil"/>
                    <w:tr2bl w:val="nil"/>
                  </w:tcBorders>
                  <w:noWrap w:val="0"/>
                  <w:vAlign w:val="center"/>
                </w:tcPr>
                <w:p w14:paraId="0F88F367">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排放口编号</w:t>
                  </w:r>
                </w:p>
              </w:tc>
              <w:tc>
                <w:tcPr>
                  <w:tcW w:w="673" w:type="pct"/>
                  <w:vMerge w:val="restart"/>
                  <w:tcBorders>
                    <w:tl2br w:val="nil"/>
                    <w:tr2bl w:val="nil"/>
                  </w:tcBorders>
                  <w:noWrap w:val="0"/>
                  <w:vAlign w:val="center"/>
                </w:tcPr>
                <w:p w14:paraId="56FF7625">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w:t>
                  </w:r>
                </w:p>
                <w:p w14:paraId="4F6A6FE0">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436" w:type="pct"/>
                  <w:vMerge w:val="restart"/>
                  <w:tcBorders>
                    <w:tl2br w:val="nil"/>
                    <w:tr2bl w:val="nil"/>
                  </w:tcBorders>
                  <w:noWrap w:val="0"/>
                  <w:vAlign w:val="center"/>
                </w:tcPr>
                <w:p w14:paraId="62C3C28A">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w:t>
                  </w:r>
                </w:p>
                <w:p w14:paraId="2E3EAD46">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类型</w:t>
                  </w:r>
                </w:p>
              </w:tc>
              <w:tc>
                <w:tcPr>
                  <w:tcW w:w="605" w:type="pct"/>
                  <w:vMerge w:val="restart"/>
                  <w:tcBorders>
                    <w:tl2br w:val="nil"/>
                    <w:tr2bl w:val="nil"/>
                  </w:tcBorders>
                  <w:noWrap w:val="0"/>
                  <w:vAlign w:val="center"/>
                </w:tcPr>
                <w:p w14:paraId="0F3E3F7B">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p w14:paraId="7389C1DD">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种类</w:t>
                  </w:r>
                </w:p>
              </w:tc>
              <w:tc>
                <w:tcPr>
                  <w:tcW w:w="1591" w:type="pct"/>
                  <w:gridSpan w:val="2"/>
                  <w:tcBorders>
                    <w:tl2br w:val="nil"/>
                    <w:tr2bl w:val="nil"/>
                  </w:tcBorders>
                  <w:noWrap w:val="0"/>
                  <w:vAlign w:val="center"/>
                </w:tcPr>
                <w:p w14:paraId="5117DF1D">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地理坐标</w:t>
                  </w:r>
                </w:p>
              </w:tc>
              <w:tc>
                <w:tcPr>
                  <w:tcW w:w="361" w:type="pct"/>
                  <w:vMerge w:val="restart"/>
                  <w:tcBorders>
                    <w:tl2br w:val="nil"/>
                    <w:tr2bl w:val="nil"/>
                  </w:tcBorders>
                  <w:noWrap w:val="0"/>
                  <w:vAlign w:val="center"/>
                </w:tcPr>
                <w:p w14:paraId="50CEC64F">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高度/(m)</w:t>
                  </w:r>
                </w:p>
              </w:tc>
              <w:tc>
                <w:tcPr>
                  <w:tcW w:w="492" w:type="pct"/>
                  <w:vMerge w:val="restart"/>
                  <w:tcBorders>
                    <w:tl2br w:val="nil"/>
                    <w:tr2bl w:val="nil"/>
                  </w:tcBorders>
                  <w:noWrap w:val="0"/>
                  <w:vAlign w:val="center"/>
                </w:tcPr>
                <w:p w14:paraId="038046B3">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w:t>
                  </w:r>
                </w:p>
                <w:p w14:paraId="4CB51D8E">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内径/(m)</w:t>
                  </w:r>
                </w:p>
              </w:tc>
              <w:tc>
                <w:tcPr>
                  <w:tcW w:w="348" w:type="pct"/>
                  <w:vMerge w:val="restart"/>
                  <w:tcBorders>
                    <w:tl2br w:val="nil"/>
                    <w:tr2bl w:val="nil"/>
                  </w:tcBorders>
                  <w:noWrap w:val="0"/>
                  <w:vAlign w:val="center"/>
                </w:tcPr>
                <w:p w14:paraId="617541D2">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温度</w:t>
                  </w:r>
                </w:p>
                <w:p w14:paraId="177BCD51">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eastAsia="ja-JP"/>
                    </w:rPr>
                    <w:t>℃</w:t>
                  </w:r>
                  <w:r>
                    <w:rPr>
                      <w:rFonts w:hint="default" w:ascii="Times New Roman" w:hAnsi="Times New Roman" w:cs="Times New Roman"/>
                      <w:b/>
                      <w:bCs/>
                      <w:color w:val="auto"/>
                      <w:sz w:val="21"/>
                      <w:szCs w:val="21"/>
                      <w:highlight w:val="none"/>
                    </w:rPr>
                    <w:t>)</w:t>
                  </w:r>
                </w:p>
              </w:tc>
            </w:tr>
            <w:tr w14:paraId="13FC7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490" w:type="pct"/>
                  <w:vMerge w:val="continue"/>
                  <w:tcBorders>
                    <w:tl2br w:val="nil"/>
                    <w:tr2bl w:val="nil"/>
                  </w:tcBorders>
                  <w:noWrap w:val="0"/>
                  <w:vAlign w:val="center"/>
                </w:tcPr>
                <w:p w14:paraId="75A2E9B7">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color w:val="auto"/>
                      <w:sz w:val="21"/>
                      <w:szCs w:val="21"/>
                      <w:highlight w:val="none"/>
                    </w:rPr>
                  </w:pPr>
                </w:p>
              </w:tc>
              <w:tc>
                <w:tcPr>
                  <w:tcW w:w="673" w:type="pct"/>
                  <w:vMerge w:val="continue"/>
                  <w:tcBorders>
                    <w:tl2br w:val="nil"/>
                    <w:tr2bl w:val="nil"/>
                  </w:tcBorders>
                  <w:noWrap w:val="0"/>
                  <w:vAlign w:val="center"/>
                </w:tcPr>
                <w:p w14:paraId="2A7ABF66">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color w:val="auto"/>
                      <w:sz w:val="21"/>
                      <w:szCs w:val="21"/>
                      <w:highlight w:val="none"/>
                    </w:rPr>
                  </w:pPr>
                </w:p>
              </w:tc>
              <w:tc>
                <w:tcPr>
                  <w:tcW w:w="436" w:type="pct"/>
                  <w:vMerge w:val="continue"/>
                  <w:tcBorders>
                    <w:tl2br w:val="nil"/>
                    <w:tr2bl w:val="nil"/>
                  </w:tcBorders>
                  <w:noWrap w:val="0"/>
                  <w:vAlign w:val="center"/>
                </w:tcPr>
                <w:p w14:paraId="467F3EB3">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color w:val="auto"/>
                      <w:sz w:val="21"/>
                      <w:szCs w:val="21"/>
                      <w:highlight w:val="none"/>
                    </w:rPr>
                  </w:pPr>
                </w:p>
              </w:tc>
              <w:tc>
                <w:tcPr>
                  <w:tcW w:w="605" w:type="pct"/>
                  <w:vMerge w:val="continue"/>
                  <w:tcBorders>
                    <w:tl2br w:val="nil"/>
                    <w:tr2bl w:val="nil"/>
                  </w:tcBorders>
                  <w:noWrap w:val="0"/>
                  <w:vAlign w:val="center"/>
                </w:tcPr>
                <w:p w14:paraId="466CE505">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color w:val="auto"/>
                      <w:sz w:val="21"/>
                      <w:szCs w:val="21"/>
                      <w:highlight w:val="none"/>
                    </w:rPr>
                  </w:pPr>
                </w:p>
              </w:tc>
              <w:tc>
                <w:tcPr>
                  <w:tcW w:w="824" w:type="pct"/>
                  <w:tcBorders>
                    <w:tl2br w:val="nil"/>
                    <w:tr2bl w:val="nil"/>
                  </w:tcBorders>
                  <w:noWrap w:val="0"/>
                  <w:vAlign w:val="center"/>
                </w:tcPr>
                <w:p w14:paraId="040A681B">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经度</w:t>
                  </w:r>
                </w:p>
              </w:tc>
              <w:tc>
                <w:tcPr>
                  <w:tcW w:w="767" w:type="pct"/>
                  <w:tcBorders>
                    <w:tl2br w:val="nil"/>
                    <w:tr2bl w:val="nil"/>
                  </w:tcBorders>
                  <w:noWrap w:val="0"/>
                  <w:vAlign w:val="center"/>
                </w:tcPr>
                <w:p w14:paraId="43D072FE">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纬度</w:t>
                  </w:r>
                </w:p>
              </w:tc>
              <w:tc>
                <w:tcPr>
                  <w:tcW w:w="361" w:type="pct"/>
                  <w:vMerge w:val="continue"/>
                  <w:tcBorders>
                    <w:tl2br w:val="nil"/>
                    <w:tr2bl w:val="nil"/>
                  </w:tcBorders>
                  <w:noWrap w:val="0"/>
                  <w:vAlign w:val="center"/>
                </w:tcPr>
                <w:p w14:paraId="1AC685FF">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color w:val="auto"/>
                      <w:sz w:val="21"/>
                      <w:szCs w:val="21"/>
                      <w:highlight w:val="none"/>
                    </w:rPr>
                  </w:pPr>
                </w:p>
              </w:tc>
              <w:tc>
                <w:tcPr>
                  <w:tcW w:w="492" w:type="pct"/>
                  <w:vMerge w:val="continue"/>
                  <w:tcBorders>
                    <w:tl2br w:val="nil"/>
                    <w:tr2bl w:val="nil"/>
                  </w:tcBorders>
                  <w:noWrap w:val="0"/>
                  <w:vAlign w:val="center"/>
                </w:tcPr>
                <w:p w14:paraId="42B90D11">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color w:val="auto"/>
                      <w:sz w:val="21"/>
                      <w:szCs w:val="21"/>
                      <w:highlight w:val="none"/>
                    </w:rPr>
                  </w:pPr>
                </w:p>
              </w:tc>
              <w:tc>
                <w:tcPr>
                  <w:tcW w:w="348" w:type="pct"/>
                  <w:vMerge w:val="continue"/>
                  <w:tcBorders>
                    <w:tl2br w:val="nil"/>
                    <w:tr2bl w:val="nil"/>
                  </w:tcBorders>
                  <w:noWrap w:val="0"/>
                  <w:vAlign w:val="center"/>
                </w:tcPr>
                <w:p w14:paraId="32B57BED">
                  <w:pPr>
                    <w:pStyle w:val="146"/>
                    <w:keepNext w:val="0"/>
                    <w:keepLines w:val="0"/>
                    <w:pageBreakBefore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color w:val="auto"/>
                      <w:sz w:val="21"/>
                      <w:szCs w:val="21"/>
                      <w:highlight w:val="none"/>
                    </w:rPr>
                  </w:pPr>
                </w:p>
              </w:tc>
            </w:tr>
            <w:tr w14:paraId="093FE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490" w:type="pct"/>
                  <w:tcBorders>
                    <w:tl2br w:val="nil"/>
                    <w:tr2bl w:val="nil"/>
                  </w:tcBorders>
                  <w:noWrap w:val="0"/>
                  <w:vAlign w:val="center"/>
                </w:tcPr>
                <w:p w14:paraId="334AD4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DA001</w:t>
                  </w:r>
                </w:p>
              </w:tc>
              <w:tc>
                <w:tcPr>
                  <w:tcW w:w="673" w:type="pct"/>
                  <w:tcBorders>
                    <w:tl2br w:val="nil"/>
                    <w:tr2bl w:val="nil"/>
                  </w:tcBorders>
                  <w:noWrap w:val="0"/>
                  <w:vAlign w:val="center"/>
                </w:tcPr>
                <w:p w14:paraId="318AF2C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1#排气筒</w:t>
                  </w:r>
                </w:p>
              </w:tc>
              <w:tc>
                <w:tcPr>
                  <w:tcW w:w="436" w:type="pct"/>
                  <w:vMerge w:val="restart"/>
                  <w:tcBorders>
                    <w:tl2br w:val="nil"/>
                    <w:tr2bl w:val="nil"/>
                  </w:tcBorders>
                  <w:noWrap w:val="0"/>
                  <w:vAlign w:val="center"/>
                </w:tcPr>
                <w:p w14:paraId="082E13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一般</w:t>
                  </w:r>
                </w:p>
                <w:p w14:paraId="2844C9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w:t>
                  </w:r>
                </w:p>
              </w:tc>
              <w:tc>
                <w:tcPr>
                  <w:tcW w:w="605" w:type="pct"/>
                  <w:vMerge w:val="restart"/>
                  <w:tcBorders>
                    <w:tl2br w:val="nil"/>
                    <w:tr2bl w:val="nil"/>
                  </w:tcBorders>
                  <w:noWrap w:val="0"/>
                  <w:vAlign w:val="center"/>
                </w:tcPr>
                <w:p w14:paraId="2140BC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sz w:val="21"/>
                      <w:szCs w:val="21"/>
                      <w:lang w:val="en-US" w:eastAsia="zh-CN"/>
                    </w:rPr>
                    <w:t>油烟、颗粒物、二氧化硫、氮氧化物</w:t>
                  </w:r>
                </w:p>
              </w:tc>
              <w:tc>
                <w:tcPr>
                  <w:tcW w:w="824" w:type="pct"/>
                  <w:tcBorders>
                    <w:tl2br w:val="nil"/>
                    <w:tr2bl w:val="nil"/>
                  </w:tcBorders>
                  <w:noWrap w:val="0"/>
                  <w:vAlign w:val="center"/>
                </w:tcPr>
                <w:p w14:paraId="1DAAA6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115.986937</w:t>
                  </w:r>
                </w:p>
              </w:tc>
              <w:tc>
                <w:tcPr>
                  <w:tcW w:w="767" w:type="pct"/>
                  <w:tcBorders>
                    <w:tl2br w:val="nil"/>
                    <w:tr2bl w:val="nil"/>
                  </w:tcBorders>
                  <w:noWrap w:val="0"/>
                  <w:vAlign w:val="center"/>
                </w:tcPr>
                <w:p w14:paraId="73F04F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26.40933</w:t>
                  </w:r>
                  <w:r>
                    <w:rPr>
                      <w:rFonts w:hint="eastAsia" w:cs="Times New Roman"/>
                      <w:color w:val="auto"/>
                      <w:sz w:val="21"/>
                      <w:szCs w:val="21"/>
                      <w:highlight w:val="none"/>
                      <w:lang w:val="en-US" w:eastAsia="zh-CN"/>
                    </w:rPr>
                    <w:t>2</w:t>
                  </w:r>
                </w:p>
              </w:tc>
              <w:tc>
                <w:tcPr>
                  <w:tcW w:w="361" w:type="pct"/>
                  <w:tcBorders>
                    <w:tl2br w:val="nil"/>
                    <w:tr2bl w:val="nil"/>
                  </w:tcBorders>
                  <w:noWrap w:val="0"/>
                  <w:vAlign w:val="center"/>
                </w:tcPr>
                <w:p w14:paraId="3D1AD41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92" w:type="pct"/>
                  <w:tcBorders>
                    <w:tl2br w:val="nil"/>
                    <w:tr2bl w:val="nil"/>
                  </w:tcBorders>
                  <w:noWrap w:val="0"/>
                  <w:vAlign w:val="center"/>
                </w:tcPr>
                <w:p w14:paraId="60F11D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3</w:t>
                  </w:r>
                </w:p>
              </w:tc>
              <w:tc>
                <w:tcPr>
                  <w:tcW w:w="348" w:type="pct"/>
                  <w:tcBorders>
                    <w:tl2br w:val="nil"/>
                    <w:tr2bl w:val="nil"/>
                  </w:tcBorders>
                  <w:noWrap w:val="0"/>
                  <w:vAlign w:val="center"/>
                </w:tcPr>
                <w:p w14:paraId="4A7FD6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26292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7D7CA3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DA00</w:t>
                  </w:r>
                  <w:r>
                    <w:rPr>
                      <w:rFonts w:hint="eastAsia" w:cs="Times New Roman"/>
                      <w:color w:val="auto"/>
                      <w:sz w:val="21"/>
                      <w:szCs w:val="21"/>
                      <w:highlight w:val="none"/>
                      <w:lang w:val="en-US" w:eastAsia="zh-CN"/>
                    </w:rPr>
                    <w:t>2</w:t>
                  </w:r>
                </w:p>
              </w:tc>
              <w:tc>
                <w:tcPr>
                  <w:tcW w:w="673" w:type="pct"/>
                  <w:tcBorders>
                    <w:tl2br w:val="nil"/>
                    <w:tr2bl w:val="nil"/>
                  </w:tcBorders>
                  <w:noWrap w:val="0"/>
                  <w:vAlign w:val="center"/>
                </w:tcPr>
                <w:p w14:paraId="59C32B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138739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05" w:type="pct"/>
                  <w:vMerge w:val="continue"/>
                  <w:tcBorders>
                    <w:tl2br w:val="nil"/>
                    <w:tr2bl w:val="nil"/>
                  </w:tcBorders>
                  <w:noWrap w:val="0"/>
                  <w:vAlign w:val="center"/>
                </w:tcPr>
                <w:p w14:paraId="104AC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24" w:type="pct"/>
                  <w:tcBorders>
                    <w:tl2br w:val="nil"/>
                    <w:tr2bl w:val="nil"/>
                  </w:tcBorders>
                  <w:noWrap w:val="0"/>
                  <w:vAlign w:val="center"/>
                </w:tcPr>
                <w:p w14:paraId="0871D9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115.987059</w:t>
                  </w:r>
                </w:p>
              </w:tc>
              <w:tc>
                <w:tcPr>
                  <w:tcW w:w="767" w:type="pct"/>
                  <w:tcBorders>
                    <w:tl2br w:val="nil"/>
                    <w:tr2bl w:val="nil"/>
                  </w:tcBorders>
                  <w:noWrap w:val="0"/>
                  <w:vAlign w:val="center"/>
                </w:tcPr>
                <w:p w14:paraId="6E5FAD7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26.40943</w:t>
                  </w:r>
                  <w:r>
                    <w:rPr>
                      <w:rFonts w:hint="eastAsia" w:cs="Times New Roman"/>
                      <w:color w:val="auto"/>
                      <w:sz w:val="21"/>
                      <w:szCs w:val="21"/>
                      <w:highlight w:val="none"/>
                      <w:lang w:val="en-US" w:eastAsia="zh-CN"/>
                    </w:rPr>
                    <w:t>7</w:t>
                  </w:r>
                </w:p>
              </w:tc>
              <w:tc>
                <w:tcPr>
                  <w:tcW w:w="361" w:type="pct"/>
                  <w:tcBorders>
                    <w:tl2br w:val="nil"/>
                    <w:tr2bl w:val="nil"/>
                  </w:tcBorders>
                  <w:noWrap w:val="0"/>
                  <w:vAlign w:val="center"/>
                </w:tcPr>
                <w:p w14:paraId="57343A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492" w:type="pct"/>
                  <w:tcBorders>
                    <w:tl2br w:val="nil"/>
                    <w:tr2bl w:val="nil"/>
                  </w:tcBorders>
                  <w:noWrap w:val="0"/>
                  <w:vAlign w:val="center"/>
                </w:tcPr>
                <w:p w14:paraId="4834B6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3</w:t>
                  </w:r>
                </w:p>
              </w:tc>
              <w:tc>
                <w:tcPr>
                  <w:tcW w:w="348" w:type="pct"/>
                  <w:tcBorders>
                    <w:tl2br w:val="nil"/>
                    <w:tr2bl w:val="nil"/>
                  </w:tcBorders>
                  <w:noWrap w:val="0"/>
                  <w:vAlign w:val="center"/>
                </w:tcPr>
                <w:p w14:paraId="449051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25</w:t>
                  </w:r>
                </w:p>
              </w:tc>
            </w:tr>
            <w:tr w14:paraId="37908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00C461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DA00</w:t>
                  </w:r>
                  <w:r>
                    <w:rPr>
                      <w:rFonts w:hint="eastAsia" w:eastAsia="宋体" w:cs="Times New Roman"/>
                      <w:color w:val="auto"/>
                      <w:sz w:val="21"/>
                      <w:szCs w:val="21"/>
                      <w:highlight w:val="none"/>
                      <w:lang w:val="en-US" w:eastAsia="zh-CN"/>
                    </w:rPr>
                    <w:t>3</w:t>
                  </w:r>
                </w:p>
              </w:tc>
              <w:tc>
                <w:tcPr>
                  <w:tcW w:w="673" w:type="pct"/>
                  <w:tcBorders>
                    <w:tl2br w:val="nil"/>
                    <w:tr2bl w:val="nil"/>
                  </w:tcBorders>
                  <w:noWrap w:val="0"/>
                  <w:vAlign w:val="center"/>
                </w:tcPr>
                <w:p w14:paraId="777CD6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38C4F0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2AA936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noWrap w:val="0"/>
                  <w:vAlign w:val="center"/>
                </w:tcPr>
                <w:p w14:paraId="38CB0A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115.98719</w:t>
                  </w:r>
                  <w:r>
                    <w:rPr>
                      <w:rFonts w:hint="eastAsia" w:cs="Times New Roman"/>
                      <w:color w:val="auto"/>
                      <w:sz w:val="21"/>
                      <w:szCs w:val="21"/>
                      <w:highlight w:val="none"/>
                      <w:lang w:val="en-US" w:eastAsia="zh-CN"/>
                    </w:rPr>
                    <w:t>4</w:t>
                  </w:r>
                </w:p>
              </w:tc>
              <w:tc>
                <w:tcPr>
                  <w:tcW w:w="767" w:type="pct"/>
                  <w:tcBorders>
                    <w:tl2br w:val="nil"/>
                    <w:tr2bl w:val="nil"/>
                  </w:tcBorders>
                  <w:noWrap w:val="0"/>
                  <w:vAlign w:val="center"/>
                </w:tcPr>
                <w:p w14:paraId="7735D00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26.409538</w:t>
                  </w:r>
                </w:p>
              </w:tc>
              <w:tc>
                <w:tcPr>
                  <w:tcW w:w="361" w:type="pct"/>
                  <w:tcBorders>
                    <w:tl2br w:val="nil"/>
                    <w:tr2bl w:val="nil"/>
                  </w:tcBorders>
                  <w:noWrap w:val="0"/>
                  <w:vAlign w:val="center"/>
                </w:tcPr>
                <w:p w14:paraId="54B3EE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92" w:type="pct"/>
                  <w:tcBorders>
                    <w:tl2br w:val="nil"/>
                    <w:tr2bl w:val="nil"/>
                  </w:tcBorders>
                  <w:noWrap w:val="0"/>
                  <w:vAlign w:val="center"/>
                </w:tcPr>
                <w:p w14:paraId="62AB63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3</w:t>
                  </w:r>
                </w:p>
              </w:tc>
              <w:tc>
                <w:tcPr>
                  <w:tcW w:w="348" w:type="pct"/>
                  <w:tcBorders>
                    <w:tl2br w:val="nil"/>
                    <w:tr2bl w:val="nil"/>
                  </w:tcBorders>
                  <w:noWrap w:val="0"/>
                  <w:vAlign w:val="center"/>
                </w:tcPr>
                <w:p w14:paraId="732D4E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6DA80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641FA7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DA00</w:t>
                  </w:r>
                  <w:r>
                    <w:rPr>
                      <w:rFonts w:hint="eastAsia" w:eastAsia="宋体" w:cs="Times New Roman"/>
                      <w:color w:val="auto"/>
                      <w:sz w:val="21"/>
                      <w:szCs w:val="21"/>
                      <w:highlight w:val="none"/>
                      <w:lang w:val="en-US" w:eastAsia="zh-CN"/>
                    </w:rPr>
                    <w:t>4</w:t>
                  </w:r>
                </w:p>
              </w:tc>
              <w:tc>
                <w:tcPr>
                  <w:tcW w:w="673" w:type="pct"/>
                  <w:tcBorders>
                    <w:tl2br w:val="nil"/>
                    <w:tr2bl w:val="nil"/>
                  </w:tcBorders>
                  <w:noWrap w:val="0"/>
                  <w:vAlign w:val="center"/>
                </w:tcPr>
                <w:p w14:paraId="20DAB4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6DBDEB2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272E4B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noWrap w:val="0"/>
                  <w:vAlign w:val="center"/>
                </w:tcPr>
                <w:p w14:paraId="7FC841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115.987318</w:t>
                  </w:r>
                </w:p>
              </w:tc>
              <w:tc>
                <w:tcPr>
                  <w:tcW w:w="767" w:type="pct"/>
                  <w:tcBorders>
                    <w:tl2br w:val="nil"/>
                    <w:tr2bl w:val="nil"/>
                  </w:tcBorders>
                  <w:noWrap w:val="0"/>
                  <w:vAlign w:val="center"/>
                </w:tcPr>
                <w:p w14:paraId="4305BA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26.409635</w:t>
                  </w:r>
                </w:p>
              </w:tc>
              <w:tc>
                <w:tcPr>
                  <w:tcW w:w="361" w:type="pct"/>
                  <w:tcBorders>
                    <w:tl2br w:val="nil"/>
                    <w:tr2bl w:val="nil"/>
                  </w:tcBorders>
                  <w:noWrap w:val="0"/>
                  <w:vAlign w:val="center"/>
                </w:tcPr>
                <w:p w14:paraId="445E5A2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92" w:type="pct"/>
                  <w:tcBorders>
                    <w:tl2br w:val="nil"/>
                    <w:tr2bl w:val="nil"/>
                  </w:tcBorders>
                  <w:noWrap w:val="0"/>
                  <w:vAlign w:val="center"/>
                </w:tcPr>
                <w:p w14:paraId="74600A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3</w:t>
                  </w:r>
                </w:p>
              </w:tc>
              <w:tc>
                <w:tcPr>
                  <w:tcW w:w="348" w:type="pct"/>
                  <w:tcBorders>
                    <w:tl2br w:val="nil"/>
                    <w:tr2bl w:val="nil"/>
                  </w:tcBorders>
                  <w:noWrap w:val="0"/>
                  <w:vAlign w:val="center"/>
                </w:tcPr>
                <w:p w14:paraId="0F5587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1219C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04E02A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DA00</w:t>
                  </w:r>
                  <w:r>
                    <w:rPr>
                      <w:rFonts w:hint="eastAsia" w:eastAsia="宋体" w:cs="Times New Roman"/>
                      <w:color w:val="auto"/>
                      <w:sz w:val="21"/>
                      <w:szCs w:val="21"/>
                      <w:highlight w:val="none"/>
                      <w:lang w:val="en-US" w:eastAsia="zh-CN"/>
                    </w:rPr>
                    <w:t>5</w:t>
                  </w:r>
                </w:p>
              </w:tc>
              <w:tc>
                <w:tcPr>
                  <w:tcW w:w="673" w:type="pct"/>
                  <w:tcBorders>
                    <w:tl2br w:val="nil"/>
                    <w:tr2bl w:val="nil"/>
                  </w:tcBorders>
                  <w:noWrap w:val="0"/>
                  <w:vAlign w:val="center"/>
                </w:tcPr>
                <w:p w14:paraId="76D798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rPr>
                    <w:t>#排气筒</w:t>
                  </w:r>
                </w:p>
              </w:tc>
              <w:tc>
                <w:tcPr>
                  <w:tcW w:w="436" w:type="pct"/>
                  <w:vMerge w:val="restart"/>
                  <w:tcBorders>
                    <w:tl2br w:val="nil"/>
                    <w:tr2bl w:val="nil"/>
                  </w:tcBorders>
                  <w:noWrap w:val="0"/>
                  <w:vAlign w:val="center"/>
                </w:tcPr>
                <w:p w14:paraId="301C24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一般</w:t>
                  </w:r>
                </w:p>
                <w:p w14:paraId="553C9E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w:t>
                  </w:r>
                </w:p>
              </w:tc>
              <w:tc>
                <w:tcPr>
                  <w:tcW w:w="605" w:type="pct"/>
                  <w:vMerge w:val="restart"/>
                  <w:tcBorders>
                    <w:tl2br w:val="nil"/>
                    <w:tr2bl w:val="nil"/>
                  </w:tcBorders>
                  <w:noWrap w:val="0"/>
                  <w:vAlign w:val="center"/>
                </w:tcPr>
                <w:p w14:paraId="3D9D2E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b w:val="0"/>
                      <w:bCs/>
                      <w:sz w:val="21"/>
                      <w:szCs w:val="21"/>
                      <w:lang w:val="en-US" w:eastAsia="zh-CN"/>
                    </w:rPr>
                    <w:t>颗粒物、二氧化硫、氮氧化物</w:t>
                  </w:r>
                </w:p>
              </w:tc>
              <w:tc>
                <w:tcPr>
                  <w:tcW w:w="824" w:type="pct"/>
                  <w:tcBorders>
                    <w:tl2br w:val="nil"/>
                    <w:tr2bl w:val="nil"/>
                  </w:tcBorders>
                  <w:noWrap w:val="0"/>
                  <w:vAlign w:val="center"/>
                </w:tcPr>
                <w:p w14:paraId="6814D3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115.987126</w:t>
                  </w:r>
                </w:p>
              </w:tc>
              <w:tc>
                <w:tcPr>
                  <w:tcW w:w="767" w:type="pct"/>
                  <w:tcBorders>
                    <w:tl2br w:val="nil"/>
                    <w:tr2bl w:val="nil"/>
                  </w:tcBorders>
                  <w:noWrap w:val="0"/>
                  <w:vAlign w:val="center"/>
                </w:tcPr>
                <w:p w14:paraId="0DDA6F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26.409471</w:t>
                  </w:r>
                </w:p>
              </w:tc>
              <w:tc>
                <w:tcPr>
                  <w:tcW w:w="361" w:type="pct"/>
                  <w:tcBorders>
                    <w:tl2br w:val="nil"/>
                    <w:tr2bl w:val="nil"/>
                  </w:tcBorders>
                  <w:noWrap w:val="0"/>
                  <w:vAlign w:val="center"/>
                </w:tcPr>
                <w:p w14:paraId="18FFB41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19B12E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3</w:t>
                  </w:r>
                </w:p>
              </w:tc>
              <w:tc>
                <w:tcPr>
                  <w:tcW w:w="348" w:type="pct"/>
                  <w:tcBorders>
                    <w:tl2br w:val="nil"/>
                    <w:tr2bl w:val="nil"/>
                  </w:tcBorders>
                  <w:noWrap w:val="0"/>
                  <w:vAlign w:val="center"/>
                </w:tcPr>
                <w:p w14:paraId="74D7A9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31C45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57560E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DA00</w:t>
                  </w:r>
                  <w:r>
                    <w:rPr>
                      <w:rFonts w:hint="eastAsia" w:eastAsia="宋体" w:cs="Times New Roman"/>
                      <w:color w:val="auto"/>
                      <w:sz w:val="21"/>
                      <w:szCs w:val="21"/>
                      <w:highlight w:val="none"/>
                      <w:lang w:val="en-US" w:eastAsia="zh-CN"/>
                    </w:rPr>
                    <w:t>6</w:t>
                  </w:r>
                </w:p>
              </w:tc>
              <w:tc>
                <w:tcPr>
                  <w:tcW w:w="673" w:type="pct"/>
                  <w:tcBorders>
                    <w:tl2br w:val="nil"/>
                    <w:tr2bl w:val="nil"/>
                  </w:tcBorders>
                  <w:noWrap w:val="0"/>
                  <w:vAlign w:val="center"/>
                </w:tcPr>
                <w:p w14:paraId="2E0A85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3FB4FE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509E2F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noWrap w:val="0"/>
                  <w:vAlign w:val="center"/>
                </w:tcPr>
                <w:p w14:paraId="427B47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115.987177</w:t>
                  </w:r>
                </w:p>
              </w:tc>
              <w:tc>
                <w:tcPr>
                  <w:tcW w:w="767" w:type="pct"/>
                  <w:tcBorders>
                    <w:tl2br w:val="nil"/>
                    <w:tr2bl w:val="nil"/>
                  </w:tcBorders>
                  <w:noWrap w:val="0"/>
                  <w:vAlign w:val="center"/>
                </w:tcPr>
                <w:p w14:paraId="509962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26.40951</w:t>
                  </w:r>
                  <w:r>
                    <w:rPr>
                      <w:rFonts w:hint="eastAsia" w:cs="Times New Roman"/>
                      <w:color w:val="auto"/>
                      <w:sz w:val="21"/>
                      <w:szCs w:val="21"/>
                      <w:highlight w:val="none"/>
                      <w:lang w:val="en-US" w:eastAsia="zh-CN"/>
                    </w:rPr>
                    <w:t>2</w:t>
                  </w:r>
                </w:p>
              </w:tc>
              <w:tc>
                <w:tcPr>
                  <w:tcW w:w="361" w:type="pct"/>
                  <w:tcBorders>
                    <w:tl2br w:val="nil"/>
                    <w:tr2bl w:val="nil"/>
                  </w:tcBorders>
                  <w:noWrap w:val="0"/>
                  <w:vAlign w:val="center"/>
                </w:tcPr>
                <w:p w14:paraId="0E405D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2BE6C7C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3</w:t>
                  </w:r>
                </w:p>
              </w:tc>
              <w:tc>
                <w:tcPr>
                  <w:tcW w:w="348" w:type="pct"/>
                  <w:tcBorders>
                    <w:tl2br w:val="nil"/>
                    <w:tr2bl w:val="nil"/>
                  </w:tcBorders>
                  <w:noWrap w:val="0"/>
                  <w:vAlign w:val="center"/>
                </w:tcPr>
                <w:p w14:paraId="654812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3D47F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5E6D1A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DA00</w:t>
                  </w:r>
                  <w:r>
                    <w:rPr>
                      <w:rFonts w:hint="eastAsia" w:eastAsia="宋体" w:cs="Times New Roman"/>
                      <w:color w:val="auto"/>
                      <w:sz w:val="21"/>
                      <w:szCs w:val="21"/>
                      <w:highlight w:val="none"/>
                      <w:lang w:val="en-US" w:eastAsia="zh-CN"/>
                    </w:rPr>
                    <w:t>7</w:t>
                  </w:r>
                </w:p>
              </w:tc>
              <w:tc>
                <w:tcPr>
                  <w:tcW w:w="673" w:type="pct"/>
                  <w:tcBorders>
                    <w:tl2br w:val="nil"/>
                    <w:tr2bl w:val="nil"/>
                  </w:tcBorders>
                  <w:noWrap w:val="0"/>
                  <w:vAlign w:val="center"/>
                </w:tcPr>
                <w:p w14:paraId="3D5EC7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rPr>
                    <w:t>#排气筒</w:t>
                  </w:r>
                </w:p>
              </w:tc>
              <w:tc>
                <w:tcPr>
                  <w:tcW w:w="436" w:type="pct"/>
                  <w:vMerge w:val="restart"/>
                  <w:tcBorders>
                    <w:tl2br w:val="nil"/>
                    <w:tr2bl w:val="nil"/>
                  </w:tcBorders>
                  <w:noWrap w:val="0"/>
                  <w:vAlign w:val="center"/>
                </w:tcPr>
                <w:p w14:paraId="06477F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一般</w:t>
                  </w:r>
                </w:p>
                <w:p w14:paraId="7C4335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w:t>
                  </w:r>
                </w:p>
              </w:tc>
              <w:tc>
                <w:tcPr>
                  <w:tcW w:w="605" w:type="pct"/>
                  <w:vMerge w:val="restart"/>
                  <w:tcBorders>
                    <w:tl2br w:val="nil"/>
                    <w:tr2bl w:val="nil"/>
                  </w:tcBorders>
                  <w:noWrap w:val="0"/>
                  <w:vAlign w:val="center"/>
                </w:tcPr>
                <w:p w14:paraId="012E198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b w:val="0"/>
                      <w:bCs/>
                      <w:sz w:val="21"/>
                      <w:szCs w:val="21"/>
                      <w:lang w:val="en-US" w:eastAsia="zh-CN"/>
                    </w:rPr>
                    <w:t>油烟、颗粒物、二氧化硫、氮氧化物</w:t>
                  </w:r>
                </w:p>
              </w:tc>
              <w:tc>
                <w:tcPr>
                  <w:tcW w:w="824" w:type="pct"/>
                  <w:tcBorders>
                    <w:tl2br w:val="nil"/>
                    <w:tr2bl w:val="nil"/>
                  </w:tcBorders>
                  <w:shd w:val="clear" w:color="auto" w:fill="auto"/>
                  <w:noWrap w:val="0"/>
                  <w:vAlign w:val="center"/>
                </w:tcPr>
                <w:p w14:paraId="5E8DBA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115.988686</w:t>
                  </w:r>
                </w:p>
              </w:tc>
              <w:tc>
                <w:tcPr>
                  <w:tcW w:w="767" w:type="pct"/>
                  <w:tcBorders>
                    <w:tl2br w:val="nil"/>
                    <w:tr2bl w:val="nil"/>
                  </w:tcBorders>
                  <w:shd w:val="clear" w:color="auto" w:fill="auto"/>
                  <w:noWrap w:val="0"/>
                  <w:vAlign w:val="center"/>
                </w:tcPr>
                <w:p w14:paraId="38E519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26.40985</w:t>
                  </w:r>
                  <w:r>
                    <w:rPr>
                      <w:rFonts w:hint="eastAsia" w:cs="Times New Roman"/>
                      <w:color w:val="auto"/>
                      <w:sz w:val="21"/>
                      <w:szCs w:val="21"/>
                      <w:highlight w:val="none"/>
                      <w:lang w:val="en-US" w:eastAsia="zh-CN"/>
                    </w:rPr>
                    <w:t>6</w:t>
                  </w:r>
                </w:p>
              </w:tc>
              <w:tc>
                <w:tcPr>
                  <w:tcW w:w="361" w:type="pct"/>
                  <w:tcBorders>
                    <w:tl2br w:val="nil"/>
                    <w:tr2bl w:val="nil"/>
                  </w:tcBorders>
                  <w:noWrap w:val="0"/>
                  <w:vAlign w:val="center"/>
                </w:tcPr>
                <w:p w14:paraId="39304F0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7A743F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35A44C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36D66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1E48601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DA00</w:t>
                  </w:r>
                  <w:r>
                    <w:rPr>
                      <w:rFonts w:hint="eastAsia" w:eastAsia="宋体" w:cs="Times New Roman"/>
                      <w:color w:val="auto"/>
                      <w:sz w:val="21"/>
                      <w:szCs w:val="21"/>
                      <w:highlight w:val="none"/>
                      <w:lang w:val="en-US" w:eastAsia="zh-CN"/>
                    </w:rPr>
                    <w:t>8</w:t>
                  </w:r>
                </w:p>
              </w:tc>
              <w:tc>
                <w:tcPr>
                  <w:tcW w:w="673" w:type="pct"/>
                  <w:tcBorders>
                    <w:tl2br w:val="nil"/>
                    <w:tr2bl w:val="nil"/>
                  </w:tcBorders>
                  <w:noWrap w:val="0"/>
                  <w:vAlign w:val="center"/>
                </w:tcPr>
                <w:p w14:paraId="7214E10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6C1595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70DC03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shd w:val="clear" w:color="auto" w:fill="auto"/>
                  <w:noWrap w:val="0"/>
                  <w:vAlign w:val="center"/>
                </w:tcPr>
                <w:p w14:paraId="412935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115.98879</w:t>
                  </w:r>
                  <w:r>
                    <w:rPr>
                      <w:rFonts w:hint="eastAsia" w:cs="Times New Roman"/>
                      <w:color w:val="auto"/>
                      <w:sz w:val="21"/>
                      <w:szCs w:val="21"/>
                      <w:highlight w:val="none"/>
                      <w:lang w:val="en-US" w:eastAsia="zh-CN"/>
                    </w:rPr>
                    <w:t>5</w:t>
                  </w:r>
                </w:p>
              </w:tc>
              <w:tc>
                <w:tcPr>
                  <w:tcW w:w="767" w:type="pct"/>
                  <w:tcBorders>
                    <w:tl2br w:val="nil"/>
                    <w:tr2bl w:val="nil"/>
                  </w:tcBorders>
                  <w:shd w:val="clear" w:color="auto" w:fill="auto"/>
                  <w:noWrap w:val="0"/>
                  <w:vAlign w:val="center"/>
                </w:tcPr>
                <w:p w14:paraId="18F5FDD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26.409803</w:t>
                  </w:r>
                </w:p>
              </w:tc>
              <w:tc>
                <w:tcPr>
                  <w:tcW w:w="361" w:type="pct"/>
                  <w:tcBorders>
                    <w:tl2br w:val="nil"/>
                    <w:tr2bl w:val="nil"/>
                  </w:tcBorders>
                  <w:noWrap w:val="0"/>
                  <w:vAlign w:val="center"/>
                </w:tcPr>
                <w:p w14:paraId="438CD0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7B4E65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7B2DE4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1D0D2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4DDA99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DA00</w:t>
                  </w:r>
                  <w:r>
                    <w:rPr>
                      <w:rFonts w:hint="eastAsia" w:eastAsia="宋体" w:cs="Times New Roman"/>
                      <w:color w:val="auto"/>
                      <w:sz w:val="21"/>
                      <w:szCs w:val="21"/>
                      <w:highlight w:val="none"/>
                      <w:lang w:val="en-US" w:eastAsia="zh-CN"/>
                    </w:rPr>
                    <w:t>9</w:t>
                  </w:r>
                </w:p>
              </w:tc>
              <w:tc>
                <w:tcPr>
                  <w:tcW w:w="673" w:type="pct"/>
                  <w:tcBorders>
                    <w:tl2br w:val="nil"/>
                    <w:tr2bl w:val="nil"/>
                  </w:tcBorders>
                  <w:noWrap w:val="0"/>
                  <w:vAlign w:val="center"/>
                </w:tcPr>
                <w:p w14:paraId="44E70D7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33DAD1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334550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noWrap w:val="0"/>
                  <w:vAlign w:val="center"/>
                </w:tcPr>
                <w:p w14:paraId="520026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115.98870</w:t>
                  </w:r>
                  <w:r>
                    <w:rPr>
                      <w:rFonts w:hint="eastAsia" w:cs="Times New Roman"/>
                      <w:color w:val="auto"/>
                      <w:sz w:val="21"/>
                      <w:szCs w:val="21"/>
                      <w:highlight w:val="none"/>
                      <w:lang w:val="en-US" w:eastAsia="zh-CN"/>
                    </w:rPr>
                    <w:t>8</w:t>
                  </w:r>
                </w:p>
              </w:tc>
              <w:tc>
                <w:tcPr>
                  <w:tcW w:w="767" w:type="pct"/>
                  <w:tcBorders>
                    <w:tl2br w:val="nil"/>
                    <w:tr2bl w:val="nil"/>
                  </w:tcBorders>
                  <w:noWrap w:val="0"/>
                  <w:vAlign w:val="center"/>
                </w:tcPr>
                <w:p w14:paraId="41325A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26.409901</w:t>
                  </w:r>
                </w:p>
              </w:tc>
              <w:tc>
                <w:tcPr>
                  <w:tcW w:w="361" w:type="pct"/>
                  <w:tcBorders>
                    <w:tl2br w:val="nil"/>
                    <w:tr2bl w:val="nil"/>
                  </w:tcBorders>
                  <w:noWrap w:val="0"/>
                  <w:vAlign w:val="center"/>
                </w:tcPr>
                <w:p w14:paraId="6685FF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5A0AA5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7E13D8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60EB5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13BF6A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DA0</w:t>
                  </w:r>
                  <w:r>
                    <w:rPr>
                      <w:rFonts w:hint="eastAsia" w:eastAsia="宋体" w:cs="Times New Roman"/>
                      <w:color w:val="auto"/>
                      <w:sz w:val="21"/>
                      <w:szCs w:val="21"/>
                      <w:highlight w:val="none"/>
                      <w:lang w:val="en-US" w:eastAsia="zh-CN"/>
                    </w:rPr>
                    <w:t>10</w:t>
                  </w:r>
                </w:p>
              </w:tc>
              <w:tc>
                <w:tcPr>
                  <w:tcW w:w="673" w:type="pct"/>
                  <w:tcBorders>
                    <w:tl2br w:val="nil"/>
                    <w:tr2bl w:val="nil"/>
                  </w:tcBorders>
                  <w:noWrap w:val="0"/>
                  <w:vAlign w:val="center"/>
                </w:tcPr>
                <w:p w14:paraId="16E7B1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488F8B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36E96C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noWrap w:val="0"/>
                  <w:vAlign w:val="center"/>
                </w:tcPr>
                <w:p w14:paraId="47CC498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115.98880</w:t>
                  </w:r>
                  <w:r>
                    <w:rPr>
                      <w:rFonts w:hint="eastAsia" w:cs="Times New Roman"/>
                      <w:color w:val="auto"/>
                      <w:sz w:val="21"/>
                      <w:szCs w:val="21"/>
                      <w:highlight w:val="none"/>
                      <w:lang w:val="en-US" w:eastAsia="zh-CN"/>
                    </w:rPr>
                    <w:t>7</w:t>
                  </w:r>
                </w:p>
              </w:tc>
              <w:tc>
                <w:tcPr>
                  <w:tcW w:w="767" w:type="pct"/>
                  <w:tcBorders>
                    <w:tl2br w:val="nil"/>
                    <w:tr2bl w:val="nil"/>
                  </w:tcBorders>
                  <w:noWrap w:val="0"/>
                  <w:vAlign w:val="center"/>
                </w:tcPr>
                <w:p w14:paraId="45D14C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26.40985</w:t>
                  </w:r>
                  <w:r>
                    <w:rPr>
                      <w:rFonts w:hint="eastAsia" w:cs="Times New Roman"/>
                      <w:color w:val="auto"/>
                      <w:sz w:val="21"/>
                      <w:szCs w:val="21"/>
                      <w:highlight w:val="none"/>
                      <w:lang w:val="en-US" w:eastAsia="zh-CN"/>
                    </w:rPr>
                    <w:t>6</w:t>
                  </w:r>
                </w:p>
              </w:tc>
              <w:tc>
                <w:tcPr>
                  <w:tcW w:w="361" w:type="pct"/>
                  <w:tcBorders>
                    <w:tl2br w:val="nil"/>
                    <w:tr2bl w:val="nil"/>
                  </w:tcBorders>
                  <w:noWrap w:val="0"/>
                  <w:vAlign w:val="center"/>
                </w:tcPr>
                <w:p w14:paraId="345036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70DB17E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183ADC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25F84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68B578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DA0</w:t>
                  </w:r>
                  <w:r>
                    <w:rPr>
                      <w:rFonts w:hint="eastAsia" w:eastAsia="宋体" w:cs="Times New Roman"/>
                      <w:color w:val="auto"/>
                      <w:sz w:val="21"/>
                      <w:szCs w:val="21"/>
                      <w:highlight w:val="none"/>
                      <w:lang w:val="en-US" w:eastAsia="zh-CN"/>
                    </w:rPr>
                    <w:t>11</w:t>
                  </w:r>
                </w:p>
              </w:tc>
              <w:tc>
                <w:tcPr>
                  <w:tcW w:w="673" w:type="pct"/>
                  <w:tcBorders>
                    <w:tl2br w:val="nil"/>
                    <w:tr2bl w:val="nil"/>
                  </w:tcBorders>
                  <w:noWrap w:val="0"/>
                  <w:vAlign w:val="center"/>
                </w:tcPr>
                <w:p w14:paraId="38C225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11</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3C8194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2299FB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noWrap w:val="0"/>
                  <w:vAlign w:val="center"/>
                </w:tcPr>
                <w:p w14:paraId="28EFA2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115.988742</w:t>
                  </w:r>
                </w:p>
              </w:tc>
              <w:tc>
                <w:tcPr>
                  <w:tcW w:w="767" w:type="pct"/>
                  <w:tcBorders>
                    <w:tl2br w:val="nil"/>
                    <w:tr2bl w:val="nil"/>
                  </w:tcBorders>
                  <w:noWrap w:val="0"/>
                  <w:vAlign w:val="center"/>
                </w:tcPr>
                <w:p w14:paraId="24B1C1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26.409964</w:t>
                  </w:r>
                </w:p>
              </w:tc>
              <w:tc>
                <w:tcPr>
                  <w:tcW w:w="361" w:type="pct"/>
                  <w:tcBorders>
                    <w:tl2br w:val="nil"/>
                    <w:tr2bl w:val="nil"/>
                  </w:tcBorders>
                  <w:noWrap w:val="0"/>
                  <w:vAlign w:val="center"/>
                </w:tcPr>
                <w:p w14:paraId="3EFC531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106520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7A468F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70000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1B862B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DA0</w:t>
                  </w:r>
                  <w:r>
                    <w:rPr>
                      <w:rFonts w:hint="eastAsia" w:eastAsia="宋体" w:cs="Times New Roman"/>
                      <w:color w:val="auto"/>
                      <w:sz w:val="21"/>
                      <w:szCs w:val="21"/>
                      <w:highlight w:val="none"/>
                      <w:lang w:val="en-US" w:eastAsia="zh-CN"/>
                    </w:rPr>
                    <w:t>12</w:t>
                  </w:r>
                </w:p>
              </w:tc>
              <w:tc>
                <w:tcPr>
                  <w:tcW w:w="673" w:type="pct"/>
                  <w:tcBorders>
                    <w:tl2br w:val="nil"/>
                    <w:tr2bl w:val="nil"/>
                  </w:tcBorders>
                  <w:noWrap w:val="0"/>
                  <w:vAlign w:val="center"/>
                </w:tcPr>
                <w:p w14:paraId="714291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w:t>
                  </w:r>
                  <w:r>
                    <w:rPr>
                      <w:rFonts w:hint="eastAsia"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3ED4AD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5741AE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noWrap w:val="0"/>
                  <w:vAlign w:val="center"/>
                </w:tcPr>
                <w:p w14:paraId="1DF722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115.988844</w:t>
                  </w:r>
                </w:p>
              </w:tc>
              <w:tc>
                <w:tcPr>
                  <w:tcW w:w="767" w:type="pct"/>
                  <w:tcBorders>
                    <w:tl2br w:val="nil"/>
                    <w:tr2bl w:val="nil"/>
                  </w:tcBorders>
                  <w:noWrap w:val="0"/>
                  <w:vAlign w:val="center"/>
                </w:tcPr>
                <w:p w14:paraId="0144EC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26.40991</w:t>
                  </w:r>
                  <w:r>
                    <w:rPr>
                      <w:rFonts w:hint="eastAsia" w:cs="Times New Roman"/>
                      <w:color w:val="auto"/>
                      <w:sz w:val="21"/>
                      <w:szCs w:val="21"/>
                      <w:highlight w:val="none"/>
                      <w:lang w:val="en-US" w:eastAsia="zh-CN"/>
                    </w:rPr>
                    <w:t>9</w:t>
                  </w:r>
                </w:p>
              </w:tc>
              <w:tc>
                <w:tcPr>
                  <w:tcW w:w="361" w:type="pct"/>
                  <w:tcBorders>
                    <w:tl2br w:val="nil"/>
                    <w:tr2bl w:val="nil"/>
                  </w:tcBorders>
                  <w:noWrap w:val="0"/>
                  <w:vAlign w:val="center"/>
                </w:tcPr>
                <w:p w14:paraId="5FEFB4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508030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1159A2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7F1D4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267602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DA0</w:t>
                  </w:r>
                  <w:r>
                    <w:rPr>
                      <w:rFonts w:hint="eastAsia" w:eastAsia="宋体" w:cs="Times New Roman"/>
                      <w:color w:val="auto"/>
                      <w:sz w:val="21"/>
                      <w:szCs w:val="21"/>
                      <w:highlight w:val="none"/>
                      <w:lang w:val="en-US" w:eastAsia="zh-CN"/>
                    </w:rPr>
                    <w:t>13</w:t>
                  </w:r>
                </w:p>
              </w:tc>
              <w:tc>
                <w:tcPr>
                  <w:tcW w:w="673" w:type="pct"/>
                  <w:tcBorders>
                    <w:tl2br w:val="nil"/>
                    <w:tr2bl w:val="nil"/>
                  </w:tcBorders>
                  <w:noWrap w:val="0"/>
                  <w:vAlign w:val="center"/>
                </w:tcPr>
                <w:p w14:paraId="26A5E8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13</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29F944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024FC0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noWrap w:val="0"/>
                  <w:vAlign w:val="center"/>
                </w:tcPr>
                <w:p w14:paraId="37E4CD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115.98877</w:t>
                  </w:r>
                  <w:r>
                    <w:rPr>
                      <w:rFonts w:hint="eastAsia" w:cs="Times New Roman"/>
                      <w:color w:val="auto"/>
                      <w:sz w:val="21"/>
                      <w:szCs w:val="21"/>
                      <w:highlight w:val="none"/>
                      <w:lang w:val="en-US" w:eastAsia="zh-CN"/>
                    </w:rPr>
                    <w:t>9</w:t>
                  </w:r>
                </w:p>
              </w:tc>
              <w:tc>
                <w:tcPr>
                  <w:tcW w:w="767" w:type="pct"/>
                  <w:tcBorders>
                    <w:tl2br w:val="nil"/>
                    <w:tr2bl w:val="nil"/>
                  </w:tcBorders>
                  <w:noWrap w:val="0"/>
                  <w:vAlign w:val="center"/>
                </w:tcPr>
                <w:p w14:paraId="155AB44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26.41006</w:t>
                  </w:r>
                  <w:r>
                    <w:rPr>
                      <w:rFonts w:hint="eastAsia" w:cs="Times New Roman"/>
                      <w:color w:val="auto"/>
                      <w:sz w:val="21"/>
                      <w:szCs w:val="21"/>
                      <w:highlight w:val="none"/>
                      <w:lang w:val="en-US" w:eastAsia="zh-CN"/>
                    </w:rPr>
                    <w:t>5</w:t>
                  </w:r>
                </w:p>
              </w:tc>
              <w:tc>
                <w:tcPr>
                  <w:tcW w:w="361" w:type="pct"/>
                  <w:tcBorders>
                    <w:tl2br w:val="nil"/>
                    <w:tr2bl w:val="nil"/>
                  </w:tcBorders>
                  <w:noWrap w:val="0"/>
                  <w:vAlign w:val="center"/>
                </w:tcPr>
                <w:p w14:paraId="5BD620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52E207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531A64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0133E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490" w:type="pct"/>
                  <w:tcBorders>
                    <w:tl2br w:val="nil"/>
                    <w:tr2bl w:val="nil"/>
                  </w:tcBorders>
                  <w:noWrap w:val="0"/>
                  <w:vAlign w:val="center"/>
                </w:tcPr>
                <w:p w14:paraId="09B076C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DA0</w:t>
                  </w:r>
                  <w:r>
                    <w:rPr>
                      <w:rFonts w:hint="eastAsia" w:eastAsia="宋体" w:cs="Times New Roman"/>
                      <w:color w:val="auto"/>
                      <w:sz w:val="21"/>
                      <w:szCs w:val="21"/>
                      <w:highlight w:val="none"/>
                      <w:lang w:val="en-US" w:eastAsia="zh-CN"/>
                    </w:rPr>
                    <w:t>14</w:t>
                  </w:r>
                </w:p>
              </w:tc>
              <w:tc>
                <w:tcPr>
                  <w:tcW w:w="673" w:type="pct"/>
                  <w:tcBorders>
                    <w:tl2br w:val="nil"/>
                    <w:tr2bl w:val="nil"/>
                  </w:tcBorders>
                  <w:noWrap w:val="0"/>
                  <w:vAlign w:val="center"/>
                </w:tcPr>
                <w:p w14:paraId="1130BE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14</w:t>
                  </w:r>
                  <w:r>
                    <w:rPr>
                      <w:rFonts w:hint="eastAsia" w:ascii="Times New Roman" w:hAnsi="Times New Roman" w:eastAsia="宋体" w:cs="Times New Roman"/>
                      <w:color w:val="auto"/>
                      <w:sz w:val="21"/>
                      <w:szCs w:val="21"/>
                      <w:highlight w:val="none"/>
                    </w:rPr>
                    <w:t>#排气筒</w:t>
                  </w:r>
                </w:p>
              </w:tc>
              <w:tc>
                <w:tcPr>
                  <w:tcW w:w="436" w:type="pct"/>
                  <w:vMerge w:val="continue"/>
                  <w:tcBorders>
                    <w:tl2br w:val="nil"/>
                    <w:tr2bl w:val="nil"/>
                  </w:tcBorders>
                  <w:noWrap w:val="0"/>
                  <w:vAlign w:val="center"/>
                </w:tcPr>
                <w:p w14:paraId="2CEA06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605" w:type="pct"/>
                  <w:vMerge w:val="continue"/>
                  <w:tcBorders>
                    <w:tl2br w:val="nil"/>
                    <w:tr2bl w:val="nil"/>
                  </w:tcBorders>
                  <w:noWrap w:val="0"/>
                  <w:vAlign w:val="center"/>
                </w:tcPr>
                <w:p w14:paraId="6B6779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824" w:type="pct"/>
                  <w:tcBorders>
                    <w:tl2br w:val="nil"/>
                    <w:tr2bl w:val="nil"/>
                  </w:tcBorders>
                  <w:noWrap w:val="0"/>
                  <w:vAlign w:val="center"/>
                </w:tcPr>
                <w:p w14:paraId="5E33A97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115.988891</w:t>
                  </w:r>
                </w:p>
              </w:tc>
              <w:tc>
                <w:tcPr>
                  <w:tcW w:w="767" w:type="pct"/>
                  <w:tcBorders>
                    <w:tl2br w:val="nil"/>
                    <w:tr2bl w:val="nil"/>
                  </w:tcBorders>
                  <w:noWrap w:val="0"/>
                  <w:vAlign w:val="center"/>
                </w:tcPr>
                <w:p w14:paraId="1237CB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26.41001</w:t>
                  </w:r>
                  <w:r>
                    <w:rPr>
                      <w:rFonts w:hint="eastAsia" w:cs="Times New Roman"/>
                      <w:color w:val="auto"/>
                      <w:sz w:val="21"/>
                      <w:szCs w:val="21"/>
                      <w:highlight w:val="none"/>
                      <w:lang w:val="en-US" w:eastAsia="zh-CN"/>
                    </w:rPr>
                    <w:t>7</w:t>
                  </w:r>
                </w:p>
              </w:tc>
              <w:tc>
                <w:tcPr>
                  <w:tcW w:w="361" w:type="pct"/>
                  <w:tcBorders>
                    <w:tl2br w:val="nil"/>
                    <w:tr2bl w:val="nil"/>
                  </w:tcBorders>
                  <w:noWrap w:val="0"/>
                  <w:vAlign w:val="center"/>
                </w:tcPr>
                <w:p w14:paraId="4098FE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37D36C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4D3704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39E16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67BD71C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DA0</w:t>
                  </w:r>
                  <w:r>
                    <w:rPr>
                      <w:rFonts w:hint="eastAsia" w:eastAsia="宋体" w:cs="Times New Roman"/>
                      <w:color w:val="auto"/>
                      <w:sz w:val="21"/>
                      <w:szCs w:val="21"/>
                      <w:highlight w:val="none"/>
                      <w:lang w:val="en-US" w:eastAsia="zh-CN"/>
                    </w:rPr>
                    <w:t>15</w:t>
                  </w:r>
                </w:p>
              </w:tc>
              <w:tc>
                <w:tcPr>
                  <w:tcW w:w="673" w:type="pct"/>
                  <w:tcBorders>
                    <w:tl2br w:val="nil"/>
                    <w:tr2bl w:val="nil"/>
                  </w:tcBorders>
                  <w:noWrap w:val="0"/>
                  <w:vAlign w:val="center"/>
                </w:tcPr>
                <w:p w14:paraId="770FEA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w:t>
                  </w:r>
                  <w:r>
                    <w:rPr>
                      <w:rFonts w:hint="eastAsia"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rPr>
                    <w:t>#排气筒</w:t>
                  </w:r>
                </w:p>
              </w:tc>
              <w:tc>
                <w:tcPr>
                  <w:tcW w:w="436" w:type="pct"/>
                  <w:tcBorders>
                    <w:tl2br w:val="nil"/>
                    <w:tr2bl w:val="nil"/>
                  </w:tcBorders>
                  <w:noWrap w:val="0"/>
                  <w:vAlign w:val="center"/>
                </w:tcPr>
                <w:p w14:paraId="7069FC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一般</w:t>
                  </w:r>
                </w:p>
                <w:p w14:paraId="0422ED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w:t>
                  </w:r>
                </w:p>
              </w:tc>
              <w:tc>
                <w:tcPr>
                  <w:tcW w:w="605" w:type="pct"/>
                  <w:tcBorders>
                    <w:tl2br w:val="nil"/>
                    <w:tr2bl w:val="nil"/>
                  </w:tcBorders>
                  <w:noWrap w:val="0"/>
                  <w:vAlign w:val="center"/>
                </w:tcPr>
                <w:p w14:paraId="70347D6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b w:val="0"/>
                      <w:bCs/>
                      <w:sz w:val="21"/>
                      <w:szCs w:val="21"/>
                      <w:lang w:val="en-US" w:eastAsia="zh-CN"/>
                    </w:rPr>
                    <w:t>颗粒物、二氧化硫、氮氧化物</w:t>
                  </w:r>
                </w:p>
              </w:tc>
              <w:tc>
                <w:tcPr>
                  <w:tcW w:w="824" w:type="pct"/>
                  <w:tcBorders>
                    <w:tl2br w:val="nil"/>
                    <w:tr2bl w:val="nil"/>
                  </w:tcBorders>
                  <w:noWrap w:val="0"/>
                  <w:vAlign w:val="center"/>
                </w:tcPr>
                <w:p w14:paraId="44C8C9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115.98919</w:t>
                  </w:r>
                  <w:r>
                    <w:rPr>
                      <w:rFonts w:hint="eastAsia" w:cs="Times New Roman"/>
                      <w:color w:val="auto"/>
                      <w:sz w:val="21"/>
                      <w:szCs w:val="21"/>
                      <w:highlight w:val="none"/>
                      <w:lang w:val="en-US" w:eastAsia="zh-CN"/>
                    </w:rPr>
                    <w:t>2</w:t>
                  </w:r>
                </w:p>
              </w:tc>
              <w:tc>
                <w:tcPr>
                  <w:tcW w:w="767" w:type="pct"/>
                  <w:tcBorders>
                    <w:tl2br w:val="nil"/>
                    <w:tr2bl w:val="nil"/>
                  </w:tcBorders>
                  <w:noWrap w:val="0"/>
                  <w:vAlign w:val="center"/>
                </w:tcPr>
                <w:p w14:paraId="1E20F6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26.409945</w:t>
                  </w:r>
                </w:p>
              </w:tc>
              <w:tc>
                <w:tcPr>
                  <w:tcW w:w="361" w:type="pct"/>
                  <w:tcBorders>
                    <w:tl2br w:val="nil"/>
                    <w:tr2bl w:val="nil"/>
                  </w:tcBorders>
                  <w:noWrap w:val="0"/>
                  <w:vAlign w:val="center"/>
                </w:tcPr>
                <w:p w14:paraId="3FB266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55CFF0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4168A5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r w14:paraId="6129E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490" w:type="pct"/>
                  <w:tcBorders>
                    <w:tl2br w:val="nil"/>
                    <w:tr2bl w:val="nil"/>
                  </w:tcBorders>
                  <w:noWrap w:val="0"/>
                  <w:vAlign w:val="center"/>
                </w:tcPr>
                <w:p w14:paraId="751C41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DA0</w:t>
                  </w:r>
                  <w:r>
                    <w:rPr>
                      <w:rFonts w:hint="eastAsia"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6</w:t>
                  </w:r>
                </w:p>
              </w:tc>
              <w:tc>
                <w:tcPr>
                  <w:tcW w:w="673" w:type="pct"/>
                  <w:tcBorders>
                    <w:tl2br w:val="nil"/>
                    <w:tr2bl w:val="nil"/>
                  </w:tcBorders>
                  <w:noWrap w:val="0"/>
                  <w:vAlign w:val="center"/>
                </w:tcPr>
                <w:p w14:paraId="7085F4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w:t>
                  </w:r>
                  <w:r>
                    <w:rPr>
                      <w:rFonts w:hint="eastAsia" w:eastAsia="宋体"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#排气筒</w:t>
                  </w:r>
                </w:p>
              </w:tc>
              <w:tc>
                <w:tcPr>
                  <w:tcW w:w="436" w:type="pct"/>
                  <w:tcBorders>
                    <w:tl2br w:val="nil"/>
                    <w:tr2bl w:val="nil"/>
                  </w:tcBorders>
                  <w:noWrap w:val="0"/>
                  <w:vAlign w:val="center"/>
                </w:tcPr>
                <w:p w14:paraId="0D4B4B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一般</w:t>
                  </w:r>
                </w:p>
                <w:p w14:paraId="0F95CF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w:t>
                  </w:r>
                </w:p>
              </w:tc>
              <w:tc>
                <w:tcPr>
                  <w:tcW w:w="605" w:type="pct"/>
                  <w:tcBorders>
                    <w:tl2br w:val="nil"/>
                    <w:tr2bl w:val="nil"/>
                  </w:tcBorders>
                  <w:noWrap w:val="0"/>
                  <w:vAlign w:val="center"/>
                </w:tcPr>
                <w:p w14:paraId="38385D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b w:val="0"/>
                      <w:bCs/>
                      <w:sz w:val="21"/>
                      <w:szCs w:val="21"/>
                      <w:lang w:val="en-US" w:eastAsia="zh-CN"/>
                    </w:rPr>
                    <w:t>颗粒物、二氧化硫、氮氧化物</w:t>
                  </w:r>
                </w:p>
              </w:tc>
              <w:tc>
                <w:tcPr>
                  <w:tcW w:w="824" w:type="pct"/>
                  <w:tcBorders>
                    <w:tl2br w:val="nil"/>
                    <w:tr2bl w:val="nil"/>
                  </w:tcBorders>
                  <w:noWrap w:val="0"/>
                  <w:vAlign w:val="center"/>
                </w:tcPr>
                <w:p w14:paraId="49BE2C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115.988781</w:t>
                  </w:r>
                </w:p>
              </w:tc>
              <w:tc>
                <w:tcPr>
                  <w:tcW w:w="767" w:type="pct"/>
                  <w:tcBorders>
                    <w:tl2br w:val="nil"/>
                    <w:tr2bl w:val="nil"/>
                  </w:tcBorders>
                  <w:noWrap w:val="0"/>
                  <w:vAlign w:val="center"/>
                </w:tcPr>
                <w:p w14:paraId="360A59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26.41015</w:t>
                  </w:r>
                  <w:r>
                    <w:rPr>
                      <w:rFonts w:hint="eastAsia" w:cs="Times New Roman"/>
                      <w:color w:val="auto"/>
                      <w:sz w:val="21"/>
                      <w:szCs w:val="21"/>
                      <w:highlight w:val="none"/>
                      <w:lang w:val="en-US" w:eastAsia="zh-CN"/>
                    </w:rPr>
                    <w:t>6</w:t>
                  </w:r>
                </w:p>
              </w:tc>
              <w:tc>
                <w:tcPr>
                  <w:tcW w:w="361" w:type="pct"/>
                  <w:tcBorders>
                    <w:tl2br w:val="nil"/>
                    <w:tr2bl w:val="nil"/>
                  </w:tcBorders>
                  <w:noWrap w:val="0"/>
                  <w:vAlign w:val="center"/>
                </w:tcPr>
                <w:p w14:paraId="0D00AA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92" w:type="pct"/>
                  <w:tcBorders>
                    <w:tl2br w:val="nil"/>
                    <w:tr2bl w:val="nil"/>
                  </w:tcBorders>
                  <w:noWrap w:val="0"/>
                  <w:vAlign w:val="center"/>
                </w:tcPr>
                <w:p w14:paraId="625C5A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p>
              </w:tc>
              <w:tc>
                <w:tcPr>
                  <w:tcW w:w="348" w:type="pct"/>
                  <w:tcBorders>
                    <w:tl2br w:val="nil"/>
                    <w:tr2bl w:val="nil"/>
                  </w:tcBorders>
                  <w:noWrap w:val="0"/>
                  <w:vAlign w:val="center"/>
                </w:tcPr>
                <w:p w14:paraId="727A34E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w:t>
                  </w:r>
                </w:p>
              </w:tc>
            </w:tr>
          </w:tbl>
          <w:p w14:paraId="129F0BD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color w:val="auto"/>
                <w:kern w:val="2"/>
                <w:sz w:val="21"/>
                <w:szCs w:val="21"/>
                <w:highlight w:val="none"/>
                <w:lang w:val="en-US" w:eastAsia="zh-CN" w:bidi="ar-SA"/>
              </w:rPr>
              <w:t>表4-</w:t>
            </w:r>
            <w:r>
              <w:rPr>
                <w:rFonts w:hint="eastAsia" w:ascii="Times New Roman" w:cs="Times New Roman"/>
                <w:b/>
                <w:color w:val="auto"/>
                <w:kern w:val="2"/>
                <w:sz w:val="21"/>
                <w:szCs w:val="21"/>
                <w:highlight w:val="none"/>
                <w:lang w:val="en-US" w:eastAsia="zh-CN" w:bidi="ar-SA"/>
              </w:rPr>
              <w:t>8</w:t>
            </w:r>
            <w:r>
              <w:rPr>
                <w:rFonts w:hint="eastAsia" w:ascii="Times New Roman" w:hAnsi="Times New Roman" w:eastAsia="宋体" w:cs="Times New Roman"/>
                <w:b/>
                <w:color w:val="auto"/>
                <w:kern w:val="2"/>
                <w:sz w:val="21"/>
                <w:szCs w:val="21"/>
                <w:highlight w:val="none"/>
                <w:lang w:val="en-US" w:eastAsia="zh-CN" w:bidi="ar-SA"/>
              </w:rPr>
              <w:t xml:space="preserve">  主要废气污染源参数一览表（面源）</w:t>
            </w:r>
          </w:p>
          <w:tbl>
            <w:tblPr>
              <w:tblStyle w:val="3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656"/>
              <w:gridCol w:w="1646"/>
              <w:gridCol w:w="1407"/>
              <w:gridCol w:w="1423"/>
              <w:gridCol w:w="1270"/>
            </w:tblGrid>
            <w:tr w14:paraId="029DE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noWrap w:val="0"/>
                  <w:vAlign w:val="center"/>
                </w:tcPr>
                <w:p w14:paraId="0C43107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u w:val="none"/>
                      <w:lang w:val="en-US" w:eastAsia="zh-CN"/>
                    </w:rPr>
                  </w:pPr>
                  <w:r>
                    <w:rPr>
                      <w:rFonts w:hint="eastAsia" w:ascii="Times New Roman" w:hAnsi="Times New Roman" w:eastAsia="宋体" w:cs="Times New Roman"/>
                      <w:b/>
                      <w:color w:val="auto"/>
                      <w:sz w:val="21"/>
                      <w:szCs w:val="21"/>
                      <w:highlight w:val="none"/>
                      <w:u w:val="none"/>
                      <w:lang w:val="en-US" w:eastAsia="zh-CN"/>
                    </w:rPr>
                    <w:t>序号</w:t>
                  </w:r>
                </w:p>
              </w:tc>
              <w:tc>
                <w:tcPr>
                  <w:tcW w:w="1011" w:type="pct"/>
                  <w:noWrap w:val="0"/>
                  <w:vAlign w:val="center"/>
                </w:tcPr>
                <w:p w14:paraId="60019B6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color w:val="auto"/>
                      <w:sz w:val="21"/>
                      <w:szCs w:val="21"/>
                      <w:highlight w:val="none"/>
                      <w:u w:val="none"/>
                      <w:lang w:eastAsia="zh-CN"/>
                    </w:rPr>
                  </w:pPr>
                  <w:r>
                    <w:rPr>
                      <w:rFonts w:hint="eastAsia" w:ascii="Times New Roman" w:hAnsi="Times New Roman" w:eastAsia="宋体" w:cs="Times New Roman"/>
                      <w:b/>
                      <w:color w:val="auto"/>
                      <w:sz w:val="21"/>
                      <w:szCs w:val="21"/>
                      <w:highlight w:val="none"/>
                      <w:u w:val="none"/>
                      <w:lang w:val="en-US" w:eastAsia="zh-CN"/>
                    </w:rPr>
                    <w:t>污染源</w:t>
                  </w:r>
                </w:p>
              </w:tc>
              <w:tc>
                <w:tcPr>
                  <w:tcW w:w="1005" w:type="pct"/>
                  <w:noWrap w:val="0"/>
                  <w:vAlign w:val="center"/>
                </w:tcPr>
                <w:p w14:paraId="401DE59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u w:val="none"/>
                    </w:rPr>
                  </w:pPr>
                  <w:r>
                    <w:rPr>
                      <w:rFonts w:hint="default" w:ascii="Times New Roman" w:hAnsi="Times New Roman" w:eastAsia="宋体" w:cs="Times New Roman"/>
                      <w:b/>
                      <w:color w:val="auto"/>
                      <w:sz w:val="21"/>
                      <w:szCs w:val="21"/>
                      <w:highlight w:val="none"/>
                      <w:u w:val="none"/>
                    </w:rPr>
                    <w:t>污染物名称</w:t>
                  </w:r>
                </w:p>
              </w:tc>
              <w:tc>
                <w:tcPr>
                  <w:tcW w:w="859" w:type="pct"/>
                  <w:noWrap w:val="0"/>
                  <w:vAlign w:val="center"/>
                </w:tcPr>
                <w:p w14:paraId="4958A67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eastAsia="宋体" w:cs="Times New Roman"/>
                      <w:b/>
                      <w:color w:val="auto"/>
                      <w:sz w:val="21"/>
                      <w:szCs w:val="21"/>
                      <w:highlight w:val="none"/>
                      <w:u w:val="none"/>
                      <w:lang w:eastAsia="zh-CN"/>
                    </w:rPr>
                    <w:t>面源长度（</w:t>
                  </w:r>
                  <w:r>
                    <w:rPr>
                      <w:rFonts w:hint="default" w:ascii="Times New Roman" w:hAnsi="Times New Roman" w:eastAsia="宋体" w:cs="Times New Roman"/>
                      <w:b/>
                      <w:color w:val="auto"/>
                      <w:sz w:val="21"/>
                      <w:szCs w:val="21"/>
                      <w:highlight w:val="none"/>
                      <w:u w:val="none"/>
                      <w:lang w:val="en-US" w:eastAsia="zh-CN"/>
                    </w:rPr>
                    <w:t>m</w:t>
                  </w:r>
                  <w:r>
                    <w:rPr>
                      <w:rFonts w:hint="default" w:ascii="Times New Roman" w:hAnsi="Times New Roman" w:eastAsia="宋体" w:cs="Times New Roman"/>
                      <w:b/>
                      <w:color w:val="auto"/>
                      <w:sz w:val="21"/>
                      <w:szCs w:val="21"/>
                      <w:highlight w:val="none"/>
                      <w:u w:val="none"/>
                      <w:lang w:eastAsia="zh-CN"/>
                    </w:rPr>
                    <w:t>）</w:t>
                  </w:r>
                </w:p>
              </w:tc>
              <w:tc>
                <w:tcPr>
                  <w:tcW w:w="869" w:type="pct"/>
                  <w:noWrap w:val="0"/>
                  <w:vAlign w:val="center"/>
                </w:tcPr>
                <w:p w14:paraId="47D8F97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u w:val="none"/>
                    </w:rPr>
                  </w:pPr>
                  <w:r>
                    <w:rPr>
                      <w:rFonts w:hint="default" w:ascii="Times New Roman" w:hAnsi="Times New Roman" w:eastAsia="宋体" w:cs="Times New Roman"/>
                      <w:b/>
                      <w:color w:val="auto"/>
                      <w:sz w:val="21"/>
                      <w:szCs w:val="21"/>
                      <w:highlight w:val="none"/>
                      <w:u w:val="none"/>
                      <w:lang w:eastAsia="zh-CN"/>
                    </w:rPr>
                    <w:t>面源宽度（</w:t>
                  </w:r>
                  <w:r>
                    <w:rPr>
                      <w:rFonts w:hint="default" w:ascii="Times New Roman" w:hAnsi="Times New Roman" w:eastAsia="宋体" w:cs="Times New Roman"/>
                      <w:b/>
                      <w:color w:val="auto"/>
                      <w:sz w:val="21"/>
                      <w:szCs w:val="21"/>
                      <w:highlight w:val="none"/>
                      <w:u w:val="none"/>
                      <w:lang w:val="en-US" w:eastAsia="zh-CN"/>
                    </w:rPr>
                    <w:t>m</w:t>
                  </w:r>
                  <w:r>
                    <w:rPr>
                      <w:rFonts w:hint="default" w:ascii="Times New Roman" w:hAnsi="Times New Roman" w:eastAsia="宋体" w:cs="Times New Roman"/>
                      <w:b/>
                      <w:color w:val="auto"/>
                      <w:sz w:val="21"/>
                      <w:szCs w:val="21"/>
                      <w:highlight w:val="none"/>
                      <w:u w:val="none"/>
                      <w:lang w:eastAsia="zh-CN"/>
                    </w:rPr>
                    <w:t>）</w:t>
                  </w:r>
                </w:p>
              </w:tc>
              <w:tc>
                <w:tcPr>
                  <w:tcW w:w="775" w:type="pct"/>
                  <w:noWrap w:val="0"/>
                  <w:vAlign w:val="center"/>
                </w:tcPr>
                <w:p w14:paraId="7D9F5E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u w:val="none"/>
                    </w:rPr>
                  </w:pPr>
                  <w:r>
                    <w:rPr>
                      <w:rFonts w:hint="default" w:ascii="Times New Roman" w:hAnsi="Times New Roman" w:eastAsia="宋体" w:cs="Times New Roman"/>
                      <w:b/>
                      <w:color w:val="auto"/>
                      <w:sz w:val="21"/>
                      <w:szCs w:val="21"/>
                      <w:highlight w:val="none"/>
                      <w:u w:val="none"/>
                      <w:lang w:eastAsia="zh-CN"/>
                    </w:rPr>
                    <w:t>面源高度（</w:t>
                  </w:r>
                  <w:r>
                    <w:rPr>
                      <w:rFonts w:hint="default" w:ascii="Times New Roman" w:hAnsi="Times New Roman" w:eastAsia="宋体" w:cs="Times New Roman"/>
                      <w:b/>
                      <w:color w:val="auto"/>
                      <w:sz w:val="21"/>
                      <w:szCs w:val="21"/>
                      <w:highlight w:val="none"/>
                      <w:u w:val="none"/>
                      <w:lang w:val="en-US" w:eastAsia="zh-CN"/>
                    </w:rPr>
                    <w:t>m</w:t>
                  </w:r>
                  <w:r>
                    <w:rPr>
                      <w:rFonts w:hint="default" w:ascii="Times New Roman" w:hAnsi="Times New Roman" w:eastAsia="宋体" w:cs="Times New Roman"/>
                      <w:b/>
                      <w:color w:val="auto"/>
                      <w:sz w:val="21"/>
                      <w:szCs w:val="21"/>
                      <w:highlight w:val="none"/>
                      <w:u w:val="none"/>
                      <w:lang w:eastAsia="zh-CN"/>
                    </w:rPr>
                    <w:t>）</w:t>
                  </w:r>
                </w:p>
              </w:tc>
            </w:tr>
            <w:tr w14:paraId="104A3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vMerge w:val="restart"/>
                  <w:noWrap w:val="0"/>
                  <w:vAlign w:val="center"/>
                </w:tcPr>
                <w:p w14:paraId="7D7F351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2</w:t>
                  </w:r>
                </w:p>
              </w:tc>
              <w:tc>
                <w:tcPr>
                  <w:tcW w:w="1011" w:type="pct"/>
                  <w:vMerge w:val="restart"/>
                  <w:noWrap w:val="0"/>
                  <w:vAlign w:val="center"/>
                </w:tcPr>
                <w:p w14:paraId="193F9CED">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污水处理站</w:t>
                  </w:r>
                </w:p>
              </w:tc>
              <w:tc>
                <w:tcPr>
                  <w:tcW w:w="1005" w:type="pct"/>
                  <w:noWrap w:val="0"/>
                  <w:vAlign w:val="center"/>
                </w:tcPr>
                <w:p w14:paraId="291984E6">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硫化氢</w:t>
                  </w:r>
                </w:p>
              </w:tc>
              <w:tc>
                <w:tcPr>
                  <w:tcW w:w="859" w:type="pct"/>
                  <w:vMerge w:val="restart"/>
                  <w:noWrap w:val="0"/>
                  <w:vAlign w:val="center"/>
                </w:tcPr>
                <w:p w14:paraId="7C59D0D2">
                  <w:pPr>
                    <w:keepNext w:val="0"/>
                    <w:keepLines w:val="0"/>
                    <w:widowControl/>
                    <w:suppressLineNumbers w:val="0"/>
                    <w:jc w:val="center"/>
                    <w:textAlignment w:val="center"/>
                    <w:rPr>
                      <w:rFonts w:hint="default" w:cs="Times New Roman"/>
                      <w:b w:val="0"/>
                      <w:bCs/>
                      <w:color w:val="auto"/>
                      <w:kern w:val="2"/>
                      <w:sz w:val="21"/>
                      <w:szCs w:val="21"/>
                      <w:highlight w:val="none"/>
                      <w:u w:val="none"/>
                      <w:lang w:val="en-US" w:eastAsia="zh-CN" w:bidi="ar-SA"/>
                    </w:rPr>
                  </w:pPr>
                  <w:r>
                    <w:rPr>
                      <w:rFonts w:hint="eastAsia" w:cs="Times New Roman"/>
                      <w:b w:val="0"/>
                      <w:bCs/>
                      <w:color w:val="auto"/>
                      <w:kern w:val="2"/>
                      <w:sz w:val="21"/>
                      <w:szCs w:val="21"/>
                      <w:highlight w:val="none"/>
                      <w:u w:val="none"/>
                      <w:lang w:val="en-US" w:eastAsia="zh-CN" w:bidi="ar-SA"/>
                    </w:rPr>
                    <w:t>14.5</w:t>
                  </w:r>
                </w:p>
              </w:tc>
              <w:tc>
                <w:tcPr>
                  <w:tcW w:w="869" w:type="pct"/>
                  <w:vMerge w:val="restart"/>
                  <w:noWrap w:val="0"/>
                  <w:vAlign w:val="center"/>
                </w:tcPr>
                <w:p w14:paraId="36FCA365">
                  <w:pPr>
                    <w:keepNext w:val="0"/>
                    <w:keepLines w:val="0"/>
                    <w:widowControl/>
                    <w:suppressLineNumbers w:val="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12</w:t>
                  </w:r>
                </w:p>
              </w:tc>
              <w:tc>
                <w:tcPr>
                  <w:tcW w:w="775" w:type="pct"/>
                  <w:vMerge w:val="restart"/>
                  <w:noWrap w:val="0"/>
                  <w:vAlign w:val="center"/>
                </w:tcPr>
                <w:p w14:paraId="1C668AC0">
                  <w:pPr>
                    <w:keepNext w:val="0"/>
                    <w:keepLines w:val="0"/>
                    <w:widowControl/>
                    <w:suppressLineNumbers w:val="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w:t>
                  </w:r>
                </w:p>
              </w:tc>
            </w:tr>
            <w:tr w14:paraId="2DAD9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 w:type="pct"/>
                  <w:vMerge w:val="continue"/>
                  <w:noWrap w:val="0"/>
                  <w:vAlign w:val="center"/>
                </w:tcPr>
                <w:p w14:paraId="6E2A3FE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cs="Times New Roman"/>
                      <w:b w:val="0"/>
                      <w:bCs/>
                      <w:color w:val="auto"/>
                      <w:sz w:val="21"/>
                      <w:szCs w:val="21"/>
                      <w:highlight w:val="none"/>
                      <w:u w:val="none"/>
                      <w:lang w:val="en-US" w:eastAsia="zh-CN"/>
                    </w:rPr>
                  </w:pPr>
                </w:p>
              </w:tc>
              <w:tc>
                <w:tcPr>
                  <w:tcW w:w="1011" w:type="pct"/>
                  <w:vMerge w:val="continue"/>
                  <w:noWrap w:val="0"/>
                  <w:vAlign w:val="center"/>
                </w:tcPr>
                <w:p w14:paraId="32A7AC1B">
                  <w:pPr>
                    <w:keepNext w:val="0"/>
                    <w:keepLines w:val="0"/>
                    <w:widowControl/>
                    <w:suppressLineNumbers w:val="0"/>
                    <w:jc w:val="center"/>
                    <w:textAlignment w:val="center"/>
                    <w:rPr>
                      <w:rFonts w:hint="eastAsia" w:cs="Times New Roman"/>
                      <w:color w:val="auto"/>
                      <w:sz w:val="21"/>
                      <w:szCs w:val="21"/>
                      <w:highlight w:val="none"/>
                      <w:lang w:val="en-US" w:eastAsia="zh-CN"/>
                    </w:rPr>
                  </w:pPr>
                </w:p>
              </w:tc>
              <w:tc>
                <w:tcPr>
                  <w:tcW w:w="1005" w:type="pct"/>
                  <w:noWrap w:val="0"/>
                  <w:vAlign w:val="center"/>
                </w:tcPr>
                <w:p w14:paraId="30697920">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859" w:type="pct"/>
                  <w:vMerge w:val="continue"/>
                  <w:noWrap w:val="0"/>
                  <w:vAlign w:val="center"/>
                </w:tcPr>
                <w:p w14:paraId="22C5B867">
                  <w:pPr>
                    <w:keepNext w:val="0"/>
                    <w:keepLines w:val="0"/>
                    <w:widowControl/>
                    <w:suppressLineNumbers w:val="0"/>
                    <w:jc w:val="center"/>
                    <w:textAlignment w:val="center"/>
                    <w:rPr>
                      <w:rFonts w:hint="default" w:cs="Times New Roman"/>
                      <w:b w:val="0"/>
                      <w:bCs/>
                      <w:color w:val="auto"/>
                      <w:kern w:val="2"/>
                      <w:sz w:val="21"/>
                      <w:szCs w:val="21"/>
                      <w:highlight w:val="none"/>
                      <w:u w:val="none"/>
                      <w:lang w:val="en-US" w:eastAsia="zh-CN" w:bidi="ar-SA"/>
                    </w:rPr>
                  </w:pPr>
                </w:p>
              </w:tc>
              <w:tc>
                <w:tcPr>
                  <w:tcW w:w="869" w:type="pct"/>
                  <w:vMerge w:val="continue"/>
                  <w:noWrap w:val="0"/>
                  <w:vAlign w:val="center"/>
                </w:tcPr>
                <w:p w14:paraId="2D38636E">
                  <w:pPr>
                    <w:keepNext w:val="0"/>
                    <w:keepLines w:val="0"/>
                    <w:widowControl/>
                    <w:suppressLineNumbers w:val="0"/>
                    <w:jc w:val="center"/>
                    <w:textAlignment w:val="center"/>
                    <w:rPr>
                      <w:rFonts w:hint="default" w:cs="Times New Roman"/>
                      <w:i w:val="0"/>
                      <w:color w:val="auto"/>
                      <w:kern w:val="0"/>
                      <w:sz w:val="21"/>
                      <w:szCs w:val="21"/>
                      <w:highlight w:val="none"/>
                      <w:u w:val="none"/>
                      <w:lang w:val="en-US" w:eastAsia="zh-CN" w:bidi="ar"/>
                    </w:rPr>
                  </w:pPr>
                </w:p>
              </w:tc>
              <w:tc>
                <w:tcPr>
                  <w:tcW w:w="775" w:type="pct"/>
                  <w:vMerge w:val="continue"/>
                  <w:noWrap w:val="0"/>
                  <w:vAlign w:val="center"/>
                </w:tcPr>
                <w:p w14:paraId="61A42F9B">
                  <w:pPr>
                    <w:keepNext w:val="0"/>
                    <w:keepLines w:val="0"/>
                    <w:widowControl/>
                    <w:suppressLineNumbers w:val="0"/>
                    <w:jc w:val="center"/>
                    <w:textAlignment w:val="center"/>
                    <w:rPr>
                      <w:rFonts w:hint="default" w:cs="Times New Roman"/>
                      <w:i w:val="0"/>
                      <w:color w:val="auto"/>
                      <w:kern w:val="0"/>
                      <w:sz w:val="21"/>
                      <w:szCs w:val="21"/>
                      <w:highlight w:val="none"/>
                      <w:u w:val="none"/>
                      <w:lang w:val="en-US" w:eastAsia="zh-CN" w:bidi="ar"/>
                    </w:rPr>
                  </w:pPr>
                </w:p>
              </w:tc>
            </w:tr>
          </w:tbl>
          <w:p w14:paraId="74C8A968">
            <w:pPr>
              <w:pStyle w:val="124"/>
              <w:keepNext w:val="0"/>
              <w:keepLines w:val="0"/>
              <w:pageBreakBefore w:val="0"/>
              <w:widowControl w:val="0"/>
              <w:kinsoku/>
              <w:wordWrap/>
              <w:overflowPunct/>
              <w:topLinePunct w:val="0"/>
              <w:autoSpaceDE/>
              <w:autoSpaceDN/>
              <w:bidi w:val="0"/>
              <w:adjustRightInd/>
              <w:snapToGrid/>
              <w:textAlignment w:val="auto"/>
              <w:rPr>
                <w:rFonts w:hint="default"/>
                <w:b/>
                <w:bCs/>
                <w:color w:val="000000"/>
                <w:lang w:val="en-US" w:eastAsia="zh-CN"/>
              </w:rPr>
            </w:pPr>
            <w:r>
              <w:rPr>
                <w:rFonts w:hint="eastAsia" w:eastAsia="宋体" w:cs="Times New Roman"/>
                <w:b/>
                <w:bCs/>
                <w:color w:val="000000"/>
                <w:lang w:val="en-US" w:eastAsia="zh-CN"/>
              </w:rPr>
              <w:t>6</w:t>
            </w:r>
            <w:r>
              <w:rPr>
                <w:rFonts w:hint="eastAsia" w:ascii="Times New Roman" w:hAnsi="Times New Roman" w:eastAsia="宋体" w:cs="Times New Roman"/>
                <w:b/>
                <w:bCs/>
                <w:color w:val="000000"/>
                <w:lang w:val="en-US" w:eastAsia="zh-CN"/>
              </w:rPr>
              <w:t>、</w:t>
            </w:r>
            <w:r>
              <w:rPr>
                <w:rFonts w:hint="eastAsia" w:ascii="Times New Roman" w:hAnsi="Times New Roman" w:eastAsia="宋体" w:cs="Times New Roman"/>
                <w:b/>
                <w:bCs/>
                <w:color w:val="auto"/>
                <w:kern w:val="2"/>
                <w:sz w:val="24"/>
                <w:szCs w:val="24"/>
                <w:highlight w:val="none"/>
                <w:lang w:val="en-US" w:eastAsia="zh-CN" w:bidi="ar-SA"/>
              </w:rPr>
              <w:t>废气污染物排放执行标准信息表</w:t>
            </w:r>
          </w:p>
          <w:p w14:paraId="658C9BE8">
            <w:pPr>
              <w:pStyle w:val="145"/>
              <w:keepNext w:val="0"/>
              <w:keepLines w:val="0"/>
              <w:pageBreakBefore w:val="0"/>
              <w:widowControl w:val="0"/>
              <w:kinsoku/>
              <w:wordWrap/>
              <w:overflowPunct/>
              <w:topLinePunct w:val="0"/>
              <w:autoSpaceDE/>
              <w:autoSpaceDN/>
              <w:bidi w:val="0"/>
              <w:adjustRightInd w:val="0"/>
              <w:snapToGrid/>
              <w:spacing w:before="0" w:line="240" w:lineRule="auto"/>
              <w:textAlignment w:val="auto"/>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表4-</w:t>
            </w:r>
            <w:r>
              <w:rPr>
                <w:rFonts w:hint="eastAsia" w:eastAsia="宋体" w:cs="Times New Roman"/>
                <w:b/>
                <w:color w:val="auto"/>
                <w:kern w:val="2"/>
                <w:sz w:val="21"/>
                <w:szCs w:val="21"/>
                <w:highlight w:val="none"/>
                <w:lang w:val="en-US" w:eastAsia="zh-CN" w:bidi="ar-SA"/>
              </w:rPr>
              <w:t>9</w:t>
            </w:r>
            <w:r>
              <w:rPr>
                <w:rFonts w:hint="eastAsia" w:ascii="Times New Roman" w:hAnsi="Times New Roman" w:eastAsia="宋体" w:cs="Times New Roman"/>
                <w:b/>
                <w:color w:val="auto"/>
                <w:kern w:val="2"/>
                <w:sz w:val="21"/>
                <w:szCs w:val="21"/>
                <w:highlight w:val="none"/>
                <w:lang w:val="en-US" w:eastAsia="zh-CN" w:bidi="ar-SA"/>
              </w:rPr>
              <w:t xml:space="preserve">  有组织排放执行标准</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86"/>
              <w:gridCol w:w="1668"/>
              <w:gridCol w:w="2818"/>
              <w:gridCol w:w="2418"/>
            </w:tblGrid>
            <w:tr w14:paraId="3CF05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5" w:type="pct"/>
                  <w:vMerge w:val="restart"/>
                  <w:tcBorders>
                    <w:tl2br w:val="nil"/>
                    <w:tr2bl w:val="nil"/>
                  </w:tcBorders>
                  <w:noWrap w:val="0"/>
                  <w:vAlign w:val="center"/>
                </w:tcPr>
                <w:p w14:paraId="276220DE">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排放口编号</w:t>
                  </w:r>
                </w:p>
              </w:tc>
              <w:tc>
                <w:tcPr>
                  <w:tcW w:w="1018" w:type="pct"/>
                  <w:vMerge w:val="restart"/>
                  <w:tcBorders>
                    <w:tl2br w:val="nil"/>
                    <w:tr2bl w:val="nil"/>
                  </w:tcBorders>
                  <w:noWrap w:val="0"/>
                  <w:vAlign w:val="center"/>
                </w:tcPr>
                <w:p w14:paraId="0149F1A9">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3196" w:type="pct"/>
                  <w:gridSpan w:val="2"/>
                  <w:tcBorders>
                    <w:tl2br w:val="nil"/>
                    <w:tr2bl w:val="nil"/>
                  </w:tcBorders>
                  <w:noWrap w:val="0"/>
                  <w:vAlign w:val="center"/>
                </w:tcPr>
                <w:p w14:paraId="3924971E">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国家或地方污染物排放标准</w:t>
                  </w:r>
                </w:p>
              </w:tc>
            </w:tr>
            <w:tr w14:paraId="7C740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5" w:type="pct"/>
                  <w:vMerge w:val="continue"/>
                  <w:tcBorders>
                    <w:tl2br w:val="nil"/>
                    <w:tr2bl w:val="nil"/>
                  </w:tcBorders>
                  <w:noWrap w:val="0"/>
                  <w:vAlign w:val="center"/>
                </w:tcPr>
                <w:p w14:paraId="0B6AC0B4">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p>
              </w:tc>
              <w:tc>
                <w:tcPr>
                  <w:tcW w:w="1018" w:type="pct"/>
                  <w:vMerge w:val="continue"/>
                  <w:tcBorders>
                    <w:tl2br w:val="nil"/>
                    <w:tr2bl w:val="nil"/>
                  </w:tcBorders>
                  <w:noWrap w:val="0"/>
                  <w:vAlign w:val="center"/>
                </w:tcPr>
                <w:p w14:paraId="5F0A89CF">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p>
              </w:tc>
              <w:tc>
                <w:tcPr>
                  <w:tcW w:w="1720" w:type="pct"/>
                  <w:tcBorders>
                    <w:tl2br w:val="nil"/>
                    <w:tr2bl w:val="nil"/>
                  </w:tcBorders>
                  <w:noWrap w:val="0"/>
                  <w:vAlign w:val="center"/>
                </w:tcPr>
                <w:p w14:paraId="4F2CB0B8">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476" w:type="pct"/>
                  <w:tcBorders>
                    <w:tl2br w:val="nil"/>
                    <w:tr2bl w:val="nil"/>
                  </w:tcBorders>
                  <w:noWrap w:val="0"/>
                  <w:vAlign w:val="center"/>
                </w:tcPr>
                <w:p w14:paraId="6B5CC194">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浓度限值(mg/m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r>
            <w:tr w14:paraId="65A17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5" w:type="pct"/>
                  <w:vMerge w:val="restart"/>
                  <w:tcBorders>
                    <w:tl2br w:val="nil"/>
                    <w:tr2bl w:val="nil"/>
                  </w:tcBorders>
                  <w:noWrap w:val="0"/>
                  <w:vAlign w:val="center"/>
                </w:tcPr>
                <w:p w14:paraId="7CBE5F46">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DA001</w:t>
                  </w:r>
                  <w:r>
                    <w:rPr>
                      <w:rFonts w:hint="eastAsia" w:cs="Times New Roman"/>
                      <w:color w:val="auto"/>
                      <w:sz w:val="21"/>
                      <w:szCs w:val="21"/>
                      <w:highlight w:val="none"/>
                      <w:lang w:val="en-US" w:eastAsia="zh-CN"/>
                    </w:rPr>
                    <w:t>-DA004、DA007-DA014</w:t>
                  </w:r>
                </w:p>
              </w:tc>
              <w:tc>
                <w:tcPr>
                  <w:tcW w:w="1018" w:type="pct"/>
                  <w:tcBorders>
                    <w:tl2br w:val="nil"/>
                    <w:tr2bl w:val="nil"/>
                  </w:tcBorders>
                  <w:noWrap w:val="0"/>
                  <w:vAlign w:val="center"/>
                </w:tcPr>
                <w:p w14:paraId="747AE7E8">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油烟</w:t>
                  </w:r>
                </w:p>
              </w:tc>
              <w:tc>
                <w:tcPr>
                  <w:tcW w:w="1720" w:type="pct"/>
                  <w:tcBorders>
                    <w:tl2br w:val="nil"/>
                    <w:tr2bl w:val="nil"/>
                  </w:tcBorders>
                  <w:noWrap w:val="0"/>
                  <w:vAlign w:val="center"/>
                </w:tcPr>
                <w:p w14:paraId="5D306713">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饮食业油烟排放标准》（</w:t>
                  </w:r>
                  <w:r>
                    <w:rPr>
                      <w:rFonts w:hint="default" w:ascii="Times New Roman" w:hAnsi="Times New Roman" w:eastAsia="宋体" w:cs="Times New Roman"/>
                      <w:i w:val="0"/>
                      <w:iCs w:val="0"/>
                      <w:color w:val="auto"/>
                      <w:kern w:val="0"/>
                      <w:sz w:val="21"/>
                      <w:szCs w:val="21"/>
                      <w:u w:val="none"/>
                      <w:lang w:val="en-US" w:eastAsia="zh-CN" w:bidi="ar"/>
                    </w:rPr>
                    <w:t>GB18483-2001</w:t>
                  </w:r>
                  <w:r>
                    <w:rPr>
                      <w:rFonts w:hint="eastAsia" w:ascii="宋体" w:hAnsi="宋体" w:eastAsia="宋体" w:cs="宋体"/>
                      <w:i w:val="0"/>
                      <w:iCs w:val="0"/>
                      <w:color w:val="auto"/>
                      <w:kern w:val="0"/>
                      <w:sz w:val="21"/>
                      <w:szCs w:val="21"/>
                      <w:u w:val="none"/>
                      <w:lang w:val="en-US" w:eastAsia="zh-CN" w:bidi="ar"/>
                    </w:rPr>
                    <w:t>）表</w:t>
                  </w: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大型规模标准</w:t>
                  </w:r>
                </w:p>
              </w:tc>
              <w:tc>
                <w:tcPr>
                  <w:tcW w:w="1476" w:type="pct"/>
                  <w:tcBorders>
                    <w:tl2br w:val="nil"/>
                    <w:tr2bl w:val="nil"/>
                  </w:tcBorders>
                  <w:noWrap w:val="0"/>
                  <w:vAlign w:val="center"/>
                </w:tcPr>
                <w:p w14:paraId="13951C2A">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Cs w:val="21"/>
                      <w:lang w:val="en-US" w:eastAsia="zh-CN"/>
                    </w:rPr>
                    <w:t>2.0</w:t>
                  </w:r>
                </w:p>
              </w:tc>
            </w:tr>
            <w:tr w14:paraId="092F1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5" w:type="pct"/>
                  <w:vMerge w:val="continue"/>
                  <w:tcBorders>
                    <w:tl2br w:val="nil"/>
                    <w:tr2bl w:val="nil"/>
                  </w:tcBorders>
                  <w:noWrap w:val="0"/>
                  <w:vAlign w:val="center"/>
                </w:tcPr>
                <w:p w14:paraId="7847BE9C">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color w:val="auto"/>
                      <w:sz w:val="21"/>
                      <w:szCs w:val="21"/>
                      <w:highlight w:val="none"/>
                    </w:rPr>
                  </w:pPr>
                </w:p>
              </w:tc>
              <w:tc>
                <w:tcPr>
                  <w:tcW w:w="1018" w:type="pct"/>
                  <w:tcBorders>
                    <w:tl2br w:val="nil"/>
                    <w:tr2bl w:val="nil"/>
                  </w:tcBorders>
                  <w:noWrap w:val="0"/>
                  <w:vAlign w:val="center"/>
                </w:tcPr>
                <w:p w14:paraId="45B08A98">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颗粒物</w:t>
                  </w:r>
                </w:p>
              </w:tc>
              <w:tc>
                <w:tcPr>
                  <w:tcW w:w="1720" w:type="pct"/>
                  <w:vMerge w:val="restart"/>
                  <w:tcBorders>
                    <w:tl2br w:val="nil"/>
                    <w:tr2bl w:val="nil"/>
                  </w:tcBorders>
                  <w:noWrap w:val="0"/>
                  <w:vAlign w:val="center"/>
                </w:tcPr>
                <w:p w14:paraId="1FBAA650">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color w:val="auto"/>
                      <w:kern w:val="0"/>
                      <w:szCs w:val="21"/>
                      <w:lang w:eastAsia="zh-CN"/>
                    </w:rPr>
                  </w:pPr>
                  <w:r>
                    <w:rPr>
                      <w:rFonts w:hint="eastAsia" w:ascii="Times New Roman" w:eastAsia="宋体" w:cs="Times New Roman"/>
                      <w:color w:val="000000"/>
                      <w:sz w:val="21"/>
                      <w:szCs w:val="21"/>
                      <w:lang w:val="en-US" w:eastAsia="zh-CN"/>
                    </w:rPr>
                    <w:t>《大气污染物综合排放标准》（GB16297-1996）</w:t>
                  </w:r>
                  <w:r>
                    <w:rPr>
                      <w:rFonts w:hint="default" w:ascii="Times New Roman" w:hAnsi="Times New Roman" w:eastAsia="宋体" w:cs="Times New Roman"/>
                      <w:color w:val="000000"/>
                      <w:sz w:val="21"/>
                      <w:szCs w:val="21"/>
                      <w:lang w:val="en-US" w:eastAsia="zh-CN"/>
                    </w:rPr>
                    <w:t>中</w:t>
                  </w:r>
                  <w:r>
                    <w:rPr>
                      <w:rFonts w:hint="eastAsia" w:ascii="Times New Roman" w:hAnsi="Times New Roman" w:eastAsia="宋体" w:cs="Times New Roman"/>
                      <w:color w:val="000000"/>
                      <w:sz w:val="21"/>
                      <w:szCs w:val="21"/>
                      <w:lang w:val="en-US" w:eastAsia="zh-CN"/>
                    </w:rPr>
                    <w:t>表2</w:t>
                  </w:r>
                  <w:r>
                    <w:rPr>
                      <w:rFonts w:hint="default" w:ascii="Times New Roman" w:hAnsi="Times New Roman" w:eastAsia="宋体" w:cs="Times New Roman"/>
                      <w:color w:val="000000"/>
                      <w:sz w:val="21"/>
                      <w:szCs w:val="21"/>
                      <w:lang w:val="en-US" w:eastAsia="zh-CN"/>
                    </w:rPr>
                    <w:t>二级排放标准</w:t>
                  </w:r>
                </w:p>
              </w:tc>
              <w:tc>
                <w:tcPr>
                  <w:tcW w:w="2418" w:type="dxa"/>
                  <w:tcBorders>
                    <w:tl2br w:val="nil"/>
                    <w:tr2bl w:val="nil"/>
                  </w:tcBorders>
                  <w:noWrap w:val="0"/>
                  <w:vAlign w:val="center"/>
                </w:tcPr>
                <w:p w14:paraId="5BD414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000000"/>
                      <w:lang w:val="en-US" w:eastAsia="zh-CN"/>
                    </w:rPr>
                    <w:t>120</w:t>
                  </w:r>
                </w:p>
              </w:tc>
            </w:tr>
            <w:tr w14:paraId="531E5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5" w:type="pct"/>
                  <w:vMerge w:val="continue"/>
                  <w:tcBorders>
                    <w:tl2br w:val="nil"/>
                    <w:tr2bl w:val="nil"/>
                  </w:tcBorders>
                  <w:noWrap w:val="0"/>
                  <w:vAlign w:val="center"/>
                </w:tcPr>
                <w:p w14:paraId="682A0A49">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color w:val="auto"/>
                      <w:sz w:val="21"/>
                      <w:szCs w:val="21"/>
                      <w:highlight w:val="none"/>
                    </w:rPr>
                  </w:pPr>
                </w:p>
              </w:tc>
              <w:tc>
                <w:tcPr>
                  <w:tcW w:w="1018" w:type="pct"/>
                  <w:tcBorders>
                    <w:tl2br w:val="nil"/>
                    <w:tr2bl w:val="nil"/>
                  </w:tcBorders>
                  <w:noWrap w:val="0"/>
                  <w:vAlign w:val="center"/>
                </w:tcPr>
                <w:p w14:paraId="0A565A2C">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kern w:val="0"/>
                      <w:szCs w:val="21"/>
                      <w:lang w:val="en-US" w:eastAsia="zh-CN"/>
                    </w:rPr>
                  </w:pPr>
                  <w:r>
                    <w:rPr>
                      <w:rFonts w:hint="eastAsia" w:ascii="Times New Roman" w:cs="Times New Roman"/>
                      <w:color w:val="auto"/>
                      <w:sz w:val="21"/>
                      <w:szCs w:val="21"/>
                      <w:highlight w:val="none"/>
                      <w:lang w:val="en-US" w:eastAsia="zh-CN"/>
                    </w:rPr>
                    <w:t>二氧化硫</w:t>
                  </w:r>
                </w:p>
              </w:tc>
              <w:tc>
                <w:tcPr>
                  <w:tcW w:w="1720" w:type="pct"/>
                  <w:vMerge w:val="continue"/>
                  <w:tcBorders>
                    <w:tl2br w:val="nil"/>
                    <w:tr2bl w:val="nil"/>
                  </w:tcBorders>
                  <w:noWrap w:val="0"/>
                  <w:vAlign w:val="center"/>
                </w:tcPr>
                <w:p w14:paraId="67F37C6B">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color w:val="auto"/>
                      <w:kern w:val="0"/>
                      <w:szCs w:val="21"/>
                      <w:lang w:eastAsia="zh-CN"/>
                    </w:rPr>
                  </w:pPr>
                </w:p>
              </w:tc>
              <w:tc>
                <w:tcPr>
                  <w:tcW w:w="2418" w:type="dxa"/>
                  <w:tcBorders>
                    <w:tl2br w:val="nil"/>
                    <w:tr2bl w:val="nil"/>
                  </w:tcBorders>
                  <w:noWrap w:val="0"/>
                  <w:vAlign w:val="center"/>
                </w:tcPr>
                <w:p w14:paraId="45D104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kern w:val="0"/>
                      <w:szCs w:val="21"/>
                      <w:lang w:val="en-US" w:eastAsia="zh-CN"/>
                    </w:rPr>
                  </w:pPr>
                  <w:r>
                    <w:rPr>
                      <w:rFonts w:hint="eastAsia" w:cs="Times New Roman"/>
                      <w:color w:val="000000"/>
                      <w:lang w:val="en-US" w:eastAsia="zh-CN"/>
                    </w:rPr>
                    <w:t>550</w:t>
                  </w:r>
                </w:p>
              </w:tc>
            </w:tr>
            <w:tr w14:paraId="54AB4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5" w:type="pct"/>
                  <w:vMerge w:val="continue"/>
                  <w:tcBorders>
                    <w:tl2br w:val="nil"/>
                    <w:tr2bl w:val="nil"/>
                  </w:tcBorders>
                  <w:noWrap w:val="0"/>
                  <w:vAlign w:val="center"/>
                </w:tcPr>
                <w:p w14:paraId="1A1B9C00">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color w:val="auto"/>
                      <w:sz w:val="21"/>
                      <w:szCs w:val="21"/>
                      <w:highlight w:val="none"/>
                    </w:rPr>
                  </w:pPr>
                </w:p>
              </w:tc>
              <w:tc>
                <w:tcPr>
                  <w:tcW w:w="1018" w:type="pct"/>
                  <w:tcBorders>
                    <w:tl2br w:val="nil"/>
                    <w:tr2bl w:val="nil"/>
                  </w:tcBorders>
                  <w:noWrap w:val="0"/>
                  <w:vAlign w:val="center"/>
                </w:tcPr>
                <w:p w14:paraId="3366A413">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kern w:val="0"/>
                      <w:szCs w:val="21"/>
                      <w:lang w:val="en-US" w:eastAsia="zh-CN"/>
                    </w:rPr>
                  </w:pPr>
                  <w:r>
                    <w:rPr>
                      <w:rFonts w:hint="eastAsia" w:ascii="Times New Roman" w:cs="Times New Roman"/>
                      <w:color w:val="auto"/>
                      <w:sz w:val="21"/>
                      <w:szCs w:val="21"/>
                      <w:highlight w:val="none"/>
                      <w:lang w:val="en-US" w:eastAsia="zh-CN"/>
                    </w:rPr>
                    <w:t>氮氧化物</w:t>
                  </w:r>
                </w:p>
              </w:tc>
              <w:tc>
                <w:tcPr>
                  <w:tcW w:w="1720" w:type="pct"/>
                  <w:vMerge w:val="continue"/>
                  <w:tcBorders>
                    <w:tl2br w:val="nil"/>
                    <w:tr2bl w:val="nil"/>
                  </w:tcBorders>
                  <w:noWrap w:val="0"/>
                  <w:vAlign w:val="center"/>
                </w:tcPr>
                <w:p w14:paraId="485A0691">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color w:val="auto"/>
                      <w:kern w:val="0"/>
                      <w:szCs w:val="21"/>
                      <w:lang w:eastAsia="zh-CN"/>
                    </w:rPr>
                  </w:pPr>
                </w:p>
              </w:tc>
              <w:tc>
                <w:tcPr>
                  <w:tcW w:w="2418" w:type="dxa"/>
                  <w:tcBorders>
                    <w:tl2br w:val="nil"/>
                    <w:tr2bl w:val="nil"/>
                  </w:tcBorders>
                  <w:noWrap w:val="0"/>
                  <w:vAlign w:val="center"/>
                </w:tcPr>
                <w:p w14:paraId="25E72A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kern w:val="0"/>
                      <w:szCs w:val="21"/>
                      <w:lang w:val="en-US" w:eastAsia="zh-CN"/>
                    </w:rPr>
                  </w:pPr>
                  <w:r>
                    <w:rPr>
                      <w:rFonts w:hint="eastAsia" w:cs="Times New Roman"/>
                      <w:color w:val="000000"/>
                      <w:lang w:val="en-US" w:eastAsia="zh-CN"/>
                    </w:rPr>
                    <w:t>240</w:t>
                  </w:r>
                </w:p>
              </w:tc>
            </w:tr>
            <w:tr w14:paraId="73091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5" w:type="pct"/>
                  <w:vMerge w:val="restart"/>
                  <w:tcBorders>
                    <w:tl2br w:val="nil"/>
                    <w:tr2bl w:val="nil"/>
                  </w:tcBorders>
                  <w:noWrap w:val="0"/>
                  <w:vAlign w:val="center"/>
                </w:tcPr>
                <w:p w14:paraId="125E803F">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DA00</w:t>
                  </w:r>
                  <w:r>
                    <w:rPr>
                      <w:rFonts w:hint="eastAsia" w:cs="Times New Roman"/>
                      <w:color w:val="auto"/>
                      <w:sz w:val="21"/>
                      <w:szCs w:val="21"/>
                      <w:highlight w:val="none"/>
                      <w:lang w:val="en-US" w:eastAsia="zh-CN"/>
                    </w:rPr>
                    <w:t>5、DA006、DA015、DA016</w:t>
                  </w:r>
                </w:p>
              </w:tc>
              <w:tc>
                <w:tcPr>
                  <w:tcW w:w="1668" w:type="dxa"/>
                  <w:tcBorders>
                    <w:tl2br w:val="nil"/>
                    <w:tr2bl w:val="nil"/>
                  </w:tcBorders>
                  <w:noWrap w:val="0"/>
                  <w:vAlign w:val="center"/>
                </w:tcPr>
                <w:p w14:paraId="3C840D91">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颗粒物</w:t>
                  </w:r>
                </w:p>
              </w:tc>
              <w:tc>
                <w:tcPr>
                  <w:tcW w:w="2818" w:type="dxa"/>
                  <w:vMerge w:val="restart"/>
                  <w:tcBorders>
                    <w:tl2br w:val="nil"/>
                    <w:tr2bl w:val="nil"/>
                  </w:tcBorders>
                  <w:noWrap w:val="0"/>
                  <w:vAlign w:val="center"/>
                </w:tcPr>
                <w:p w14:paraId="7029C97C">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color w:val="auto"/>
                      <w:kern w:val="0"/>
                      <w:szCs w:val="21"/>
                      <w:lang w:eastAsia="zh-CN"/>
                    </w:rPr>
                  </w:pPr>
                  <w:r>
                    <w:rPr>
                      <w:rFonts w:hint="eastAsia" w:ascii="Times New Roman" w:hAnsi="Times New Roman" w:eastAsia="宋体" w:cs="Times New Roman"/>
                      <w:color w:val="auto"/>
                      <w:kern w:val="0"/>
                      <w:sz w:val="21"/>
                      <w:szCs w:val="21"/>
                      <w:lang w:val="en-US" w:eastAsia="zh-CN" w:bidi="ar-SA"/>
                    </w:rPr>
                    <w:t>《锅炉大气污染物排放标准》（</w:t>
                  </w:r>
                  <w:r>
                    <w:rPr>
                      <w:rFonts w:hint="default" w:ascii="Times New Roman" w:hAnsi="Times New Roman" w:eastAsia="宋体" w:cs="Times New Roman"/>
                      <w:color w:val="auto"/>
                      <w:kern w:val="0"/>
                      <w:sz w:val="21"/>
                      <w:szCs w:val="21"/>
                      <w:lang w:val="en-US" w:eastAsia="zh-CN" w:bidi="ar-SA"/>
                    </w:rPr>
                    <w:t>GB13271-2014</w:t>
                  </w:r>
                  <w:r>
                    <w:rPr>
                      <w:rFonts w:hint="eastAsia" w:ascii="Times New Roman" w:hAnsi="Times New Roman" w:eastAsia="宋体" w:cs="Times New Roman"/>
                      <w:color w:val="auto"/>
                      <w:kern w:val="0"/>
                      <w:sz w:val="21"/>
                      <w:szCs w:val="21"/>
                      <w:lang w:val="en-US" w:eastAsia="zh-CN" w:bidi="ar-SA"/>
                    </w:rPr>
                    <w:t>）中表</w:t>
                  </w:r>
                  <w:r>
                    <w:rPr>
                      <w:rFonts w:hint="default" w:ascii="Times New Roman" w:hAnsi="Times New Roman" w:eastAsia="宋体" w:cs="Times New Roman"/>
                      <w:color w:val="auto"/>
                      <w:kern w:val="0"/>
                      <w:sz w:val="21"/>
                      <w:szCs w:val="21"/>
                      <w:lang w:val="en-US" w:eastAsia="zh-CN" w:bidi="ar-SA"/>
                    </w:rPr>
                    <w:t>2</w:t>
                  </w:r>
                  <w:r>
                    <w:rPr>
                      <w:rFonts w:hint="eastAsia" w:ascii="Times New Roman" w:hAnsi="Times New Roman" w:eastAsia="宋体" w:cs="Times New Roman"/>
                      <w:color w:val="auto"/>
                      <w:kern w:val="0"/>
                      <w:sz w:val="21"/>
                      <w:szCs w:val="21"/>
                      <w:lang w:val="en-US" w:eastAsia="zh-CN" w:bidi="ar-SA"/>
                    </w:rPr>
                    <w:t>燃气锅炉标准</w:t>
                  </w:r>
                </w:p>
              </w:tc>
              <w:tc>
                <w:tcPr>
                  <w:tcW w:w="2418" w:type="dxa"/>
                  <w:tcBorders>
                    <w:tl2br w:val="nil"/>
                    <w:tr2bl w:val="nil"/>
                  </w:tcBorders>
                  <w:noWrap w:val="0"/>
                  <w:vAlign w:val="center"/>
                </w:tcPr>
                <w:p w14:paraId="3D7E6D2C">
                  <w:pPr>
                    <w:widowControl/>
                    <w:jc w:val="center"/>
                    <w:rPr>
                      <w:rFonts w:hint="default" w:cs="Times New Roman"/>
                      <w:color w:val="auto"/>
                      <w:sz w:val="21"/>
                      <w:szCs w:val="21"/>
                      <w:highlight w:val="none"/>
                      <w:lang w:val="en-US" w:eastAsia="zh-CN"/>
                    </w:rPr>
                  </w:pPr>
                  <w:r>
                    <w:rPr>
                      <w:rFonts w:hint="eastAsia" w:cs="Times New Roman"/>
                      <w:color w:val="auto"/>
                      <w:kern w:val="0"/>
                      <w:szCs w:val="21"/>
                      <w:lang w:val="en-US" w:eastAsia="zh-CN"/>
                    </w:rPr>
                    <w:t>25</w:t>
                  </w:r>
                </w:p>
              </w:tc>
            </w:tr>
            <w:tr w14:paraId="770EC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5" w:type="pct"/>
                  <w:vMerge w:val="continue"/>
                  <w:tcBorders>
                    <w:tl2br w:val="nil"/>
                    <w:tr2bl w:val="nil"/>
                  </w:tcBorders>
                  <w:noWrap w:val="0"/>
                  <w:vAlign w:val="center"/>
                </w:tcPr>
                <w:p w14:paraId="627F3F4A">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color w:val="auto"/>
                      <w:sz w:val="21"/>
                      <w:szCs w:val="21"/>
                      <w:highlight w:val="none"/>
                    </w:rPr>
                  </w:pPr>
                </w:p>
              </w:tc>
              <w:tc>
                <w:tcPr>
                  <w:tcW w:w="1668" w:type="dxa"/>
                  <w:tcBorders>
                    <w:tl2br w:val="nil"/>
                    <w:tr2bl w:val="nil"/>
                  </w:tcBorders>
                  <w:noWrap w:val="0"/>
                  <w:vAlign w:val="center"/>
                </w:tcPr>
                <w:p w14:paraId="172A5B47">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kern w:val="0"/>
                      <w:szCs w:val="21"/>
                      <w:lang w:val="en-US" w:eastAsia="zh-CN"/>
                    </w:rPr>
                  </w:pPr>
                  <w:r>
                    <w:rPr>
                      <w:rFonts w:hint="eastAsia" w:ascii="Times New Roman" w:cs="Times New Roman"/>
                      <w:color w:val="auto"/>
                      <w:sz w:val="21"/>
                      <w:szCs w:val="21"/>
                      <w:highlight w:val="none"/>
                      <w:lang w:val="en-US" w:eastAsia="zh-CN"/>
                    </w:rPr>
                    <w:t>二氧化硫</w:t>
                  </w:r>
                </w:p>
              </w:tc>
              <w:tc>
                <w:tcPr>
                  <w:tcW w:w="2818" w:type="dxa"/>
                  <w:vMerge w:val="continue"/>
                  <w:tcBorders>
                    <w:tl2br w:val="nil"/>
                    <w:tr2bl w:val="nil"/>
                  </w:tcBorders>
                  <w:noWrap w:val="0"/>
                  <w:vAlign w:val="center"/>
                </w:tcPr>
                <w:p w14:paraId="6A2DA39E">
                  <w:pPr>
                    <w:pStyle w:val="146"/>
                    <w:keepNext w:val="0"/>
                    <w:keepLines w:val="0"/>
                    <w:pageBreakBefore w:val="0"/>
                    <w:kinsoku/>
                    <w:wordWrap/>
                    <w:overflowPunct/>
                    <w:topLinePunct w:val="0"/>
                    <w:autoSpaceDE/>
                    <w:autoSpaceDN/>
                    <w:bidi w:val="0"/>
                    <w:snapToGrid/>
                    <w:spacing w:before="0" w:beforeLines="0" w:line="240" w:lineRule="auto"/>
                    <w:rPr>
                      <w:rFonts w:hint="eastAsia" w:ascii="Times New Roman" w:eastAsia="宋体" w:cs="Times New Roman"/>
                      <w:color w:val="auto"/>
                      <w:lang w:val="en-US" w:eastAsia="zh-CN"/>
                    </w:rPr>
                  </w:pPr>
                </w:p>
              </w:tc>
              <w:tc>
                <w:tcPr>
                  <w:tcW w:w="2418" w:type="dxa"/>
                  <w:tcBorders>
                    <w:tl2br w:val="nil"/>
                    <w:tr2bl w:val="nil"/>
                  </w:tcBorders>
                  <w:noWrap w:val="0"/>
                  <w:vAlign w:val="center"/>
                </w:tcPr>
                <w:p w14:paraId="75560F71">
                  <w:pPr>
                    <w:widowControl/>
                    <w:jc w:val="center"/>
                    <w:rPr>
                      <w:rFonts w:hint="eastAsia" w:cs="Times New Roman"/>
                      <w:color w:val="auto"/>
                      <w:sz w:val="21"/>
                      <w:szCs w:val="21"/>
                      <w:highlight w:val="none"/>
                      <w:lang w:val="en-US" w:eastAsia="zh-CN"/>
                    </w:rPr>
                  </w:pPr>
                  <w:r>
                    <w:rPr>
                      <w:rFonts w:hint="eastAsia" w:cs="Times New Roman"/>
                      <w:color w:val="auto"/>
                      <w:kern w:val="0"/>
                      <w:szCs w:val="21"/>
                      <w:lang w:val="en-US" w:eastAsia="zh-CN"/>
                    </w:rPr>
                    <w:t>50</w:t>
                  </w:r>
                </w:p>
              </w:tc>
            </w:tr>
            <w:tr w14:paraId="54C61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5" w:type="pct"/>
                  <w:vMerge w:val="continue"/>
                  <w:tcBorders>
                    <w:tl2br w:val="nil"/>
                    <w:tr2bl w:val="nil"/>
                  </w:tcBorders>
                  <w:noWrap w:val="0"/>
                  <w:vAlign w:val="center"/>
                </w:tcPr>
                <w:p w14:paraId="5FCF7D1F">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color w:val="auto"/>
                      <w:sz w:val="21"/>
                      <w:szCs w:val="21"/>
                      <w:highlight w:val="none"/>
                    </w:rPr>
                  </w:pPr>
                </w:p>
              </w:tc>
              <w:tc>
                <w:tcPr>
                  <w:tcW w:w="1668" w:type="dxa"/>
                  <w:tcBorders>
                    <w:tl2br w:val="nil"/>
                    <w:tr2bl w:val="nil"/>
                  </w:tcBorders>
                  <w:noWrap w:val="0"/>
                  <w:vAlign w:val="center"/>
                </w:tcPr>
                <w:p w14:paraId="7BE21C72">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firstLine="0" w:firstLineChars="0"/>
                    <w:jc w:val="center"/>
                    <w:textAlignment w:val="auto"/>
                    <w:rPr>
                      <w:rFonts w:hint="eastAsia" w:cs="Times New Roman"/>
                      <w:color w:val="auto"/>
                      <w:kern w:val="0"/>
                      <w:szCs w:val="21"/>
                      <w:lang w:val="en-US" w:eastAsia="zh-CN"/>
                    </w:rPr>
                  </w:pPr>
                  <w:r>
                    <w:rPr>
                      <w:rFonts w:hint="eastAsia" w:ascii="Times New Roman" w:cs="Times New Roman"/>
                      <w:color w:val="auto"/>
                      <w:sz w:val="21"/>
                      <w:szCs w:val="21"/>
                      <w:highlight w:val="none"/>
                      <w:lang w:val="en-US" w:eastAsia="zh-CN"/>
                    </w:rPr>
                    <w:t>氮氧化物</w:t>
                  </w:r>
                </w:p>
              </w:tc>
              <w:tc>
                <w:tcPr>
                  <w:tcW w:w="2818" w:type="dxa"/>
                  <w:vMerge w:val="continue"/>
                  <w:tcBorders>
                    <w:tl2br w:val="nil"/>
                    <w:tr2bl w:val="nil"/>
                  </w:tcBorders>
                  <w:noWrap w:val="0"/>
                  <w:vAlign w:val="center"/>
                </w:tcPr>
                <w:p w14:paraId="3AAD5C4D">
                  <w:pPr>
                    <w:pStyle w:val="146"/>
                    <w:keepNext w:val="0"/>
                    <w:keepLines w:val="0"/>
                    <w:pageBreakBefore w:val="0"/>
                    <w:kinsoku/>
                    <w:wordWrap/>
                    <w:overflowPunct/>
                    <w:topLinePunct w:val="0"/>
                    <w:autoSpaceDE/>
                    <w:autoSpaceDN/>
                    <w:bidi w:val="0"/>
                    <w:snapToGrid/>
                    <w:spacing w:before="0" w:beforeLines="0" w:line="240" w:lineRule="auto"/>
                    <w:rPr>
                      <w:rFonts w:hint="eastAsia" w:ascii="Times New Roman" w:eastAsia="宋体" w:cs="Times New Roman"/>
                      <w:color w:val="auto"/>
                      <w:lang w:val="en-US" w:eastAsia="zh-CN"/>
                    </w:rPr>
                  </w:pPr>
                </w:p>
              </w:tc>
              <w:tc>
                <w:tcPr>
                  <w:tcW w:w="2418" w:type="dxa"/>
                  <w:tcBorders>
                    <w:tl2br w:val="nil"/>
                    <w:tr2bl w:val="nil"/>
                  </w:tcBorders>
                  <w:noWrap w:val="0"/>
                  <w:vAlign w:val="center"/>
                </w:tcPr>
                <w:p w14:paraId="3A60F491">
                  <w:pPr>
                    <w:widowControl/>
                    <w:jc w:val="center"/>
                    <w:rPr>
                      <w:rFonts w:hint="eastAsia" w:cs="Times New Roman"/>
                      <w:color w:val="auto"/>
                      <w:sz w:val="21"/>
                      <w:szCs w:val="21"/>
                      <w:highlight w:val="none"/>
                      <w:lang w:val="en-US" w:eastAsia="zh-CN"/>
                    </w:rPr>
                  </w:pPr>
                  <w:r>
                    <w:rPr>
                      <w:rFonts w:hint="eastAsia" w:cs="Times New Roman"/>
                      <w:color w:val="auto"/>
                      <w:kern w:val="0"/>
                      <w:szCs w:val="21"/>
                      <w:lang w:val="en-US" w:eastAsia="zh-CN"/>
                    </w:rPr>
                    <w:t>200</w:t>
                  </w:r>
                </w:p>
              </w:tc>
            </w:tr>
          </w:tbl>
          <w:p w14:paraId="73894632">
            <w:pPr>
              <w:pStyle w:val="145"/>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表4-</w:t>
            </w:r>
            <w:r>
              <w:rPr>
                <w:rFonts w:hint="eastAsia" w:eastAsia="宋体" w:cs="Times New Roman"/>
                <w:b/>
                <w:color w:val="auto"/>
                <w:kern w:val="2"/>
                <w:sz w:val="21"/>
                <w:szCs w:val="21"/>
                <w:highlight w:val="none"/>
                <w:lang w:val="en-US" w:eastAsia="zh-CN" w:bidi="ar-SA"/>
              </w:rPr>
              <w:t xml:space="preserve">10 </w:t>
            </w:r>
            <w:r>
              <w:rPr>
                <w:rFonts w:hint="eastAsia" w:ascii="Times New Roman" w:hAnsi="Times New Roman" w:eastAsia="宋体" w:cs="Times New Roman"/>
                <w:b/>
                <w:color w:val="auto"/>
                <w:kern w:val="2"/>
                <w:sz w:val="21"/>
                <w:szCs w:val="21"/>
                <w:highlight w:val="none"/>
                <w:lang w:val="en-US" w:eastAsia="zh-CN" w:bidi="ar-SA"/>
              </w:rPr>
              <w:t xml:space="preserve"> 无组织排放执行标准</w:t>
            </w:r>
          </w:p>
          <w:tbl>
            <w:tblPr>
              <w:tblStyle w:val="34"/>
              <w:tblW w:w="49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1"/>
              <w:gridCol w:w="1250"/>
              <w:gridCol w:w="1392"/>
              <w:gridCol w:w="2376"/>
              <w:gridCol w:w="2035"/>
            </w:tblGrid>
            <w:tr w14:paraId="2A32E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01" w:type="dxa"/>
                  <w:vMerge w:val="restart"/>
                  <w:tcBorders>
                    <w:tl2br w:val="nil"/>
                    <w:tr2bl w:val="nil"/>
                  </w:tcBorders>
                  <w:noWrap w:val="0"/>
                  <w:vAlign w:val="center"/>
                </w:tcPr>
                <w:p w14:paraId="06F20D67">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b/>
                      <w:bCs/>
                      <w:color w:val="auto"/>
                      <w:sz w:val="21"/>
                      <w:szCs w:val="21"/>
                      <w:highlight w:val="none"/>
                    </w:rPr>
                    <w:t>无组织排放编号</w:t>
                  </w:r>
                  <w:r>
                    <w:rPr>
                      <w:rFonts w:hint="eastAsia"/>
                      <w:b/>
                      <w:bCs/>
                      <w:color w:val="auto"/>
                      <w:sz w:val="21"/>
                      <w:szCs w:val="21"/>
                      <w:highlight w:val="none"/>
                    </w:rPr>
                    <w:t>/设施</w:t>
                  </w:r>
                </w:p>
              </w:tc>
              <w:tc>
                <w:tcPr>
                  <w:tcW w:w="1250" w:type="dxa"/>
                  <w:vMerge w:val="restart"/>
                  <w:tcBorders>
                    <w:tl2br w:val="nil"/>
                    <w:tr2bl w:val="nil"/>
                  </w:tcBorders>
                  <w:noWrap w:val="0"/>
                  <w:vAlign w:val="center"/>
                </w:tcPr>
                <w:p w14:paraId="47B67966">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rFonts w:hint="eastAsia"/>
                      <w:b/>
                      <w:bCs/>
                      <w:color w:val="auto"/>
                      <w:sz w:val="21"/>
                      <w:szCs w:val="21"/>
                      <w:highlight w:val="none"/>
                      <w:lang w:val="en-US" w:eastAsia="zh-CN"/>
                    </w:rPr>
                    <w:t>污染源</w:t>
                  </w:r>
                </w:p>
              </w:tc>
              <w:tc>
                <w:tcPr>
                  <w:tcW w:w="1392" w:type="dxa"/>
                  <w:vMerge w:val="restart"/>
                  <w:tcBorders>
                    <w:tl2br w:val="nil"/>
                    <w:tr2bl w:val="nil"/>
                  </w:tcBorders>
                  <w:noWrap w:val="0"/>
                  <w:vAlign w:val="center"/>
                </w:tcPr>
                <w:p w14:paraId="1E2E02AB">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b/>
                      <w:bCs/>
                      <w:color w:val="auto"/>
                      <w:sz w:val="21"/>
                      <w:szCs w:val="21"/>
                      <w:highlight w:val="none"/>
                    </w:rPr>
                    <w:t>污染物种类</w:t>
                  </w:r>
                </w:p>
              </w:tc>
              <w:tc>
                <w:tcPr>
                  <w:tcW w:w="4411" w:type="dxa"/>
                  <w:gridSpan w:val="2"/>
                  <w:tcBorders>
                    <w:tl2br w:val="nil"/>
                    <w:tr2bl w:val="nil"/>
                  </w:tcBorders>
                  <w:noWrap w:val="0"/>
                  <w:vAlign w:val="center"/>
                </w:tcPr>
                <w:p w14:paraId="236D112F">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国家或地方污染物排放标准</w:t>
                  </w:r>
                </w:p>
              </w:tc>
            </w:tr>
            <w:tr w14:paraId="1AC0F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01" w:type="dxa"/>
                  <w:vMerge w:val="continue"/>
                  <w:tcBorders>
                    <w:tl2br w:val="nil"/>
                    <w:tr2bl w:val="nil"/>
                  </w:tcBorders>
                  <w:noWrap w:val="0"/>
                  <w:vAlign w:val="center"/>
                </w:tcPr>
                <w:p w14:paraId="75C77DCE">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p>
              </w:tc>
              <w:tc>
                <w:tcPr>
                  <w:tcW w:w="1250" w:type="dxa"/>
                  <w:vMerge w:val="continue"/>
                  <w:tcBorders>
                    <w:tl2br w:val="nil"/>
                    <w:tr2bl w:val="nil"/>
                  </w:tcBorders>
                  <w:noWrap w:val="0"/>
                  <w:vAlign w:val="center"/>
                </w:tcPr>
                <w:p w14:paraId="5E1B5860">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p>
              </w:tc>
              <w:tc>
                <w:tcPr>
                  <w:tcW w:w="1392" w:type="dxa"/>
                  <w:vMerge w:val="continue"/>
                  <w:tcBorders>
                    <w:tl2br w:val="nil"/>
                    <w:tr2bl w:val="nil"/>
                  </w:tcBorders>
                  <w:noWrap w:val="0"/>
                  <w:vAlign w:val="center"/>
                </w:tcPr>
                <w:p w14:paraId="2ACDD4F0">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p>
              </w:tc>
              <w:tc>
                <w:tcPr>
                  <w:tcW w:w="2376" w:type="dxa"/>
                  <w:tcBorders>
                    <w:tl2br w:val="nil"/>
                    <w:tr2bl w:val="nil"/>
                  </w:tcBorders>
                  <w:noWrap w:val="0"/>
                  <w:vAlign w:val="center"/>
                </w:tcPr>
                <w:p w14:paraId="2A46AF1B">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2035" w:type="dxa"/>
                  <w:tcBorders>
                    <w:tl2br w:val="nil"/>
                    <w:tr2bl w:val="nil"/>
                  </w:tcBorders>
                  <w:noWrap w:val="0"/>
                  <w:vAlign w:val="center"/>
                </w:tcPr>
                <w:p w14:paraId="0B3FE15D">
                  <w:pPr>
                    <w:pStyle w:val="146"/>
                    <w:keepNext w:val="0"/>
                    <w:keepLines w:val="0"/>
                    <w:pageBreakBefore w:val="0"/>
                    <w:kinsoku/>
                    <w:wordWrap/>
                    <w:overflowPunct/>
                    <w:topLinePunct w:val="0"/>
                    <w:autoSpaceDE/>
                    <w:autoSpaceDN/>
                    <w:bidi w:val="0"/>
                    <w:snapToGrid/>
                    <w:spacing w:before="0" w:beforeLines="0"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浓度限值(mg/m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r>
            <w:tr w14:paraId="33F3E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1101" w:type="dxa"/>
                  <w:vMerge w:val="restart"/>
                  <w:tcBorders>
                    <w:tl2br w:val="nil"/>
                    <w:tr2bl w:val="nil"/>
                  </w:tcBorders>
                  <w:noWrap w:val="0"/>
                  <w:vAlign w:val="center"/>
                </w:tcPr>
                <w:p w14:paraId="383B485E">
                  <w:pPr>
                    <w:pStyle w:val="146"/>
                    <w:keepNext w:val="0"/>
                    <w:keepLines w:val="0"/>
                    <w:pageBreakBefore w:val="0"/>
                    <w:kinsoku/>
                    <w:wordWrap/>
                    <w:overflowPunct/>
                    <w:topLinePunct w:val="0"/>
                    <w:autoSpaceDE/>
                    <w:autoSpaceDN/>
                    <w:bidi w:val="0"/>
                    <w:snapToGrid/>
                    <w:spacing w:before="0" w:beforeLines="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厂界</w:t>
                  </w:r>
                </w:p>
              </w:tc>
              <w:tc>
                <w:tcPr>
                  <w:tcW w:w="1250" w:type="dxa"/>
                  <w:vMerge w:val="restart"/>
                  <w:tcBorders>
                    <w:tl2br w:val="nil"/>
                    <w:tr2bl w:val="nil"/>
                  </w:tcBorders>
                  <w:noWrap w:val="0"/>
                  <w:vAlign w:val="center"/>
                </w:tcPr>
                <w:p w14:paraId="2879EB66">
                  <w:pPr>
                    <w:pStyle w:val="146"/>
                    <w:keepNext w:val="0"/>
                    <w:keepLines w:val="0"/>
                    <w:pageBreakBefore w:val="0"/>
                    <w:kinsoku/>
                    <w:wordWrap/>
                    <w:overflowPunct/>
                    <w:topLinePunct w:val="0"/>
                    <w:autoSpaceDE/>
                    <w:autoSpaceDN/>
                    <w:bidi w:val="0"/>
                    <w:snapToGrid/>
                    <w:spacing w:before="0" w:beforeLines="0" w:line="240" w:lineRule="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污水处理站恶臭污染物</w:t>
                  </w:r>
                </w:p>
              </w:tc>
              <w:tc>
                <w:tcPr>
                  <w:tcW w:w="1392" w:type="dxa"/>
                  <w:tcBorders>
                    <w:tl2br w:val="nil"/>
                    <w:tr2bl w:val="nil"/>
                  </w:tcBorders>
                  <w:noWrap w:val="0"/>
                  <w:vAlign w:val="center"/>
                </w:tcPr>
                <w:p w14:paraId="3BD2E0A6">
                  <w:pPr>
                    <w:keepNext w:val="0"/>
                    <w:keepLines w:val="0"/>
                    <w:pageBreakBefore w:val="0"/>
                    <w:widowControl/>
                    <w:kinsoku/>
                    <w:wordWrap/>
                    <w:overflowPunct/>
                    <w:topLinePunct w:val="0"/>
                    <w:autoSpaceDE/>
                    <w:autoSpaceDN/>
                    <w:bidi w:val="0"/>
                    <w:snapToGrid/>
                    <w:jc w:val="center"/>
                    <w:rPr>
                      <w:rFonts w:hint="default" w:cs="Times New Roman"/>
                      <w:color w:val="auto"/>
                      <w:kern w:val="0"/>
                      <w:szCs w:val="21"/>
                      <w:lang w:val="en-US" w:eastAsia="zh-CN"/>
                    </w:rPr>
                  </w:pPr>
                  <w:r>
                    <w:rPr>
                      <w:rFonts w:hint="eastAsia" w:cs="Times New Roman"/>
                      <w:color w:val="auto"/>
                      <w:kern w:val="0"/>
                      <w:szCs w:val="21"/>
                      <w:lang w:val="en-US" w:eastAsia="zh-CN"/>
                    </w:rPr>
                    <w:t>硫化氢</w:t>
                  </w:r>
                </w:p>
              </w:tc>
              <w:tc>
                <w:tcPr>
                  <w:tcW w:w="2376" w:type="dxa"/>
                  <w:vMerge w:val="restart"/>
                  <w:tcBorders>
                    <w:tl2br w:val="nil"/>
                    <w:tr2bl w:val="nil"/>
                  </w:tcBorders>
                  <w:noWrap w:val="0"/>
                  <w:vAlign w:val="center"/>
                </w:tcPr>
                <w:p w14:paraId="3302D073">
                  <w:pPr>
                    <w:keepNext w:val="0"/>
                    <w:keepLines w:val="0"/>
                    <w:pageBreakBefore w:val="0"/>
                    <w:widowControl/>
                    <w:kinsoku/>
                    <w:wordWrap/>
                    <w:overflowPunct/>
                    <w:topLinePunct w:val="0"/>
                    <w:autoSpaceDE/>
                    <w:autoSpaceDN/>
                    <w:bidi w:val="0"/>
                    <w:snapToGrid/>
                    <w:spacing w:line="240" w:lineRule="auto"/>
                    <w:jc w:val="center"/>
                    <w:rPr>
                      <w:rFonts w:hint="eastAsia" w:ascii="Times New Roman" w:eastAsia="宋体" w:cs="Times New Roman"/>
                      <w:color w:val="000000"/>
                      <w:lang w:val="en-US" w:eastAsia="zh-CN"/>
                    </w:rPr>
                  </w:pPr>
                  <w:r>
                    <w:rPr>
                      <w:bCs/>
                      <w:color w:val="auto"/>
                      <w:sz w:val="21"/>
                      <w:szCs w:val="21"/>
                      <w:highlight w:val="none"/>
                    </w:rPr>
                    <w:t>《</w:t>
                  </w:r>
                  <w:r>
                    <w:rPr>
                      <w:rFonts w:hint="eastAsia"/>
                      <w:bCs/>
                      <w:color w:val="auto"/>
                      <w:sz w:val="21"/>
                      <w:szCs w:val="21"/>
                      <w:highlight w:val="none"/>
                      <w:lang w:val="en-US" w:eastAsia="zh-CN"/>
                    </w:rPr>
                    <w:t>恶臭</w:t>
                  </w:r>
                  <w:r>
                    <w:rPr>
                      <w:bCs/>
                      <w:color w:val="auto"/>
                      <w:sz w:val="21"/>
                      <w:szCs w:val="21"/>
                      <w:highlight w:val="none"/>
                    </w:rPr>
                    <w:t>污染物排放标准》（GB</w:t>
                  </w:r>
                  <w:r>
                    <w:rPr>
                      <w:rFonts w:hint="eastAsia"/>
                      <w:bCs/>
                      <w:color w:val="auto"/>
                      <w:sz w:val="21"/>
                      <w:szCs w:val="21"/>
                      <w:highlight w:val="none"/>
                      <w:lang w:val="en-US" w:eastAsia="zh-CN"/>
                    </w:rPr>
                    <w:t>14554</w:t>
                  </w:r>
                  <w:r>
                    <w:rPr>
                      <w:bCs/>
                      <w:color w:val="auto"/>
                      <w:sz w:val="21"/>
                      <w:szCs w:val="21"/>
                      <w:highlight w:val="none"/>
                    </w:rPr>
                    <w:t>-</w:t>
                  </w:r>
                  <w:r>
                    <w:rPr>
                      <w:rFonts w:hint="eastAsia"/>
                      <w:bCs/>
                      <w:color w:val="auto"/>
                      <w:sz w:val="21"/>
                      <w:szCs w:val="21"/>
                      <w:highlight w:val="none"/>
                      <w:lang w:val="en-US" w:eastAsia="zh-CN"/>
                    </w:rPr>
                    <w:t>93</w:t>
                  </w:r>
                  <w:r>
                    <w:rPr>
                      <w:bCs/>
                      <w:color w:val="auto"/>
                      <w:sz w:val="21"/>
                      <w:szCs w:val="21"/>
                      <w:highlight w:val="none"/>
                    </w:rPr>
                    <w:t>）</w:t>
                  </w:r>
                </w:p>
              </w:tc>
              <w:tc>
                <w:tcPr>
                  <w:tcW w:w="2035" w:type="dxa"/>
                  <w:tcBorders>
                    <w:tl2br w:val="nil"/>
                    <w:tr2bl w:val="nil"/>
                  </w:tcBorders>
                  <w:noWrap w:val="0"/>
                  <w:vAlign w:val="center"/>
                </w:tcPr>
                <w:p w14:paraId="2CEF05DF">
                  <w:pPr>
                    <w:keepNext w:val="0"/>
                    <w:keepLines w:val="0"/>
                    <w:pageBreakBefore w:val="0"/>
                    <w:widowControl/>
                    <w:kinsoku/>
                    <w:wordWrap/>
                    <w:overflowPunct/>
                    <w:topLinePunct w:val="0"/>
                    <w:autoSpaceDE/>
                    <w:autoSpaceDN/>
                    <w:bidi w:val="0"/>
                    <w:snapToGrid/>
                    <w:jc w:val="center"/>
                    <w:rPr>
                      <w:rFonts w:hint="default" w:cs="Times New Roman"/>
                      <w:color w:val="auto"/>
                      <w:kern w:val="0"/>
                      <w:szCs w:val="21"/>
                      <w:lang w:val="en-US" w:eastAsia="zh-CN"/>
                    </w:rPr>
                  </w:pPr>
                  <w:r>
                    <w:rPr>
                      <w:rFonts w:hint="eastAsia" w:cs="Times New Roman"/>
                      <w:color w:val="auto"/>
                      <w:kern w:val="0"/>
                      <w:szCs w:val="21"/>
                      <w:lang w:val="en-US" w:eastAsia="zh-CN"/>
                    </w:rPr>
                    <w:t>0.06</w:t>
                  </w:r>
                </w:p>
              </w:tc>
            </w:tr>
            <w:tr w14:paraId="476D9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1101" w:type="dxa"/>
                  <w:vMerge w:val="continue"/>
                  <w:tcBorders>
                    <w:tl2br w:val="nil"/>
                    <w:tr2bl w:val="nil"/>
                  </w:tcBorders>
                  <w:noWrap w:val="0"/>
                  <w:vAlign w:val="center"/>
                </w:tcPr>
                <w:p w14:paraId="334F587F">
                  <w:pPr>
                    <w:pStyle w:val="146"/>
                    <w:keepNext w:val="0"/>
                    <w:keepLines w:val="0"/>
                    <w:pageBreakBefore w:val="0"/>
                    <w:kinsoku/>
                    <w:wordWrap/>
                    <w:overflowPunct/>
                    <w:topLinePunct w:val="0"/>
                    <w:autoSpaceDE/>
                    <w:autoSpaceDN/>
                    <w:bidi w:val="0"/>
                    <w:snapToGrid/>
                    <w:spacing w:before="0" w:beforeLines="0" w:line="240" w:lineRule="auto"/>
                    <w:rPr>
                      <w:rFonts w:hint="eastAsia"/>
                      <w:color w:val="auto"/>
                      <w:sz w:val="21"/>
                      <w:szCs w:val="21"/>
                      <w:highlight w:val="none"/>
                    </w:rPr>
                  </w:pPr>
                </w:p>
              </w:tc>
              <w:tc>
                <w:tcPr>
                  <w:tcW w:w="1250" w:type="dxa"/>
                  <w:vMerge w:val="continue"/>
                  <w:tcBorders>
                    <w:tl2br w:val="nil"/>
                    <w:tr2bl w:val="nil"/>
                  </w:tcBorders>
                  <w:noWrap w:val="0"/>
                  <w:vAlign w:val="center"/>
                </w:tcPr>
                <w:p w14:paraId="0BB2C658">
                  <w:pPr>
                    <w:pStyle w:val="146"/>
                    <w:keepNext w:val="0"/>
                    <w:keepLines w:val="0"/>
                    <w:pageBreakBefore w:val="0"/>
                    <w:kinsoku/>
                    <w:wordWrap/>
                    <w:overflowPunct/>
                    <w:topLinePunct w:val="0"/>
                    <w:autoSpaceDE/>
                    <w:autoSpaceDN/>
                    <w:bidi w:val="0"/>
                    <w:snapToGrid/>
                    <w:spacing w:before="0" w:beforeLines="0" w:line="240" w:lineRule="auto"/>
                    <w:rPr>
                      <w:rFonts w:hint="eastAsia" w:cs="Times New Roman"/>
                      <w:color w:val="auto"/>
                      <w:kern w:val="2"/>
                      <w:sz w:val="21"/>
                      <w:szCs w:val="21"/>
                      <w:highlight w:val="none"/>
                      <w:lang w:val="en-US" w:eastAsia="zh-CN" w:bidi="ar-SA"/>
                    </w:rPr>
                  </w:pPr>
                </w:p>
              </w:tc>
              <w:tc>
                <w:tcPr>
                  <w:tcW w:w="1392" w:type="dxa"/>
                  <w:tcBorders>
                    <w:tl2br w:val="nil"/>
                    <w:tr2bl w:val="nil"/>
                  </w:tcBorders>
                  <w:noWrap w:val="0"/>
                  <w:vAlign w:val="center"/>
                </w:tcPr>
                <w:p w14:paraId="25998A09">
                  <w:pPr>
                    <w:keepNext w:val="0"/>
                    <w:keepLines w:val="0"/>
                    <w:pageBreakBefore w:val="0"/>
                    <w:widowControl/>
                    <w:kinsoku/>
                    <w:wordWrap/>
                    <w:overflowPunct/>
                    <w:topLinePunct w:val="0"/>
                    <w:autoSpaceDE/>
                    <w:autoSpaceDN/>
                    <w:bidi w:val="0"/>
                    <w:snapToGrid/>
                    <w:jc w:val="center"/>
                    <w:rPr>
                      <w:rFonts w:hint="default" w:cs="Times New Roman"/>
                      <w:color w:val="auto"/>
                      <w:kern w:val="0"/>
                      <w:szCs w:val="21"/>
                      <w:lang w:val="en-US" w:eastAsia="zh-CN"/>
                    </w:rPr>
                  </w:pPr>
                  <w:r>
                    <w:rPr>
                      <w:rFonts w:hint="eastAsia" w:cs="Times New Roman"/>
                      <w:color w:val="auto"/>
                      <w:kern w:val="0"/>
                      <w:szCs w:val="21"/>
                      <w:lang w:val="en-US" w:eastAsia="zh-CN"/>
                    </w:rPr>
                    <w:t>氨</w:t>
                  </w:r>
                </w:p>
              </w:tc>
              <w:tc>
                <w:tcPr>
                  <w:tcW w:w="2376" w:type="dxa"/>
                  <w:vMerge w:val="continue"/>
                  <w:tcBorders>
                    <w:tl2br w:val="nil"/>
                    <w:tr2bl w:val="nil"/>
                  </w:tcBorders>
                  <w:noWrap w:val="0"/>
                  <w:vAlign w:val="center"/>
                </w:tcPr>
                <w:p w14:paraId="14B5C2F0">
                  <w:pPr>
                    <w:keepNext w:val="0"/>
                    <w:keepLines w:val="0"/>
                    <w:pageBreakBefore w:val="0"/>
                    <w:widowControl/>
                    <w:kinsoku/>
                    <w:wordWrap/>
                    <w:overflowPunct/>
                    <w:topLinePunct w:val="0"/>
                    <w:autoSpaceDE/>
                    <w:autoSpaceDN/>
                    <w:bidi w:val="0"/>
                    <w:snapToGrid/>
                    <w:spacing w:line="240" w:lineRule="auto"/>
                    <w:jc w:val="center"/>
                    <w:rPr>
                      <w:rFonts w:hint="eastAsia" w:ascii="Times New Roman" w:eastAsia="宋体" w:cs="Times New Roman"/>
                      <w:color w:val="000000"/>
                      <w:lang w:val="en-US" w:eastAsia="zh-CN"/>
                    </w:rPr>
                  </w:pPr>
                </w:p>
              </w:tc>
              <w:tc>
                <w:tcPr>
                  <w:tcW w:w="2035" w:type="dxa"/>
                  <w:tcBorders>
                    <w:tl2br w:val="nil"/>
                    <w:tr2bl w:val="nil"/>
                  </w:tcBorders>
                  <w:noWrap w:val="0"/>
                  <w:vAlign w:val="center"/>
                </w:tcPr>
                <w:p w14:paraId="05449B0B">
                  <w:pPr>
                    <w:keepNext w:val="0"/>
                    <w:keepLines w:val="0"/>
                    <w:pageBreakBefore w:val="0"/>
                    <w:widowControl/>
                    <w:kinsoku/>
                    <w:wordWrap/>
                    <w:overflowPunct/>
                    <w:topLinePunct w:val="0"/>
                    <w:autoSpaceDE/>
                    <w:autoSpaceDN/>
                    <w:bidi w:val="0"/>
                    <w:snapToGrid/>
                    <w:jc w:val="center"/>
                    <w:rPr>
                      <w:rFonts w:hint="default" w:cs="Times New Roman"/>
                      <w:color w:val="auto"/>
                      <w:kern w:val="0"/>
                      <w:szCs w:val="21"/>
                      <w:lang w:val="en-US" w:eastAsia="zh-CN"/>
                    </w:rPr>
                  </w:pPr>
                  <w:r>
                    <w:rPr>
                      <w:rFonts w:hint="eastAsia" w:cs="Times New Roman"/>
                      <w:color w:val="auto"/>
                      <w:kern w:val="0"/>
                      <w:szCs w:val="21"/>
                      <w:lang w:val="en-US" w:eastAsia="zh-CN"/>
                    </w:rPr>
                    <w:t>1.5</w:t>
                  </w:r>
                </w:p>
              </w:tc>
            </w:tr>
          </w:tbl>
          <w:p w14:paraId="421CB8FB">
            <w:pPr>
              <w:pStyle w:val="61"/>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2" w:firstLineChars="200"/>
              <w:jc w:val="both"/>
              <w:textAlignment w:val="auto"/>
              <w:rPr>
                <w:rFonts w:hint="default" w:ascii="Times New Roman" w:hAnsi="Times New Roman" w:eastAsia="宋体" w:cs="Times New Roman"/>
                <w:color w:val="auto"/>
                <w:sz w:val="24"/>
                <w:szCs w:val="24"/>
                <w:highlight w:val="none"/>
                <w:lang w:val="zh-CN"/>
              </w:rPr>
            </w:pPr>
            <w:r>
              <w:rPr>
                <w:rFonts w:hint="eastAsia" w:ascii="Times New Roman" w:hAnsi="Times New Roman" w:cs="Times New Roman"/>
                <w:b/>
                <w:bCs/>
                <w:color w:val="auto"/>
                <w:lang w:val="en-US" w:eastAsia="zh-CN"/>
              </w:rPr>
              <w:t>7</w:t>
            </w:r>
            <w:r>
              <w:rPr>
                <w:rFonts w:hint="default" w:ascii="Times New Roman" w:hAnsi="Times New Roman" w:cs="Times New Roman"/>
                <w:b/>
                <w:bCs/>
                <w:color w:val="auto"/>
                <w:lang w:val="en-US" w:eastAsia="zh-CN"/>
              </w:rPr>
              <w:t>、</w:t>
            </w:r>
            <w:r>
              <w:rPr>
                <w:rFonts w:hint="default" w:ascii="Times New Roman" w:hAnsi="Times New Roman" w:eastAsia="宋体" w:cs="Times New Roman"/>
                <w:b/>
                <w:bCs/>
                <w:color w:val="auto"/>
                <w:sz w:val="24"/>
                <w:szCs w:val="24"/>
                <w:highlight w:val="none"/>
                <w:lang w:val="en-US" w:eastAsia="zh-CN"/>
              </w:rPr>
              <w:t>废气治理</w:t>
            </w:r>
            <w:r>
              <w:rPr>
                <w:rFonts w:hint="default" w:ascii="Times New Roman" w:hAnsi="Times New Roman" w:eastAsia="宋体" w:cs="Times New Roman"/>
                <w:b/>
                <w:bCs/>
                <w:color w:val="auto"/>
                <w:sz w:val="24"/>
                <w:szCs w:val="24"/>
                <w:highlight w:val="none"/>
                <w:lang w:val="zh-CN"/>
              </w:rPr>
              <w:t>措施可行性分析</w:t>
            </w:r>
          </w:p>
          <w:p w14:paraId="2F1E55FC">
            <w:pPr>
              <w:pStyle w:val="49"/>
              <w:spacing w:line="360" w:lineRule="auto"/>
              <w:rPr>
                <w:rFonts w:hint="default" w:cs="Times New Roman"/>
                <w:b/>
                <w:bCs/>
                <w:color w:val="auto"/>
                <w:highlight w:val="none"/>
                <w:lang w:val="en-US" w:eastAsia="zh-CN"/>
              </w:rPr>
            </w:pPr>
            <w:r>
              <w:rPr>
                <w:rFonts w:hint="eastAsia" w:cs="Times New Roman"/>
                <w:b/>
                <w:bCs/>
                <w:color w:val="auto"/>
                <w:highlight w:val="none"/>
                <w:lang w:val="en-US" w:eastAsia="zh-CN"/>
              </w:rPr>
              <w:t>（1）</w:t>
            </w:r>
            <w:r>
              <w:rPr>
                <w:rFonts w:hint="eastAsia" w:eastAsia="宋体" w:cs="Times New Roman"/>
                <w:b/>
                <w:bCs/>
                <w:color w:val="auto"/>
                <w:highlight w:val="none"/>
                <w:lang w:val="en-US" w:eastAsia="zh-CN"/>
              </w:rPr>
              <w:t>静电油烟装置可行</w:t>
            </w:r>
            <w:r>
              <w:rPr>
                <w:rFonts w:hint="eastAsia" w:cs="Times New Roman"/>
                <w:b/>
                <w:bCs/>
                <w:color w:val="auto"/>
                <w:highlight w:val="none"/>
                <w:lang w:val="en-US" w:eastAsia="zh-CN"/>
              </w:rPr>
              <w:t>性分析</w:t>
            </w:r>
          </w:p>
          <w:p w14:paraId="4A2C3963">
            <w:pPr>
              <w:pStyle w:val="49"/>
              <w:rPr>
                <w:rFonts w:hint="eastAsia" w:ascii="Times New Roman" w:hAnsi="Times New Roman" w:eastAsia="宋体" w:cs="Times New Roman"/>
                <w:b w:val="0"/>
                <w:bCs/>
                <w:sz w:val="24"/>
                <w:lang w:val="en-US" w:eastAsia="zh-CN"/>
              </w:rPr>
            </w:pPr>
            <w:r>
              <w:rPr>
                <w:rFonts w:hint="eastAsia" w:cs="Times New Roman"/>
                <w:b w:val="0"/>
                <w:bCs/>
                <w:sz w:val="24"/>
                <w:lang w:val="en-US" w:eastAsia="zh-CN"/>
              </w:rPr>
              <w:t>本项</w:t>
            </w:r>
            <w:r>
              <w:rPr>
                <w:rFonts w:hint="eastAsia" w:cs="Times New Roman"/>
                <w:b w:val="0"/>
                <w:bCs/>
                <w:sz w:val="24"/>
                <w:szCs w:val="24"/>
                <w:lang w:val="en-US" w:eastAsia="zh-CN"/>
              </w:rPr>
              <w:t>目</w:t>
            </w:r>
            <w:r>
              <w:rPr>
                <w:rFonts w:hint="eastAsia" w:ascii="Times New Roman" w:hAnsi="Times New Roman" w:eastAsia="宋体" w:cs="Times New Roman"/>
                <w:b w:val="0"/>
                <w:bCs/>
                <w:sz w:val="24"/>
                <w:szCs w:val="24"/>
                <w:lang w:val="en-US" w:eastAsia="zh-CN"/>
              </w:rPr>
              <w:t>油烟废气中的油烟和燃气灶燃烧废气中的</w:t>
            </w:r>
            <w:r>
              <w:rPr>
                <w:rFonts w:hint="eastAsia" w:cs="Times New Roman"/>
                <w:b w:val="0"/>
                <w:bCs/>
                <w:sz w:val="24"/>
                <w:szCs w:val="24"/>
                <w:lang w:val="en-US" w:eastAsia="zh-CN"/>
              </w:rPr>
              <w:t>颗粒物、二氧化硫、氮氧化物经收集后</w:t>
            </w:r>
            <w:r>
              <w:rPr>
                <w:rFonts w:hint="eastAsia" w:ascii="Times New Roman" w:hAnsi="Times New Roman" w:eastAsia="宋体" w:cs="Times New Roman"/>
                <w:b w:val="0"/>
                <w:bCs/>
                <w:sz w:val="24"/>
                <w:szCs w:val="24"/>
                <w:lang w:val="en-US" w:eastAsia="zh-CN"/>
              </w:rPr>
              <w:t>通过</w:t>
            </w:r>
            <w:r>
              <w:rPr>
                <w:rFonts w:hint="eastAsia" w:cs="Times New Roman"/>
                <w:b w:val="0"/>
                <w:bCs/>
                <w:sz w:val="24"/>
                <w:szCs w:val="24"/>
                <w:lang w:val="en-US" w:eastAsia="zh-CN"/>
              </w:rPr>
              <w:t>静电油烟净化装置</w:t>
            </w:r>
            <w:r>
              <w:rPr>
                <w:rFonts w:hint="eastAsia" w:ascii="Times New Roman" w:hAnsi="Times New Roman" w:eastAsia="宋体" w:cs="Times New Roman"/>
                <w:b w:val="0"/>
                <w:bCs/>
                <w:sz w:val="24"/>
                <w:szCs w:val="24"/>
                <w:lang w:val="en-US" w:eastAsia="zh-CN"/>
              </w:rPr>
              <w:t>处理达标后经</w:t>
            </w:r>
            <w:r>
              <w:rPr>
                <w:rFonts w:hint="eastAsia" w:cs="Times New Roman"/>
                <w:b w:val="0"/>
                <w:bCs/>
                <w:sz w:val="24"/>
                <w:szCs w:val="24"/>
                <w:lang w:val="en-US" w:eastAsia="zh-CN"/>
              </w:rPr>
              <w:t>各自专用排烟管道</w:t>
            </w:r>
            <w:r>
              <w:rPr>
                <w:rFonts w:hint="eastAsia" w:ascii="Times New Roman" w:hAnsi="Times New Roman" w:eastAsia="宋体" w:cs="Times New Roman"/>
                <w:b w:val="0"/>
                <w:bCs/>
                <w:sz w:val="24"/>
                <w:szCs w:val="24"/>
                <w:lang w:val="en-US" w:eastAsia="zh-CN"/>
              </w:rPr>
              <w:t>排放</w:t>
            </w:r>
            <w:r>
              <w:rPr>
                <w:rFonts w:hint="eastAsia" w:cs="Times New Roman"/>
                <w:b w:val="0"/>
                <w:bCs/>
                <w:sz w:val="24"/>
                <w:szCs w:val="24"/>
                <w:lang w:val="en-US" w:eastAsia="zh-CN"/>
              </w:rPr>
              <w:t>（中央厨房DA001-DA004排气筒、1号预制菜车间DA007-DA014排气筒）；</w:t>
            </w:r>
          </w:p>
          <w:p w14:paraId="6C661D4F">
            <w:pPr>
              <w:pStyle w:val="49"/>
              <w:rPr>
                <w:rFonts w:hint="default" w:eastAsia="宋体" w:cs="Times New Roman"/>
                <w:b w:val="0"/>
                <w:bCs/>
                <w:sz w:val="24"/>
                <w:lang w:val="en-US" w:eastAsia="zh-CN"/>
              </w:rPr>
            </w:pPr>
            <w:r>
              <w:rPr>
                <w:rFonts w:hint="eastAsia" w:eastAsia="宋体" w:cs="Times New Roman"/>
                <w:b w:val="0"/>
                <w:bCs/>
                <w:sz w:val="24"/>
                <w:lang w:val="en-US" w:eastAsia="zh-CN"/>
              </w:rPr>
              <w:t>根据《排污许可证申请与核发技术规范 食品制造工业—方便食品、食品及饲料添加剂制造工业》（</w:t>
            </w:r>
            <w:r>
              <w:rPr>
                <w:rFonts w:hint="default" w:eastAsia="宋体" w:cs="Times New Roman"/>
                <w:b w:val="0"/>
                <w:bCs/>
                <w:sz w:val="24"/>
                <w:lang w:val="en-US" w:eastAsia="zh-CN"/>
              </w:rPr>
              <w:t>HJ1030.3-2019</w:t>
            </w:r>
            <w:r>
              <w:rPr>
                <w:rFonts w:hint="eastAsia" w:eastAsia="宋体" w:cs="Times New Roman"/>
                <w:b w:val="0"/>
                <w:bCs/>
                <w:sz w:val="24"/>
                <w:lang w:val="en-US" w:eastAsia="zh-CN"/>
              </w:rPr>
              <w:t xml:space="preserve">）附录 </w:t>
            </w:r>
            <w:r>
              <w:rPr>
                <w:rFonts w:hint="default" w:eastAsia="宋体" w:cs="Times New Roman"/>
                <w:b w:val="0"/>
                <w:bCs/>
                <w:sz w:val="24"/>
                <w:lang w:val="en-US" w:eastAsia="zh-CN"/>
              </w:rPr>
              <w:t xml:space="preserve">B </w:t>
            </w:r>
            <w:r>
              <w:rPr>
                <w:rFonts w:hint="eastAsia" w:eastAsia="宋体" w:cs="Times New Roman"/>
                <w:b w:val="0"/>
                <w:bCs/>
                <w:sz w:val="24"/>
                <w:lang w:val="en-US" w:eastAsia="zh-CN"/>
              </w:rPr>
              <w:t>方便食品制造工业排污单位废气污染防治可行技术参考表内容，其中烹饪设备污染控制项目油烟的可行技术为“</w:t>
            </w:r>
            <w:r>
              <w:rPr>
                <w:rFonts w:hint="eastAsia" w:cs="Times New Roman"/>
                <w:b w:val="0"/>
                <w:bCs/>
                <w:sz w:val="24"/>
                <w:szCs w:val="24"/>
                <w:lang w:val="en-US" w:eastAsia="zh-CN"/>
              </w:rPr>
              <w:t>静电油烟处理器、湿法油烟处理器（油烟滤清机、水浴式油烟处理器、旋流板塔油烟处理器、文氏管油烟处理器）”。</w:t>
            </w:r>
          </w:p>
          <w:p w14:paraId="1D35A397">
            <w:pPr>
              <w:widowControl/>
              <w:adjustRightInd w:val="0"/>
              <w:snapToGrid w:val="0"/>
              <w:spacing w:line="360" w:lineRule="auto"/>
              <w:ind w:firstLine="480" w:firstLineChars="200"/>
              <w:jc w:val="both"/>
              <w:rPr>
                <w:rFonts w:hint="default" w:ascii="Times New Roman" w:hAnsi="Times New Roman" w:eastAsia="宋体" w:cs="Times New Roman"/>
                <w:b w:val="0"/>
                <w:bCs w:val="0"/>
                <w:color w:val="000000" w:themeColor="text1"/>
                <w:kern w:val="2"/>
                <w:sz w:val="24"/>
                <w:szCs w:val="20"/>
                <w:lang w:val="en-US" w:eastAsia="zh-CN" w:bidi="ar-SA"/>
                <w14:textFill>
                  <w14:solidFill>
                    <w14:schemeClr w14:val="tx1"/>
                  </w14:solidFill>
                </w14:textFill>
              </w:rPr>
            </w:pPr>
            <w:r>
              <w:rPr>
                <w:rFonts w:hint="eastAsia" w:cs="Times New Roman"/>
                <w:b w:val="0"/>
                <w:bCs w:val="0"/>
                <w:color w:val="000000" w:themeColor="text1"/>
                <w:kern w:val="2"/>
                <w:sz w:val="24"/>
                <w:szCs w:val="20"/>
                <w:lang w:val="en-US" w:eastAsia="zh-CN" w:bidi="ar-SA"/>
                <w14:textFill>
                  <w14:solidFill>
                    <w14:schemeClr w14:val="tx1"/>
                  </w14:solidFill>
                </w14:textFill>
              </w:rPr>
              <w:t>本项目油烟废气采用</w:t>
            </w:r>
            <w:r>
              <w:rPr>
                <w:rFonts w:hint="eastAsia" w:cs="Times New Roman"/>
                <w:b w:val="0"/>
                <w:bCs/>
                <w:sz w:val="24"/>
                <w:szCs w:val="24"/>
                <w:lang w:val="en-US" w:eastAsia="zh-CN"/>
              </w:rPr>
              <w:t>静电油烟净化装置，属于可行技术，其中</w:t>
            </w:r>
            <w:r>
              <w:rPr>
                <w:rFonts w:hint="eastAsia" w:ascii="Times New Roman" w:hAnsi="Times New Roman" w:eastAsia="宋体" w:cs="Times New Roman"/>
                <w:b w:val="0"/>
                <w:bCs/>
                <w:sz w:val="24"/>
                <w:szCs w:val="24"/>
                <w:lang w:val="en-US" w:eastAsia="zh-CN"/>
              </w:rPr>
              <w:t>燃气灶燃烧废气中的</w:t>
            </w:r>
            <w:r>
              <w:rPr>
                <w:rFonts w:hint="eastAsia" w:cs="Times New Roman"/>
                <w:b w:val="0"/>
                <w:bCs/>
                <w:sz w:val="24"/>
                <w:szCs w:val="24"/>
                <w:lang w:val="en-US" w:eastAsia="zh-CN"/>
              </w:rPr>
              <w:t>颗粒物、二氧化硫、氮氧化物因产生时会和油烟废气一起提供集气罩经风机收集，不好单独收集，虽然静电油烟净化装置对颗粒物、二氧化硫、氮氧化物基本无处理效率，但</w:t>
            </w:r>
            <w:r>
              <w:rPr>
                <w:rFonts w:hint="eastAsia" w:ascii="Times New Roman" w:hAnsi="Times New Roman" w:eastAsia="宋体" w:cs="Times New Roman"/>
                <w:b w:val="0"/>
                <w:bCs/>
                <w:sz w:val="24"/>
                <w:szCs w:val="24"/>
                <w:lang w:val="en-US" w:eastAsia="zh-CN"/>
              </w:rPr>
              <w:t>燃烧废气中的</w:t>
            </w:r>
            <w:r>
              <w:rPr>
                <w:rFonts w:hint="eastAsia" w:cs="Times New Roman"/>
                <w:b w:val="0"/>
                <w:bCs/>
                <w:sz w:val="24"/>
                <w:szCs w:val="24"/>
                <w:lang w:val="en-US" w:eastAsia="zh-CN"/>
              </w:rPr>
              <w:t>颗粒物、二氧化硫、氮氧化物产生量不大，故对大气环境产生影响不大。</w:t>
            </w:r>
          </w:p>
          <w:p w14:paraId="2888438E">
            <w:pPr>
              <w:widowControl/>
              <w:adjustRightInd w:val="0"/>
              <w:snapToGrid w:val="0"/>
              <w:spacing w:line="360" w:lineRule="auto"/>
              <w:ind w:firstLine="482" w:firstLineChars="200"/>
              <w:jc w:val="both"/>
              <w:rPr>
                <w:rFonts w:hint="eastAsia" w:ascii="Times New Roman" w:hAnsi="Times New Roman" w:eastAsia="宋体" w:cs="Times New Roman"/>
                <w:b/>
                <w:bCs/>
                <w:color w:val="000000" w:themeColor="text1"/>
                <w:kern w:val="2"/>
                <w:sz w:val="24"/>
                <w:szCs w:val="2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0"/>
                <w:lang w:val="en-US" w:eastAsia="zh-CN" w:bidi="ar-SA"/>
                <w14:textFill>
                  <w14:solidFill>
                    <w14:schemeClr w14:val="tx1"/>
                  </w14:solidFill>
                </w14:textFill>
              </w:rPr>
              <w:t>（2）</w:t>
            </w:r>
            <w:r>
              <w:rPr>
                <w:rFonts w:hint="eastAsia" w:cs="Times New Roman"/>
                <w:b/>
                <w:bCs/>
                <w:sz w:val="24"/>
                <w:lang w:val="en-US" w:eastAsia="zh-CN"/>
              </w:rPr>
              <w:t>低氮燃烧技术可行性分析</w:t>
            </w:r>
          </w:p>
          <w:p w14:paraId="7EFC20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b w:val="0"/>
                <w:bCs/>
                <w:sz w:val="24"/>
                <w:szCs w:val="24"/>
                <w:lang w:val="en-US" w:eastAsia="zh-CN"/>
              </w:rPr>
            </w:pPr>
            <w:r>
              <w:rPr>
                <w:rFonts w:hint="eastAsia" w:eastAsia="宋体" w:cs="Times New Roman"/>
                <w:b w:val="0"/>
                <w:bCs/>
                <w:sz w:val="24"/>
                <w:szCs w:val="24"/>
                <w:lang w:val="en-US" w:eastAsia="zh-CN"/>
              </w:rPr>
              <w:t>根据《排污许可证申请与核发技术规范 锅炉》（</w:t>
            </w:r>
            <w:r>
              <w:rPr>
                <w:rFonts w:hint="default" w:eastAsia="宋体" w:cs="Times New Roman"/>
                <w:b w:val="0"/>
                <w:bCs/>
                <w:sz w:val="24"/>
                <w:szCs w:val="24"/>
                <w:lang w:val="en-US" w:eastAsia="zh-CN"/>
              </w:rPr>
              <w:t>HJ953-2018</w:t>
            </w:r>
            <w:r>
              <w:rPr>
                <w:rFonts w:hint="eastAsia" w:eastAsia="宋体" w:cs="Times New Roman"/>
                <w:b w:val="0"/>
                <w:bCs/>
                <w:sz w:val="24"/>
                <w:szCs w:val="24"/>
                <w:lang w:val="en-US" w:eastAsia="zh-CN"/>
              </w:rPr>
              <w:t>）</w:t>
            </w:r>
            <w:r>
              <w:rPr>
                <w:rFonts w:hint="default" w:eastAsia="宋体" w:cs="Times New Roman"/>
                <w:b w:val="0"/>
                <w:bCs/>
                <w:sz w:val="24"/>
                <w:szCs w:val="24"/>
                <w:lang w:val="en-US" w:eastAsia="zh-CN"/>
              </w:rPr>
              <w:t>6.2.1</w:t>
            </w:r>
            <w:r>
              <w:rPr>
                <w:rFonts w:hint="eastAsia" w:eastAsia="宋体" w:cs="Times New Roman"/>
                <w:b w:val="0"/>
                <w:bCs/>
                <w:sz w:val="24"/>
                <w:szCs w:val="24"/>
                <w:lang w:val="en-US" w:eastAsia="zh-CN"/>
              </w:rPr>
              <w:t>，锅炉烟气污染防治可行技术详见表7锅炉烟气污染防治可行技术内容，其中关于燃气类型的室燃炉产生的污染物氮氧化物的可行技术为：“低氮燃烧技术、低氮燃烧+SCR脱硝技术”，</w:t>
            </w:r>
          </w:p>
          <w:p w14:paraId="2E8E99A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eastAsia="宋体" w:cs="Times New Roman"/>
                <w:b w:val="0"/>
                <w:bCs/>
                <w:sz w:val="24"/>
                <w:szCs w:val="24"/>
                <w:lang w:val="en-US" w:eastAsia="zh-CN"/>
              </w:rPr>
            </w:pPr>
            <w:r>
              <w:rPr>
                <w:rFonts w:hint="eastAsia" w:cs="Times New Roman"/>
                <w:b w:val="0"/>
                <w:bCs/>
                <w:sz w:val="24"/>
                <w:szCs w:val="24"/>
                <w:lang w:val="en-US" w:eastAsia="zh-CN"/>
              </w:rPr>
              <w:t>项目锅炉废气中的颗粒物、二氧化硫、氮氧化物</w:t>
            </w:r>
            <w:r>
              <w:rPr>
                <w:rFonts w:hint="eastAsia" w:ascii="Times New Roman" w:hAnsi="Times New Roman" w:eastAsia="宋体" w:cs="Times New Roman"/>
                <w:b w:val="0"/>
                <w:bCs/>
                <w:sz w:val="24"/>
                <w:szCs w:val="24"/>
                <w:lang w:val="en-US" w:eastAsia="zh-CN"/>
              </w:rPr>
              <w:t>通过</w:t>
            </w:r>
            <w:r>
              <w:rPr>
                <w:rFonts w:hint="eastAsia" w:cs="Times New Roman"/>
                <w:b w:val="0"/>
                <w:bCs/>
                <w:sz w:val="24"/>
                <w:szCs w:val="24"/>
                <w:lang w:val="en-US" w:eastAsia="zh-CN"/>
              </w:rPr>
              <w:t>低氮燃烧技术处理后经各自专用排气筒</w:t>
            </w:r>
            <w:r>
              <w:rPr>
                <w:rFonts w:hint="eastAsia" w:ascii="Times New Roman" w:hAnsi="Times New Roman" w:eastAsia="宋体" w:cs="Times New Roman"/>
                <w:b w:val="0"/>
                <w:bCs/>
                <w:sz w:val="24"/>
                <w:szCs w:val="24"/>
                <w:lang w:val="en-US" w:eastAsia="zh-CN"/>
              </w:rPr>
              <w:t>排放</w:t>
            </w:r>
            <w:r>
              <w:rPr>
                <w:rFonts w:hint="eastAsia" w:cs="Times New Roman"/>
                <w:b w:val="0"/>
                <w:bCs/>
                <w:sz w:val="24"/>
                <w:szCs w:val="24"/>
                <w:lang w:val="en-US" w:eastAsia="zh-CN"/>
              </w:rPr>
              <w:t>（中央厨房DA005和DA006、1号预制菜车间DA015和DA016）；属于可行技术。</w:t>
            </w:r>
          </w:p>
          <w:p w14:paraId="17F660D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eastAsia="宋体" w:cs="Times New Roman"/>
                <w:b/>
                <w:bCs w:val="0"/>
                <w:sz w:val="24"/>
                <w:szCs w:val="24"/>
                <w:lang w:val="en-US" w:eastAsia="zh-CN"/>
              </w:rPr>
            </w:pPr>
            <w:r>
              <w:rPr>
                <w:rFonts w:hint="eastAsia" w:eastAsia="宋体" w:cs="Times New Roman"/>
                <w:b/>
                <w:bCs w:val="0"/>
                <w:sz w:val="24"/>
                <w:szCs w:val="24"/>
                <w:lang w:val="en-US" w:eastAsia="zh-CN"/>
              </w:rPr>
              <w:t>（3）污水处理站处理措施可行性分析</w:t>
            </w:r>
          </w:p>
          <w:p w14:paraId="7B7BE0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eastAsia="宋体" w:cs="Times New Roman"/>
                <w:b w:val="0"/>
                <w:bCs/>
                <w:sz w:val="24"/>
                <w:szCs w:val="24"/>
                <w:lang w:val="en-US" w:eastAsia="zh-CN"/>
              </w:rPr>
            </w:pPr>
            <w:r>
              <w:rPr>
                <w:rFonts w:hint="eastAsia" w:eastAsia="宋体" w:cs="Times New Roman"/>
                <w:b w:val="0"/>
                <w:bCs/>
                <w:sz w:val="24"/>
                <w:szCs w:val="24"/>
                <w:lang w:val="en-US" w:eastAsia="zh-CN"/>
              </w:rPr>
              <w:t>根据《排污许可证申请与核发技术规范 食品制造工业—方便食品、食品及饲料添加剂制造工业》（</w:t>
            </w:r>
            <w:r>
              <w:rPr>
                <w:rFonts w:hint="default" w:eastAsia="宋体" w:cs="Times New Roman"/>
                <w:b w:val="0"/>
                <w:bCs/>
                <w:sz w:val="24"/>
                <w:szCs w:val="24"/>
                <w:lang w:val="en-US" w:eastAsia="zh-CN"/>
              </w:rPr>
              <w:t>HJ1030.3-2019</w:t>
            </w:r>
            <w:r>
              <w:rPr>
                <w:rFonts w:hint="eastAsia" w:eastAsia="宋体" w:cs="Times New Roman"/>
                <w:b w:val="0"/>
                <w:bCs/>
                <w:sz w:val="24"/>
                <w:szCs w:val="24"/>
                <w:lang w:val="en-US" w:eastAsia="zh-CN"/>
              </w:rPr>
              <w:t xml:space="preserve">）表 </w:t>
            </w:r>
            <w:r>
              <w:rPr>
                <w:rFonts w:hint="default" w:eastAsia="宋体" w:cs="Times New Roman"/>
                <w:b w:val="0"/>
                <w:bCs/>
                <w:sz w:val="24"/>
                <w:szCs w:val="24"/>
                <w:lang w:val="en-US" w:eastAsia="zh-CN"/>
              </w:rPr>
              <w:t xml:space="preserve">6-1 </w:t>
            </w:r>
            <w:r>
              <w:rPr>
                <w:rFonts w:hint="eastAsia" w:eastAsia="宋体" w:cs="Times New Roman"/>
                <w:b w:val="0"/>
                <w:bCs/>
                <w:sz w:val="24"/>
                <w:szCs w:val="24"/>
                <w:lang w:val="en-US" w:eastAsia="zh-CN"/>
              </w:rPr>
              <w:t>方便食品制造工业排污单位无组织排放控制要求表内容，其中厂内综合污水处理站中污水处理、污泥处理和堆放废气无组织排放控制要求为：“产生恶臭区域加罩或加盖；投放除臭剂；收集恶臭气体经处理（喷淋塔除臭、活性炭吸附、生物除臭等）后排放”</w:t>
            </w:r>
          </w:p>
          <w:p w14:paraId="102B04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sz w:val="24"/>
                <w:szCs w:val="24"/>
                <w:lang w:val="en-US" w:eastAsia="zh-CN"/>
              </w:rPr>
            </w:pPr>
            <w:r>
              <w:rPr>
                <w:rFonts w:hint="eastAsia" w:eastAsia="宋体" w:cs="Times New Roman"/>
                <w:b w:val="0"/>
                <w:bCs/>
                <w:sz w:val="24"/>
                <w:szCs w:val="24"/>
                <w:lang w:val="en-US" w:eastAsia="zh-CN"/>
              </w:rPr>
              <w:t>本项目污水处理站通过</w:t>
            </w:r>
            <w:r>
              <w:rPr>
                <w:rStyle w:val="148"/>
                <w:rFonts w:hint="eastAsia" w:cs="Times New Roman"/>
                <w:sz w:val="24"/>
                <w:szCs w:val="24"/>
                <w:lang w:val="en-US" w:eastAsia="zh-CN" w:bidi="ar"/>
              </w:rPr>
              <w:t>定期喷洒除臭剂、加盖密闭、加强通风等措施处理后排放。</w:t>
            </w:r>
            <w:r>
              <w:rPr>
                <w:rFonts w:hint="eastAsia" w:eastAsia="宋体" w:cs="Times New Roman"/>
                <w:b w:val="0"/>
                <w:bCs/>
                <w:sz w:val="24"/>
                <w:szCs w:val="24"/>
                <w:lang w:val="en-US" w:eastAsia="zh-CN"/>
              </w:rPr>
              <w:t>可以有效减少恶臭气体对周边环境的影响，属于可行技术。</w:t>
            </w:r>
          </w:p>
          <w:p w14:paraId="11B15316">
            <w:pPr>
              <w:pStyle w:val="124"/>
              <w:bidi w:val="0"/>
              <w:rPr>
                <w:rFonts w:hint="eastAsia"/>
                <w:b/>
                <w:bCs/>
                <w:color w:val="auto"/>
                <w:lang w:val="en-US" w:eastAsia="zh-CN"/>
              </w:rPr>
            </w:pPr>
            <w:r>
              <w:rPr>
                <w:rFonts w:hint="eastAsia"/>
                <w:b/>
                <w:bCs/>
                <w:color w:val="auto"/>
                <w:lang w:val="en-US" w:eastAsia="zh-CN"/>
              </w:rPr>
              <w:t>8、</w:t>
            </w:r>
            <w:r>
              <w:rPr>
                <w:rFonts w:hint="default" w:ascii="Times New Roman" w:hAnsi="Times New Roman" w:eastAsia="宋体" w:cs="Times New Roman"/>
                <w:b/>
                <w:bCs/>
                <w:color w:val="auto"/>
                <w:sz w:val="24"/>
                <w:szCs w:val="24"/>
                <w:lang w:val="en-US" w:eastAsia="zh-CN"/>
              </w:rPr>
              <w:t>达标排放情况分析</w:t>
            </w:r>
          </w:p>
          <w:p w14:paraId="39571CA5">
            <w:pPr>
              <w:pStyle w:val="46"/>
              <w:bidi w:val="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en-US" w:eastAsia="zh-CN" w:bidi="ar-SA"/>
              </w:rPr>
              <w:t>）无组织废气达标性分析</w:t>
            </w:r>
          </w:p>
          <w:p w14:paraId="0D8B824B">
            <w:pPr>
              <w:pStyle w:val="46"/>
              <w:bidi w:val="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w:t>
            </w:r>
            <w:r>
              <w:rPr>
                <w:rFonts w:hint="default" w:ascii="Times New Roman" w:hAnsi="Times New Roman" w:eastAsia="宋体" w:cs="Times New Roman"/>
                <w:color w:val="auto"/>
                <w:kern w:val="2"/>
                <w:sz w:val="24"/>
                <w:szCs w:val="24"/>
                <w:lang w:val="en-US" w:eastAsia="zh-CN" w:bidi="ar-SA"/>
              </w:rPr>
              <w:t>表</w:t>
            </w:r>
            <w:r>
              <w:rPr>
                <w:rFonts w:hint="eastAsia" w:ascii="Times New Roman" w:hAnsi="Times New Roman" w:eastAsia="宋体" w:cs="Times New Roman"/>
                <w:color w:val="auto"/>
                <w:kern w:val="2"/>
                <w:sz w:val="24"/>
                <w:szCs w:val="24"/>
                <w:lang w:val="en-US" w:eastAsia="zh-CN" w:bidi="ar-SA"/>
              </w:rPr>
              <w:t>4-</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4-</w:t>
            </w:r>
            <w:r>
              <w:rPr>
                <w:rFonts w:hint="eastAsia" w:cs="Times New Roman"/>
                <w:color w:val="auto"/>
                <w:kern w:val="2"/>
                <w:sz w:val="24"/>
                <w:szCs w:val="24"/>
                <w:lang w:val="en-US" w:eastAsia="zh-CN" w:bidi="ar-SA"/>
              </w:rPr>
              <w:t>10</w:t>
            </w:r>
            <w:r>
              <w:rPr>
                <w:rFonts w:hint="eastAsia" w:ascii="Times New Roman" w:hAnsi="Times New Roman" w:eastAsia="宋体" w:cs="Times New Roman"/>
                <w:color w:val="auto"/>
                <w:kern w:val="2"/>
                <w:sz w:val="24"/>
                <w:szCs w:val="24"/>
                <w:lang w:val="en-US" w:eastAsia="zh-CN" w:bidi="ar-SA"/>
              </w:rPr>
              <w:t>中</w:t>
            </w:r>
            <w:r>
              <w:rPr>
                <w:rFonts w:hint="default" w:ascii="Times New Roman" w:hAnsi="Times New Roman" w:eastAsia="宋体" w:cs="Times New Roman"/>
                <w:color w:val="auto"/>
                <w:kern w:val="2"/>
                <w:sz w:val="24"/>
                <w:szCs w:val="24"/>
                <w:lang w:val="en-US" w:eastAsia="zh-CN" w:bidi="ar-SA"/>
              </w:rPr>
              <w:t>项目无组织废气排放情况</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本评价采用根据《环境影响评价技术导则一大气环境》（HJ2.2-2018）中推荐的AERSCREEN不考虑地形）模型对项目无组织废气进行达标性质分析，预测结果截图如下：</w:t>
            </w:r>
          </w:p>
          <w:p w14:paraId="5C645A5F">
            <w:pPr>
              <w:pStyle w:val="124"/>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drawing>
                <wp:inline distT="0" distB="0" distL="114300" distR="114300">
                  <wp:extent cx="5194300" cy="2997835"/>
                  <wp:effectExtent l="0" t="0" r="6350" b="12065"/>
                  <wp:docPr id="2" name="图片 2" descr="大气无组织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气无组织预测"/>
                          <pic:cNvPicPr>
                            <a:picLocks noChangeAspect="1"/>
                          </pic:cNvPicPr>
                        </pic:nvPicPr>
                        <pic:blipFill>
                          <a:blip r:embed="rId21"/>
                          <a:stretch>
                            <a:fillRect/>
                          </a:stretch>
                        </pic:blipFill>
                        <pic:spPr>
                          <a:xfrm>
                            <a:off x="0" y="0"/>
                            <a:ext cx="5194300" cy="2997835"/>
                          </a:xfrm>
                          <a:prstGeom prst="rect">
                            <a:avLst/>
                          </a:prstGeom>
                        </pic:spPr>
                      </pic:pic>
                    </a:graphicData>
                  </a:graphic>
                </wp:inline>
              </w:drawing>
            </w:r>
          </w:p>
          <w:p w14:paraId="6DF336A1">
            <w:pPr>
              <w:pStyle w:val="125"/>
              <w:bidi w:val="0"/>
              <w:rPr>
                <w:rFonts w:hint="eastAsia"/>
                <w:color w:val="auto"/>
                <w:lang w:val="en-US" w:eastAsia="zh-CN"/>
              </w:rPr>
            </w:pPr>
            <w:r>
              <w:rPr>
                <w:rFonts w:hint="eastAsia" w:ascii="Times New Roman" w:hAnsi="Times New Roman" w:eastAsia="宋体" w:cs="Times New Roman"/>
                <w:color w:val="auto"/>
                <w:lang w:val="en-US" w:eastAsia="zh-CN"/>
              </w:rPr>
              <w:t>图4-</w:t>
            </w:r>
            <w:r>
              <w:rPr>
                <w:rFonts w:hint="eastAsia" w:cs="Times New Roman"/>
                <w:color w:val="auto"/>
                <w:lang w:val="en-US" w:eastAsia="zh-CN"/>
              </w:rPr>
              <w:t>1</w:t>
            </w:r>
            <w:r>
              <w:rPr>
                <w:rFonts w:hint="eastAsia" w:ascii="Times New Roman" w:hAnsi="Times New Roman" w:eastAsia="宋体" w:cs="Times New Roman"/>
                <w:color w:val="auto"/>
                <w:lang w:val="en-US" w:eastAsia="zh-CN"/>
              </w:rPr>
              <w:t xml:space="preserve">  无组织废气预测图</w:t>
            </w:r>
          </w:p>
          <w:p w14:paraId="233F23B2">
            <w:pPr>
              <w:pStyle w:val="46"/>
              <w:bidi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lang w:val="en-US" w:eastAsia="zh-CN"/>
              </w:rPr>
              <w:t>本评价根据采用各污染因子最大地面浓度与其无组织监控浓度限值对比方式判定无组织达标情况。详见下表</w:t>
            </w:r>
            <w:r>
              <w:rPr>
                <w:rFonts w:hint="eastAsia" w:ascii="Times New Roman" w:hAnsi="Times New Roman" w:eastAsia="宋体" w:cs="Times New Roman"/>
                <w:color w:val="auto"/>
                <w:sz w:val="24"/>
                <w:highlight w:val="none"/>
                <w:lang w:val="en-US" w:eastAsia="zh-CN"/>
              </w:rPr>
              <w:t>。</w:t>
            </w:r>
          </w:p>
          <w:p w14:paraId="4898AC3C">
            <w:pPr>
              <w:pStyle w:val="125"/>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11</w:t>
            </w:r>
            <w:r>
              <w:rPr>
                <w:rFonts w:hint="eastAsia" w:ascii="Times New Roman" w:hAnsi="Times New Roman" w:eastAsia="宋体" w:cs="Times New Roman"/>
                <w:color w:val="auto"/>
                <w:lang w:val="en-US" w:eastAsia="zh-CN"/>
              </w:rPr>
              <w:t xml:space="preserve">  无组织废气排放达标情况一览表</w:t>
            </w:r>
          </w:p>
          <w:tbl>
            <w:tblPr>
              <w:tblStyle w:val="3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4"/>
              <w:gridCol w:w="1667"/>
              <w:gridCol w:w="1813"/>
              <w:gridCol w:w="1813"/>
              <w:gridCol w:w="1813"/>
            </w:tblGrid>
            <w:tr w14:paraId="70DF6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084" w:type="dxa"/>
                  <w:tcBorders>
                    <w:top w:val="single" w:color="000000" w:sz="12" w:space="0"/>
                    <w:left w:val="nil"/>
                    <w:bottom w:val="single" w:color="000000" w:sz="8" w:space="0"/>
                    <w:right w:val="single" w:color="000000" w:sz="8" w:space="0"/>
                  </w:tcBorders>
                  <w:noWrap w:val="0"/>
                  <w:vAlign w:val="center"/>
                </w:tcPr>
                <w:p w14:paraId="111AA8E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667" w:type="dxa"/>
                  <w:tcBorders>
                    <w:top w:val="single" w:color="000000" w:sz="12" w:space="0"/>
                    <w:left w:val="single" w:color="000000" w:sz="8" w:space="0"/>
                    <w:bottom w:val="single" w:color="000000" w:sz="8" w:space="0"/>
                    <w:right w:val="single" w:color="000000" w:sz="8" w:space="0"/>
                  </w:tcBorders>
                  <w:noWrap w:val="0"/>
                  <w:vAlign w:val="center"/>
                </w:tcPr>
                <w:p w14:paraId="288746B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1813" w:type="dxa"/>
                  <w:tcBorders>
                    <w:top w:val="single" w:color="000000" w:sz="12" w:space="0"/>
                    <w:left w:val="single" w:color="000000" w:sz="8" w:space="0"/>
                    <w:bottom w:val="single" w:color="000000" w:sz="8" w:space="0"/>
                    <w:right w:val="single" w:color="000000" w:sz="8" w:space="0"/>
                  </w:tcBorders>
                  <w:noWrap w:val="0"/>
                  <w:vAlign w:val="center"/>
                </w:tcPr>
                <w:p w14:paraId="76C0404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最大地面浓度（mg/m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813" w:type="dxa"/>
                  <w:tcBorders>
                    <w:top w:val="single" w:color="000000" w:sz="12" w:space="0"/>
                    <w:left w:val="single" w:color="000000" w:sz="8" w:space="0"/>
                    <w:bottom w:val="single" w:color="000000" w:sz="8" w:space="0"/>
                    <w:right w:val="single" w:color="000000" w:sz="8" w:space="0"/>
                  </w:tcBorders>
                  <w:noWrap w:val="0"/>
                  <w:vAlign w:val="center"/>
                </w:tcPr>
                <w:p w14:paraId="219E5F4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厂界浓度限值（mg/m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813" w:type="dxa"/>
                  <w:tcBorders>
                    <w:top w:val="single" w:color="000000" w:sz="12" w:space="0"/>
                    <w:left w:val="single" w:color="000000" w:sz="8" w:space="0"/>
                    <w:bottom w:val="single" w:color="000000" w:sz="8" w:space="0"/>
                    <w:right w:val="nil"/>
                  </w:tcBorders>
                  <w:noWrap w:val="0"/>
                  <w:vAlign w:val="center"/>
                </w:tcPr>
                <w:p w14:paraId="5F1F75E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达标情况</w:t>
                  </w:r>
                </w:p>
              </w:tc>
            </w:tr>
            <w:tr w14:paraId="2E733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084" w:type="dxa"/>
                  <w:tcBorders>
                    <w:top w:val="single" w:color="000000" w:sz="8" w:space="0"/>
                    <w:left w:val="nil"/>
                    <w:bottom w:val="single" w:color="000000" w:sz="8" w:space="0"/>
                    <w:right w:val="single" w:color="000000" w:sz="8" w:space="0"/>
                  </w:tcBorders>
                  <w:noWrap w:val="0"/>
                  <w:vAlign w:val="center"/>
                </w:tcPr>
                <w:p w14:paraId="1AF8D15F">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667" w:type="dxa"/>
                  <w:tcBorders>
                    <w:top w:val="single" w:color="000000" w:sz="8" w:space="0"/>
                    <w:left w:val="single" w:color="000000" w:sz="8" w:space="0"/>
                    <w:bottom w:val="single" w:color="000000" w:sz="8" w:space="0"/>
                    <w:right w:val="single" w:color="000000" w:sz="8" w:space="0"/>
                  </w:tcBorders>
                  <w:noWrap w:val="0"/>
                  <w:vAlign w:val="center"/>
                </w:tcPr>
                <w:p w14:paraId="2032829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硫化氢</w:t>
                  </w:r>
                </w:p>
              </w:tc>
              <w:tc>
                <w:tcPr>
                  <w:tcW w:w="1813" w:type="dxa"/>
                  <w:tcBorders>
                    <w:top w:val="single" w:color="000000" w:sz="8" w:space="0"/>
                    <w:left w:val="single" w:color="000000" w:sz="8" w:space="0"/>
                    <w:bottom w:val="single" w:color="000000" w:sz="8" w:space="0"/>
                    <w:right w:val="single" w:color="000000" w:sz="8" w:space="0"/>
                  </w:tcBorders>
                  <w:noWrap w:val="0"/>
                  <w:vAlign w:val="center"/>
                </w:tcPr>
                <w:p w14:paraId="0A518B18">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0.000329</w:t>
                  </w:r>
                </w:p>
              </w:tc>
              <w:tc>
                <w:tcPr>
                  <w:tcW w:w="1813" w:type="dxa"/>
                  <w:tcBorders>
                    <w:top w:val="single" w:color="000000" w:sz="8" w:space="0"/>
                    <w:left w:val="single" w:color="000000" w:sz="8" w:space="0"/>
                    <w:bottom w:val="single" w:color="000000" w:sz="8" w:space="0"/>
                    <w:right w:val="single" w:color="000000" w:sz="8" w:space="0"/>
                  </w:tcBorders>
                  <w:noWrap w:val="0"/>
                  <w:vAlign w:val="center"/>
                </w:tcPr>
                <w:p w14:paraId="0E52911E">
                  <w:pPr>
                    <w:widowControl/>
                    <w:jc w:val="center"/>
                    <w:rPr>
                      <w:rFonts w:hint="eastAsia" w:cs="Times New Roman"/>
                      <w:i w:val="0"/>
                      <w:iCs w:val="0"/>
                      <w:color w:val="auto"/>
                      <w:kern w:val="0"/>
                      <w:sz w:val="21"/>
                      <w:szCs w:val="21"/>
                      <w:u w:val="none"/>
                      <w:lang w:val="en-US" w:eastAsia="zh-CN" w:bidi="ar"/>
                    </w:rPr>
                  </w:pPr>
                  <w:r>
                    <w:rPr>
                      <w:rFonts w:hint="eastAsia" w:cs="Times New Roman"/>
                      <w:color w:val="auto"/>
                      <w:kern w:val="0"/>
                      <w:szCs w:val="21"/>
                      <w:lang w:val="en-US" w:eastAsia="zh-CN"/>
                    </w:rPr>
                    <w:t>0.06</w:t>
                  </w:r>
                </w:p>
              </w:tc>
              <w:tc>
                <w:tcPr>
                  <w:tcW w:w="1813" w:type="dxa"/>
                  <w:tcBorders>
                    <w:top w:val="single" w:color="000000" w:sz="8" w:space="0"/>
                    <w:left w:val="single" w:color="000000" w:sz="8" w:space="0"/>
                    <w:bottom w:val="single" w:color="000000" w:sz="8" w:space="0"/>
                    <w:right w:val="nil"/>
                  </w:tcBorders>
                  <w:noWrap w:val="0"/>
                  <w:vAlign w:val="center"/>
                </w:tcPr>
                <w:p w14:paraId="73F81736">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7B83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084" w:type="dxa"/>
                  <w:tcBorders>
                    <w:top w:val="single" w:color="000000" w:sz="8" w:space="0"/>
                    <w:left w:val="nil"/>
                    <w:bottom w:val="single" w:color="000000" w:sz="8" w:space="0"/>
                    <w:right w:val="single" w:color="000000" w:sz="8" w:space="0"/>
                  </w:tcBorders>
                  <w:noWrap w:val="0"/>
                  <w:vAlign w:val="center"/>
                </w:tcPr>
                <w:p w14:paraId="6EBFF61F">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1667" w:type="dxa"/>
                  <w:tcBorders>
                    <w:top w:val="single" w:color="000000" w:sz="8" w:space="0"/>
                    <w:left w:val="single" w:color="000000" w:sz="8" w:space="0"/>
                    <w:bottom w:val="single" w:color="000000" w:sz="8" w:space="0"/>
                    <w:right w:val="single" w:color="000000" w:sz="8" w:space="0"/>
                  </w:tcBorders>
                  <w:noWrap w:val="0"/>
                  <w:vAlign w:val="center"/>
                </w:tcPr>
                <w:p w14:paraId="793A371A">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氨</w:t>
                  </w:r>
                </w:p>
              </w:tc>
              <w:tc>
                <w:tcPr>
                  <w:tcW w:w="1813" w:type="dxa"/>
                  <w:tcBorders>
                    <w:top w:val="single" w:color="000000" w:sz="8" w:space="0"/>
                    <w:left w:val="single" w:color="000000" w:sz="8" w:space="0"/>
                    <w:bottom w:val="single" w:color="000000" w:sz="8" w:space="0"/>
                    <w:right w:val="single" w:color="000000" w:sz="8" w:space="0"/>
                  </w:tcBorders>
                  <w:noWrap w:val="0"/>
                  <w:vAlign w:val="center"/>
                </w:tcPr>
                <w:p w14:paraId="55021C45">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0.008527</w:t>
                  </w:r>
                </w:p>
              </w:tc>
              <w:tc>
                <w:tcPr>
                  <w:tcW w:w="1813" w:type="dxa"/>
                  <w:tcBorders>
                    <w:top w:val="single" w:color="000000" w:sz="8" w:space="0"/>
                    <w:left w:val="single" w:color="000000" w:sz="8" w:space="0"/>
                    <w:bottom w:val="single" w:color="000000" w:sz="8" w:space="0"/>
                    <w:right w:val="single" w:color="000000" w:sz="8" w:space="0"/>
                  </w:tcBorders>
                  <w:noWrap w:val="0"/>
                  <w:vAlign w:val="center"/>
                </w:tcPr>
                <w:p w14:paraId="31714D77">
                  <w:pPr>
                    <w:widowControl/>
                    <w:jc w:val="center"/>
                    <w:rPr>
                      <w:rFonts w:hint="eastAsia" w:cs="Times New Roman"/>
                      <w:i w:val="0"/>
                      <w:iCs w:val="0"/>
                      <w:color w:val="auto"/>
                      <w:kern w:val="0"/>
                      <w:sz w:val="21"/>
                      <w:szCs w:val="21"/>
                      <w:u w:val="none"/>
                      <w:lang w:val="en-US" w:eastAsia="zh-CN" w:bidi="ar"/>
                    </w:rPr>
                  </w:pPr>
                  <w:r>
                    <w:rPr>
                      <w:rFonts w:hint="eastAsia" w:cs="Times New Roman"/>
                      <w:color w:val="auto"/>
                      <w:kern w:val="0"/>
                      <w:szCs w:val="21"/>
                      <w:lang w:val="en-US" w:eastAsia="zh-CN"/>
                    </w:rPr>
                    <w:t>1.5</w:t>
                  </w:r>
                </w:p>
              </w:tc>
              <w:tc>
                <w:tcPr>
                  <w:tcW w:w="1813" w:type="dxa"/>
                  <w:tcBorders>
                    <w:top w:val="single" w:color="000000" w:sz="8" w:space="0"/>
                    <w:left w:val="single" w:color="000000" w:sz="8" w:space="0"/>
                    <w:bottom w:val="single" w:color="000000" w:sz="8" w:space="0"/>
                    <w:right w:val="nil"/>
                  </w:tcBorders>
                  <w:noWrap w:val="0"/>
                  <w:vAlign w:val="center"/>
                </w:tcPr>
                <w:p w14:paraId="47D71806">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达标</w:t>
                  </w:r>
                </w:p>
              </w:tc>
            </w:tr>
          </w:tbl>
          <w:p w14:paraId="1AA4DE8C">
            <w:pPr>
              <w:pStyle w:val="124"/>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lang w:val="en-US" w:eastAsia="zh-CN"/>
              </w:rPr>
            </w:pPr>
            <w:r>
              <w:rPr>
                <w:rFonts w:hint="default" w:ascii="Times New Roman" w:hAnsi="Times New Roman" w:cs="Times New Roman"/>
                <w:color w:val="auto"/>
                <w:lang w:val="en-US" w:eastAsia="zh-CN"/>
              </w:rPr>
              <w:t>根据厂界无组织预测浓度，废气预测浓度均能</w:t>
            </w:r>
            <w:r>
              <w:rPr>
                <w:rFonts w:hint="eastAsia" w:cs="Times New Roman"/>
                <w:color w:val="auto"/>
                <w:lang w:val="en-US" w:eastAsia="zh-CN"/>
              </w:rPr>
              <w:t>满足</w:t>
            </w:r>
            <w:r>
              <w:rPr>
                <w:rFonts w:hint="default" w:ascii="Times New Roman" w:hAnsi="Times New Roman" w:cs="Times New Roman"/>
                <w:color w:val="auto"/>
                <w:lang w:val="en-US" w:eastAsia="zh-CN"/>
              </w:rPr>
              <w:t>厂界无组织相应限值要求；</w:t>
            </w:r>
            <w:r>
              <w:rPr>
                <w:rFonts w:hint="eastAsia" w:cs="Times New Roman"/>
                <w:i w:val="0"/>
                <w:iCs w:val="0"/>
                <w:color w:val="auto"/>
                <w:kern w:val="0"/>
                <w:sz w:val="24"/>
                <w:szCs w:val="24"/>
                <w:u w:val="none"/>
                <w:lang w:val="en-US" w:eastAsia="zh-CN" w:bidi="ar"/>
              </w:rPr>
              <w:t>硫化氢和氨</w:t>
            </w:r>
            <w:r>
              <w:rPr>
                <w:rFonts w:hint="default" w:ascii="Times New Roman" w:hAnsi="Times New Roman" w:cs="Times New Roman"/>
                <w:color w:val="auto"/>
                <w:lang w:val="en-US" w:eastAsia="zh-CN"/>
              </w:rPr>
              <w:t>无组织废气最大地面浓度低于厂界浓度限值，废气预测浓度能满足环境质量现状标准值，对周边居民的影响极小，对区域大气环境的环境影响较小</w:t>
            </w:r>
            <w:r>
              <w:rPr>
                <w:rFonts w:hint="eastAsia"/>
                <w:color w:val="auto"/>
                <w:lang w:val="en-US" w:eastAsia="zh-CN"/>
              </w:rPr>
              <w:t>，无需设置大气环境防护距离</w:t>
            </w:r>
            <w:r>
              <w:rPr>
                <w:rFonts w:hint="eastAsia" w:ascii="宋体" w:hAnsi="宋体" w:eastAsia="宋体" w:cs="宋体"/>
                <w:color w:val="auto"/>
                <w:kern w:val="2"/>
                <w:sz w:val="24"/>
                <w:szCs w:val="24"/>
                <w:lang w:val="en-US" w:eastAsia="zh-CN" w:bidi="ar"/>
              </w:rPr>
              <w:t>。</w:t>
            </w:r>
          </w:p>
          <w:p w14:paraId="170DA448">
            <w:pPr>
              <w:pStyle w:val="1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
                <w:bCs/>
                <w:color w:val="auto"/>
                <w:lang w:val="en-US" w:eastAsia="zh-CN"/>
              </w:rPr>
            </w:pPr>
            <w:r>
              <w:rPr>
                <w:rFonts w:hint="eastAsia" w:cs="Times New Roman"/>
                <w:b/>
                <w:bCs/>
                <w:color w:val="auto"/>
                <w:lang w:val="en-US" w:eastAsia="zh-CN"/>
              </w:rPr>
              <w:t>9</w:t>
            </w:r>
            <w:r>
              <w:rPr>
                <w:rFonts w:hint="eastAsia" w:ascii="Times New Roman" w:hAnsi="Times New Roman" w:eastAsia="宋体" w:cs="Times New Roman"/>
                <w:b/>
                <w:bCs/>
                <w:color w:val="auto"/>
                <w:lang w:val="en-US" w:eastAsia="zh-CN"/>
              </w:rPr>
              <w:t>、卫生防护距离</w:t>
            </w:r>
          </w:p>
          <w:p w14:paraId="0EB6842E">
            <w:pPr>
              <w:pStyle w:val="12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ascii="Times New Roman" w:hAnsi="Times New Roman" w:eastAsia="宋体" w:cs="Times New Roman"/>
                <w:color w:val="auto"/>
                <w:highlight w:val="none"/>
                <w:lang w:val="zh-CN"/>
              </w:rPr>
              <w:t>行业主要特征大气有害物质确定</w:t>
            </w:r>
          </w:p>
          <w:p w14:paraId="497E2E70">
            <w:pPr>
              <w:pStyle w:val="124"/>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根据《大气有害物质无组织排放卫生防护距离推导技术导则》（GB/T39499-2020）：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本项目</w:t>
            </w:r>
            <w:r>
              <w:rPr>
                <w:rFonts w:hint="default" w:ascii="Times New Roman" w:hAnsi="Times New Roman" w:eastAsia="宋体" w:cs="Times New Roman"/>
                <w:color w:val="auto"/>
                <w:highlight w:val="none"/>
                <w:lang w:val="zh-CN"/>
              </w:rPr>
              <w:t>涉及的污染因子</w:t>
            </w:r>
            <w:r>
              <w:rPr>
                <w:rFonts w:hint="eastAsia" w:cs="Times New Roman"/>
                <w:color w:val="auto"/>
                <w:highlight w:val="none"/>
                <w:lang w:val="en-US" w:eastAsia="zh-CN"/>
              </w:rPr>
              <w:t>为硫化氢和氨</w:t>
            </w:r>
            <w:r>
              <w:rPr>
                <w:rFonts w:hint="eastAsia"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lang w:val="zh-CN"/>
              </w:rPr>
              <w:t>主要特征大气有害物质</w:t>
            </w:r>
            <w:r>
              <w:rPr>
                <w:rFonts w:hint="eastAsia" w:ascii="Times New Roman" w:hAnsi="Times New Roman" w:eastAsia="宋体" w:cs="Times New Roman"/>
                <w:color w:val="auto"/>
                <w:highlight w:val="none"/>
                <w:lang w:val="en-US" w:eastAsia="zh-CN"/>
              </w:rPr>
              <w:t>确定见</w:t>
            </w:r>
            <w:r>
              <w:rPr>
                <w:rFonts w:hint="eastAsia" w:cs="Times New Roman"/>
                <w:color w:val="auto"/>
                <w:highlight w:val="none"/>
                <w:lang w:val="en-US" w:eastAsia="zh-CN"/>
              </w:rPr>
              <w:t>下</w:t>
            </w:r>
            <w:r>
              <w:rPr>
                <w:rFonts w:hint="eastAsia" w:ascii="Times New Roman" w:hAnsi="Times New Roman" w:eastAsia="宋体" w:cs="Times New Roman"/>
                <w:color w:val="auto"/>
                <w:highlight w:val="none"/>
                <w:lang w:val="en-US" w:eastAsia="zh-CN"/>
              </w:rPr>
              <w:t>表。</w:t>
            </w:r>
          </w:p>
          <w:p w14:paraId="339E607B">
            <w:pPr>
              <w:pStyle w:val="129"/>
              <w:bidi w:val="0"/>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表4-</w:t>
            </w:r>
            <w:r>
              <w:rPr>
                <w:rFonts w:hint="eastAsia" w:cs="Times New Roman"/>
                <w:color w:val="auto"/>
                <w:sz w:val="21"/>
                <w:szCs w:val="21"/>
                <w:highlight w:val="none"/>
                <w:lang w:val="en-US" w:eastAsia="zh-CN"/>
              </w:rPr>
              <w:t xml:space="preserve">12  </w:t>
            </w:r>
            <w:r>
              <w:rPr>
                <w:rFonts w:hint="default" w:ascii="Times New Roman" w:hAnsi="Times New Roman" w:eastAsia="宋体" w:cs="Times New Roman"/>
                <w:color w:val="auto"/>
                <w:sz w:val="21"/>
                <w:szCs w:val="21"/>
                <w:highlight w:val="none"/>
                <w:lang w:val="zh-CN"/>
              </w:rPr>
              <w:t>主要特征大气有害物质确定</w:t>
            </w:r>
            <w:r>
              <w:rPr>
                <w:rFonts w:hint="default" w:ascii="Times New Roman" w:hAnsi="Times New Roman" w:eastAsia="宋体" w:cs="Times New Roman"/>
                <w:color w:val="auto"/>
                <w:sz w:val="21"/>
                <w:szCs w:val="21"/>
                <w:highlight w:val="none"/>
                <w:lang w:val="zh-CN" w:eastAsia="zh-CN"/>
              </w:rPr>
              <w:t>结果表</w:t>
            </w:r>
          </w:p>
          <w:tbl>
            <w:tblPr>
              <w:tblStyle w:val="3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6"/>
              <w:gridCol w:w="1185"/>
              <w:gridCol w:w="1100"/>
              <w:gridCol w:w="1116"/>
              <w:gridCol w:w="959"/>
              <w:gridCol w:w="859"/>
              <w:gridCol w:w="1002"/>
              <w:gridCol w:w="982"/>
            </w:tblGrid>
            <w:tr w14:paraId="10552E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602" w:type="pct"/>
                  <w:tcBorders>
                    <w:tl2br w:val="nil"/>
                    <w:tr2bl w:val="nil"/>
                  </w:tcBorders>
                  <w:noWrap w:val="0"/>
                  <w:vAlign w:val="center"/>
                </w:tcPr>
                <w:p w14:paraId="2B4E4043">
                  <w:pPr>
                    <w:pStyle w:val="126"/>
                    <w:bidi w:val="0"/>
                    <w:rPr>
                      <w:rFonts w:hint="default"/>
                      <w:color w:val="auto"/>
                      <w:highlight w:val="none"/>
                      <w:lang w:val="en-US" w:eastAsia="zh-CN"/>
                    </w:rPr>
                  </w:pPr>
                  <w:r>
                    <w:rPr>
                      <w:rFonts w:hint="default"/>
                      <w:color w:val="auto"/>
                      <w:highlight w:val="none"/>
                      <w:lang w:val="en-US" w:eastAsia="zh-CN"/>
                    </w:rPr>
                    <w:t>面源名称</w:t>
                  </w:r>
                </w:p>
              </w:tc>
              <w:tc>
                <w:tcPr>
                  <w:tcW w:w="723" w:type="pct"/>
                  <w:tcBorders>
                    <w:tl2br w:val="nil"/>
                    <w:tr2bl w:val="nil"/>
                  </w:tcBorders>
                  <w:noWrap w:val="0"/>
                  <w:vAlign w:val="center"/>
                </w:tcPr>
                <w:p w14:paraId="10C2930B">
                  <w:pPr>
                    <w:pStyle w:val="126"/>
                    <w:bidi w:val="0"/>
                    <w:rPr>
                      <w:rFonts w:hint="default"/>
                      <w:color w:val="auto"/>
                      <w:highlight w:val="none"/>
                      <w:lang w:val="en-US" w:eastAsia="zh-CN"/>
                    </w:rPr>
                  </w:pPr>
                  <w:r>
                    <w:rPr>
                      <w:rFonts w:hint="default"/>
                      <w:color w:val="auto"/>
                      <w:highlight w:val="none"/>
                      <w:lang w:val="en-US" w:eastAsia="zh-CN"/>
                    </w:rPr>
                    <w:t>污染因子</w:t>
                  </w:r>
                </w:p>
              </w:tc>
              <w:tc>
                <w:tcPr>
                  <w:tcW w:w="671" w:type="pct"/>
                  <w:tcBorders>
                    <w:tl2br w:val="nil"/>
                    <w:tr2bl w:val="nil"/>
                  </w:tcBorders>
                  <w:noWrap w:val="0"/>
                  <w:vAlign w:val="center"/>
                </w:tcPr>
                <w:p w14:paraId="35B898E7">
                  <w:pPr>
                    <w:pStyle w:val="126"/>
                    <w:bidi w:val="0"/>
                    <w:rPr>
                      <w:rFonts w:hint="default"/>
                      <w:color w:val="auto"/>
                      <w:highlight w:val="none"/>
                      <w:lang w:val="en-US" w:eastAsia="zh-CN"/>
                    </w:rPr>
                  </w:pPr>
                  <w:r>
                    <w:rPr>
                      <w:rFonts w:hint="default"/>
                      <w:color w:val="auto"/>
                      <w:highlight w:val="none"/>
                      <w:lang w:val="en-US" w:eastAsia="zh-CN"/>
                    </w:rPr>
                    <w:t>Qc排放量</w:t>
                  </w:r>
                  <w:r>
                    <w:rPr>
                      <w:rFonts w:hint="eastAsia"/>
                      <w:color w:val="auto"/>
                      <w:highlight w:val="none"/>
                      <w:lang w:val="en-US" w:eastAsia="zh-CN"/>
                    </w:rPr>
                    <w:t>kg/h</w:t>
                  </w:r>
                </w:p>
              </w:tc>
              <w:tc>
                <w:tcPr>
                  <w:tcW w:w="681" w:type="pct"/>
                  <w:tcBorders>
                    <w:tl2br w:val="nil"/>
                    <w:tr2bl w:val="nil"/>
                  </w:tcBorders>
                  <w:noWrap w:val="0"/>
                  <w:vAlign w:val="center"/>
                </w:tcPr>
                <w:p w14:paraId="457D0791">
                  <w:pPr>
                    <w:pStyle w:val="126"/>
                    <w:bidi w:val="0"/>
                    <w:rPr>
                      <w:rFonts w:hint="default"/>
                      <w:color w:val="auto"/>
                      <w:highlight w:val="none"/>
                      <w:lang w:val="en-US" w:eastAsia="zh-CN"/>
                    </w:rPr>
                  </w:pPr>
                  <w:r>
                    <w:rPr>
                      <w:rFonts w:hint="default"/>
                      <w:color w:val="auto"/>
                      <w:highlight w:val="none"/>
                      <w:lang w:val="en-US" w:eastAsia="zh-CN"/>
                    </w:rPr>
                    <w:t>Cm质量标准（mg/m</w:t>
                  </w:r>
                  <w:r>
                    <w:rPr>
                      <w:rFonts w:hint="default"/>
                      <w:color w:val="auto"/>
                      <w:highlight w:val="none"/>
                      <w:vertAlign w:val="superscript"/>
                      <w:lang w:val="en-US" w:eastAsia="zh-CN"/>
                    </w:rPr>
                    <w:t>3</w:t>
                  </w:r>
                  <w:r>
                    <w:rPr>
                      <w:rFonts w:hint="default"/>
                      <w:color w:val="auto"/>
                      <w:highlight w:val="none"/>
                      <w:lang w:val="en-US" w:eastAsia="zh-CN"/>
                    </w:rPr>
                    <w:t>）</w:t>
                  </w:r>
                </w:p>
              </w:tc>
              <w:tc>
                <w:tcPr>
                  <w:tcW w:w="585" w:type="pct"/>
                  <w:tcBorders>
                    <w:tl2br w:val="nil"/>
                    <w:tr2bl w:val="nil"/>
                  </w:tcBorders>
                  <w:noWrap w:val="0"/>
                  <w:vAlign w:val="center"/>
                </w:tcPr>
                <w:p w14:paraId="750DDEE0">
                  <w:pPr>
                    <w:pStyle w:val="126"/>
                    <w:bidi w:val="0"/>
                    <w:rPr>
                      <w:rFonts w:hint="default"/>
                      <w:color w:val="auto"/>
                      <w:highlight w:val="none"/>
                      <w:lang w:val="en-US" w:eastAsia="zh-CN"/>
                    </w:rPr>
                  </w:pPr>
                  <w:r>
                    <w:rPr>
                      <w:rFonts w:hint="eastAsia"/>
                      <w:color w:val="auto"/>
                      <w:highlight w:val="none"/>
                      <w:lang w:val="en-US" w:eastAsia="zh-CN"/>
                    </w:rPr>
                    <w:t>等标排放量</w:t>
                  </w:r>
                  <w:r>
                    <w:rPr>
                      <w:rFonts w:hint="default"/>
                      <w:color w:val="auto"/>
                      <w:highlight w:val="none"/>
                      <w:lang w:val="en-US" w:eastAsia="zh-CN"/>
                    </w:rPr>
                    <w:t>Qc/Cm</w:t>
                  </w:r>
                </w:p>
              </w:tc>
              <w:tc>
                <w:tcPr>
                  <w:tcW w:w="524" w:type="pct"/>
                  <w:tcBorders>
                    <w:tl2br w:val="nil"/>
                    <w:tr2bl w:val="nil"/>
                  </w:tcBorders>
                  <w:noWrap w:val="0"/>
                  <w:vAlign w:val="center"/>
                </w:tcPr>
                <w:p w14:paraId="53B2770B">
                  <w:pPr>
                    <w:pStyle w:val="126"/>
                    <w:bidi w:val="0"/>
                    <w:rPr>
                      <w:rFonts w:hint="default"/>
                      <w:color w:val="auto"/>
                      <w:highlight w:val="none"/>
                      <w:lang w:val="en-US" w:eastAsia="zh-CN"/>
                    </w:rPr>
                  </w:pPr>
                  <w:r>
                    <w:rPr>
                      <w:rFonts w:hint="default"/>
                      <w:color w:val="auto"/>
                      <w:highlight w:val="none"/>
                      <w:lang w:val="en-US" w:eastAsia="zh-CN"/>
                    </w:rPr>
                    <w:t>是否为初等因子</w:t>
                  </w:r>
                </w:p>
              </w:tc>
              <w:tc>
                <w:tcPr>
                  <w:tcW w:w="611" w:type="pct"/>
                  <w:tcBorders>
                    <w:tl2br w:val="nil"/>
                    <w:tr2bl w:val="nil"/>
                  </w:tcBorders>
                  <w:noWrap w:val="0"/>
                  <w:vAlign w:val="center"/>
                </w:tcPr>
                <w:p w14:paraId="4B2867DD">
                  <w:pPr>
                    <w:pStyle w:val="126"/>
                    <w:bidi w:val="0"/>
                    <w:rPr>
                      <w:rFonts w:hint="default"/>
                      <w:color w:val="auto"/>
                      <w:highlight w:val="none"/>
                      <w:lang w:val="en-US" w:eastAsia="zh-CN"/>
                    </w:rPr>
                  </w:pPr>
                  <w:r>
                    <w:rPr>
                      <w:rFonts w:hint="default"/>
                      <w:color w:val="auto"/>
                      <w:highlight w:val="none"/>
                      <w:lang w:val="en-US" w:eastAsia="zh-CN"/>
                    </w:rPr>
                    <w:t>等标排放量差值占比</w:t>
                  </w:r>
                </w:p>
              </w:tc>
              <w:tc>
                <w:tcPr>
                  <w:tcW w:w="599" w:type="pct"/>
                  <w:tcBorders>
                    <w:tl2br w:val="nil"/>
                    <w:tr2bl w:val="nil"/>
                  </w:tcBorders>
                  <w:noWrap w:val="0"/>
                  <w:vAlign w:val="center"/>
                </w:tcPr>
                <w:p w14:paraId="022B27FA">
                  <w:pPr>
                    <w:pStyle w:val="126"/>
                    <w:bidi w:val="0"/>
                    <w:rPr>
                      <w:rFonts w:hint="default"/>
                      <w:color w:val="auto"/>
                      <w:highlight w:val="none"/>
                      <w:lang w:val="en-US" w:eastAsia="zh-CN"/>
                    </w:rPr>
                  </w:pPr>
                  <w:r>
                    <w:rPr>
                      <w:rFonts w:hint="default"/>
                      <w:color w:val="auto"/>
                      <w:highlight w:val="none"/>
                      <w:lang w:val="en-US" w:eastAsia="zh-CN"/>
                    </w:rPr>
                    <w:t>是否为最终计算因子</w:t>
                  </w:r>
                </w:p>
              </w:tc>
            </w:tr>
            <w:tr w14:paraId="4DC78F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602" w:type="pct"/>
                  <w:vMerge w:val="restart"/>
                  <w:tcBorders>
                    <w:tl2br w:val="nil"/>
                    <w:tr2bl w:val="nil"/>
                  </w:tcBorders>
                  <w:noWrap/>
                  <w:vAlign w:val="center"/>
                </w:tcPr>
                <w:p w14:paraId="73DF83AE">
                  <w:pPr>
                    <w:keepNext w:val="0"/>
                    <w:keepLines w:val="0"/>
                    <w:widowControl/>
                    <w:suppressLineNumbers w:val="0"/>
                    <w:jc w:val="center"/>
                    <w:textAlignment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污水处理站</w:t>
                  </w:r>
                </w:p>
              </w:tc>
              <w:tc>
                <w:tcPr>
                  <w:tcW w:w="723" w:type="pct"/>
                  <w:tcBorders>
                    <w:tl2br w:val="nil"/>
                    <w:tr2bl w:val="nil"/>
                  </w:tcBorders>
                  <w:noWrap w:val="0"/>
                  <w:vAlign w:val="center"/>
                </w:tcPr>
                <w:p w14:paraId="5B7FBF3F">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硫化氢</w:t>
                  </w:r>
                </w:p>
              </w:tc>
              <w:tc>
                <w:tcPr>
                  <w:tcW w:w="1100" w:type="dxa"/>
                  <w:tcBorders>
                    <w:tl2br w:val="nil"/>
                    <w:tr2bl w:val="nil"/>
                  </w:tcBorders>
                  <w:noWrap/>
                  <w:vAlign w:val="center"/>
                </w:tcPr>
                <w:p w14:paraId="5B9B432C">
                  <w:pPr>
                    <w:keepNext w:val="0"/>
                    <w:keepLines w:val="0"/>
                    <w:widowControl/>
                    <w:suppressLineNumbers w:val="0"/>
                    <w:jc w:val="center"/>
                    <w:textAlignment w:val="center"/>
                    <w:rPr>
                      <w:rFonts w:hint="eastAsia" w:cs="Times New Roman"/>
                      <w:i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0.0015</w:t>
                  </w:r>
                </w:p>
              </w:tc>
              <w:tc>
                <w:tcPr>
                  <w:tcW w:w="681" w:type="pct"/>
                  <w:tcBorders>
                    <w:tl2br w:val="nil"/>
                    <w:tr2bl w:val="nil"/>
                  </w:tcBorders>
                  <w:noWrap/>
                  <w:vAlign w:val="center"/>
                </w:tcPr>
                <w:p w14:paraId="43037D6C">
                  <w:pPr>
                    <w:bidi w:val="0"/>
                    <w:jc w:val="center"/>
                    <w:rPr>
                      <w:rFonts w:hint="default"/>
                      <w:color w:val="auto"/>
                      <w:highlight w:val="none"/>
                      <w:lang w:val="en-US" w:eastAsia="zh-CN"/>
                    </w:rPr>
                  </w:pPr>
                  <w:r>
                    <w:rPr>
                      <w:rFonts w:hint="eastAsia"/>
                      <w:color w:val="auto"/>
                      <w:highlight w:val="none"/>
                      <w:lang w:val="en-US" w:eastAsia="zh-CN"/>
                    </w:rPr>
                    <w:t>0.01</w:t>
                  </w:r>
                </w:p>
              </w:tc>
              <w:tc>
                <w:tcPr>
                  <w:tcW w:w="585" w:type="pct"/>
                  <w:tcBorders>
                    <w:tl2br w:val="nil"/>
                    <w:tr2bl w:val="nil"/>
                  </w:tcBorders>
                  <w:noWrap/>
                  <w:vAlign w:val="center"/>
                </w:tcPr>
                <w:p w14:paraId="3F6BAF7D">
                  <w:pPr>
                    <w:pStyle w:val="127"/>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15</w:t>
                  </w:r>
                </w:p>
              </w:tc>
              <w:tc>
                <w:tcPr>
                  <w:tcW w:w="524" w:type="pct"/>
                  <w:tcBorders>
                    <w:tl2br w:val="nil"/>
                    <w:tr2bl w:val="nil"/>
                  </w:tcBorders>
                  <w:noWrap/>
                  <w:vAlign w:val="center"/>
                </w:tcPr>
                <w:p w14:paraId="547E54D9">
                  <w:pPr>
                    <w:pStyle w:val="127"/>
                    <w:bidi w:val="0"/>
                    <w:ind w:left="0" w:leftChars="0" w:right="0" w:rightChars="0"/>
                    <w:rPr>
                      <w:rFonts w:hint="default"/>
                      <w:color w:val="auto"/>
                      <w:highlight w:val="none"/>
                      <w:lang w:val="en-US" w:eastAsia="zh-CN"/>
                    </w:rPr>
                  </w:pPr>
                  <w:r>
                    <w:rPr>
                      <w:rFonts w:hint="default"/>
                      <w:color w:val="auto"/>
                      <w:highlight w:val="none"/>
                      <w:lang w:val="en-US" w:eastAsia="zh-CN"/>
                    </w:rPr>
                    <w:t>是</w:t>
                  </w:r>
                </w:p>
              </w:tc>
              <w:tc>
                <w:tcPr>
                  <w:tcW w:w="611" w:type="pct"/>
                  <w:tcBorders>
                    <w:tl2br w:val="nil"/>
                    <w:tr2bl w:val="nil"/>
                  </w:tcBorders>
                  <w:noWrap/>
                  <w:vAlign w:val="center"/>
                </w:tcPr>
                <w:p w14:paraId="593C4034">
                  <w:pPr>
                    <w:pStyle w:val="127"/>
                    <w:bidi w:val="0"/>
                    <w:ind w:left="0" w:leftChars="0" w:right="0" w:rightChars="0"/>
                    <w:rPr>
                      <w:rFonts w:hint="default"/>
                      <w:color w:val="auto"/>
                      <w:highlight w:val="none"/>
                      <w:lang w:val="en-US" w:eastAsia="zh-CN"/>
                    </w:rPr>
                  </w:pPr>
                  <w:r>
                    <w:rPr>
                      <w:rFonts w:hint="eastAsia"/>
                      <w:color w:val="auto"/>
                      <w:highlight w:val="none"/>
                      <w:lang w:val="en-US" w:eastAsia="zh-CN"/>
                    </w:rPr>
                    <w:t>22.88</w:t>
                  </w:r>
                </w:p>
              </w:tc>
              <w:tc>
                <w:tcPr>
                  <w:tcW w:w="599" w:type="pct"/>
                  <w:tcBorders>
                    <w:tl2br w:val="nil"/>
                    <w:tr2bl w:val="nil"/>
                  </w:tcBorders>
                  <w:noWrap/>
                  <w:vAlign w:val="center"/>
                </w:tcPr>
                <w:p w14:paraId="26F61493">
                  <w:pPr>
                    <w:bidi w:val="0"/>
                    <w:ind w:left="0" w:leftChars="0" w:right="0" w:rightChars="0"/>
                    <w:jc w:val="center"/>
                    <w:rPr>
                      <w:rFonts w:hint="default"/>
                      <w:color w:val="auto"/>
                      <w:highlight w:val="none"/>
                      <w:lang w:val="en-US" w:eastAsia="zh-CN"/>
                    </w:rPr>
                  </w:pPr>
                  <w:r>
                    <w:rPr>
                      <w:rFonts w:hint="eastAsia"/>
                      <w:color w:val="auto"/>
                      <w:highlight w:val="none"/>
                      <w:lang w:val="en-US" w:eastAsia="zh-CN"/>
                    </w:rPr>
                    <w:t>否</w:t>
                  </w:r>
                </w:p>
              </w:tc>
            </w:tr>
            <w:tr w14:paraId="2D261F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602" w:type="pct"/>
                  <w:vMerge w:val="continue"/>
                  <w:tcBorders>
                    <w:tl2br w:val="nil"/>
                    <w:tr2bl w:val="nil"/>
                  </w:tcBorders>
                  <w:noWrap/>
                  <w:vAlign w:val="center"/>
                </w:tcPr>
                <w:p w14:paraId="04A72344">
                  <w:pPr>
                    <w:keepNext w:val="0"/>
                    <w:keepLines w:val="0"/>
                    <w:widowControl/>
                    <w:suppressLineNumbers w:val="0"/>
                    <w:jc w:val="center"/>
                    <w:textAlignment w:val="center"/>
                    <w:rPr>
                      <w:rFonts w:hint="eastAsia" w:cs="Times New Roman"/>
                      <w:b w:val="0"/>
                      <w:bCs w:val="0"/>
                      <w:color w:val="auto"/>
                      <w:sz w:val="21"/>
                      <w:szCs w:val="21"/>
                      <w:highlight w:val="none"/>
                      <w:vertAlign w:val="baseline"/>
                      <w:lang w:val="en-US" w:eastAsia="zh-CN"/>
                    </w:rPr>
                  </w:pPr>
                </w:p>
              </w:tc>
              <w:tc>
                <w:tcPr>
                  <w:tcW w:w="723" w:type="pct"/>
                  <w:tcBorders>
                    <w:tl2br w:val="nil"/>
                    <w:tr2bl w:val="nil"/>
                  </w:tcBorders>
                  <w:noWrap w:val="0"/>
                  <w:vAlign w:val="center"/>
                </w:tcPr>
                <w:p w14:paraId="35F00C88">
                  <w:pPr>
                    <w:keepNext w:val="0"/>
                    <w:keepLines w:val="0"/>
                    <w:widowControl/>
                    <w:suppressLineNumbers w:val="0"/>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氨</w:t>
                  </w:r>
                </w:p>
              </w:tc>
              <w:tc>
                <w:tcPr>
                  <w:tcW w:w="1100" w:type="dxa"/>
                  <w:tcBorders>
                    <w:tl2br w:val="nil"/>
                    <w:tr2bl w:val="nil"/>
                  </w:tcBorders>
                  <w:noWrap/>
                  <w:vAlign w:val="center"/>
                </w:tcPr>
                <w:p w14:paraId="34E64781">
                  <w:pPr>
                    <w:keepNext w:val="0"/>
                    <w:keepLines w:val="0"/>
                    <w:widowControl/>
                    <w:suppressLineNumbers w:val="0"/>
                    <w:jc w:val="center"/>
                    <w:textAlignment w:val="center"/>
                    <w:rPr>
                      <w:rFonts w:hint="eastAsia" w:cs="Times New Roman"/>
                      <w:i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0.0389</w:t>
                  </w:r>
                </w:p>
              </w:tc>
              <w:tc>
                <w:tcPr>
                  <w:tcW w:w="681" w:type="pct"/>
                  <w:tcBorders>
                    <w:tl2br w:val="nil"/>
                    <w:tr2bl w:val="nil"/>
                  </w:tcBorders>
                  <w:noWrap/>
                  <w:vAlign w:val="center"/>
                </w:tcPr>
                <w:p w14:paraId="1917277E">
                  <w:pPr>
                    <w:bidi w:val="0"/>
                    <w:jc w:val="center"/>
                    <w:rPr>
                      <w:rFonts w:hint="default"/>
                      <w:color w:val="auto"/>
                      <w:highlight w:val="none"/>
                      <w:lang w:val="en-US" w:eastAsia="zh-CN"/>
                    </w:rPr>
                  </w:pPr>
                  <w:r>
                    <w:rPr>
                      <w:rFonts w:hint="eastAsia"/>
                      <w:color w:val="auto"/>
                      <w:highlight w:val="none"/>
                      <w:lang w:val="en-US" w:eastAsia="zh-CN"/>
                    </w:rPr>
                    <w:t>0.2</w:t>
                  </w:r>
                </w:p>
              </w:tc>
              <w:tc>
                <w:tcPr>
                  <w:tcW w:w="585" w:type="pct"/>
                  <w:tcBorders>
                    <w:tl2br w:val="nil"/>
                    <w:tr2bl w:val="nil"/>
                  </w:tcBorders>
                  <w:noWrap/>
                  <w:vAlign w:val="center"/>
                </w:tcPr>
                <w:p w14:paraId="4AC1A314">
                  <w:pPr>
                    <w:pStyle w:val="127"/>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1945</w:t>
                  </w:r>
                </w:p>
              </w:tc>
              <w:tc>
                <w:tcPr>
                  <w:tcW w:w="524" w:type="pct"/>
                  <w:tcBorders>
                    <w:tl2br w:val="nil"/>
                    <w:tr2bl w:val="nil"/>
                  </w:tcBorders>
                  <w:noWrap/>
                  <w:vAlign w:val="center"/>
                </w:tcPr>
                <w:p w14:paraId="030D91CA">
                  <w:pPr>
                    <w:bidi w:val="0"/>
                    <w:jc w:val="center"/>
                    <w:rPr>
                      <w:rFonts w:hint="default"/>
                      <w:color w:val="auto"/>
                      <w:highlight w:val="none"/>
                      <w:lang w:val="en-US" w:eastAsia="zh-CN"/>
                    </w:rPr>
                  </w:pPr>
                  <w:r>
                    <w:rPr>
                      <w:rFonts w:hint="default"/>
                      <w:color w:val="auto"/>
                      <w:highlight w:val="none"/>
                      <w:lang w:val="en-US" w:eastAsia="zh-CN"/>
                    </w:rPr>
                    <w:t>是</w:t>
                  </w:r>
                </w:p>
              </w:tc>
              <w:tc>
                <w:tcPr>
                  <w:tcW w:w="611" w:type="pct"/>
                  <w:tcBorders>
                    <w:tl2br w:val="nil"/>
                    <w:tr2bl w:val="nil"/>
                  </w:tcBorders>
                  <w:noWrap/>
                  <w:vAlign w:val="center"/>
                </w:tcPr>
                <w:p w14:paraId="055E7A16">
                  <w:pPr>
                    <w:pStyle w:val="127"/>
                    <w:bidi w:val="0"/>
                    <w:ind w:left="0" w:leftChars="0" w:right="0" w:rightChars="0"/>
                    <w:rPr>
                      <w:rFonts w:hint="default"/>
                      <w:color w:val="auto"/>
                      <w:highlight w:val="none"/>
                      <w:lang w:val="en-US" w:eastAsia="zh-CN"/>
                    </w:rPr>
                  </w:pPr>
                  <w:r>
                    <w:rPr>
                      <w:rFonts w:hint="eastAsia"/>
                      <w:color w:val="auto"/>
                      <w:highlight w:val="none"/>
                      <w:lang w:val="en-US" w:eastAsia="zh-CN"/>
                    </w:rPr>
                    <w:t>/</w:t>
                  </w:r>
                </w:p>
              </w:tc>
              <w:tc>
                <w:tcPr>
                  <w:tcW w:w="599" w:type="pct"/>
                  <w:tcBorders>
                    <w:tl2br w:val="nil"/>
                    <w:tr2bl w:val="nil"/>
                  </w:tcBorders>
                  <w:noWrap/>
                  <w:vAlign w:val="center"/>
                </w:tcPr>
                <w:p w14:paraId="574C1283">
                  <w:pPr>
                    <w:bidi w:val="0"/>
                    <w:jc w:val="center"/>
                    <w:rPr>
                      <w:rFonts w:hint="default"/>
                      <w:color w:val="auto"/>
                      <w:highlight w:val="none"/>
                      <w:lang w:val="en-US" w:eastAsia="zh-CN"/>
                    </w:rPr>
                  </w:pPr>
                  <w:r>
                    <w:rPr>
                      <w:rFonts w:hint="eastAsia"/>
                      <w:color w:val="auto"/>
                      <w:highlight w:val="none"/>
                      <w:lang w:val="en-US" w:eastAsia="zh-CN"/>
                    </w:rPr>
                    <w:t>是</w:t>
                  </w:r>
                </w:p>
              </w:tc>
            </w:tr>
          </w:tbl>
          <w:p w14:paraId="334A236F">
            <w:pPr>
              <w:pStyle w:val="12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eastAsia"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卫生防护距离初值估算</w:t>
            </w:r>
          </w:p>
          <w:p w14:paraId="0A0466F2">
            <w:pPr>
              <w:pStyle w:val="12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lang w:val="zh-CN" w:eastAsia="zh-CN"/>
              </w:rPr>
              <w:t>以</w:t>
            </w:r>
            <w:r>
              <w:rPr>
                <w:rFonts w:hint="eastAsia" w:ascii="Times New Roman" w:hAnsi="Times New Roman" w:eastAsia="宋体" w:cs="Times New Roman"/>
                <w:color w:val="auto"/>
                <w:lang w:val="en-US" w:eastAsia="zh-CN"/>
              </w:rPr>
              <w:t>污水处理站</w:t>
            </w:r>
            <w:r>
              <w:rPr>
                <w:rFonts w:hint="eastAsia" w:cs="Times New Roman"/>
                <w:color w:val="auto"/>
                <w:lang w:val="en-US" w:eastAsia="zh-CN"/>
              </w:rPr>
              <w:t>一个面源</w:t>
            </w:r>
            <w:r>
              <w:rPr>
                <w:rFonts w:hint="default" w:ascii="Times New Roman" w:hAnsi="Times New Roman" w:eastAsia="宋体" w:cs="Times New Roman"/>
                <w:color w:val="auto"/>
                <w:lang w:val="zh-CN"/>
              </w:rPr>
              <w:t>作为无组织面源计算</w:t>
            </w:r>
            <w:r>
              <w:rPr>
                <w:rFonts w:hint="eastAsia" w:cs="Times New Roman"/>
                <w:color w:val="auto"/>
                <w:lang w:val="zh-CN"/>
              </w:rPr>
              <w:t>，</w:t>
            </w:r>
            <w:r>
              <w:rPr>
                <w:rFonts w:hint="eastAsia" w:cs="Times New Roman"/>
                <w:color w:val="auto"/>
                <w:lang w:val="en-US" w:eastAsia="zh-CN"/>
              </w:rPr>
              <w:t>每个面源</w:t>
            </w:r>
            <w:r>
              <w:rPr>
                <w:rFonts w:hint="default" w:ascii="Times New Roman" w:hAnsi="Times New Roman" w:eastAsia="宋体" w:cs="Times New Roman"/>
                <w:color w:val="auto"/>
                <w:lang w:val="en-US" w:eastAsia="zh-CN"/>
              </w:rPr>
              <w:t>只涉及一种</w:t>
            </w:r>
            <w:r>
              <w:rPr>
                <w:rFonts w:hint="default" w:ascii="Times New Roman" w:hAnsi="Times New Roman" w:eastAsia="宋体" w:cs="Times New Roman"/>
                <w:color w:val="auto"/>
                <w:lang w:val="zh-CN"/>
              </w:rPr>
              <w:t>大气有害物质，</w:t>
            </w:r>
            <w:r>
              <w:rPr>
                <w:rFonts w:hint="default" w:ascii="Times New Roman" w:hAnsi="Times New Roman" w:eastAsia="宋体" w:cs="Times New Roman"/>
                <w:color w:val="auto"/>
                <w:lang w:val="en-US" w:eastAsia="zh-CN"/>
              </w:rPr>
              <w:t>采用《大气有害物质无组织排放卫生防护距离推导技术导则》（GB/T39499-2020）中推荐公式估算，公式如下</w:t>
            </w:r>
            <w:r>
              <w:rPr>
                <w:rFonts w:hint="default" w:ascii="Times New Roman" w:hAnsi="Times New Roman" w:eastAsia="宋体" w:cs="Times New Roman"/>
                <w:color w:val="auto"/>
              </w:rPr>
              <w:t>：</w:t>
            </w:r>
          </w:p>
          <w:p w14:paraId="0C028007">
            <w:pPr>
              <w:adjustRightInd w:val="0"/>
              <w:snapToGrid w:val="0"/>
              <w:spacing w:before="78" w:beforeLines="25" w:after="78" w:afterLines="25" w:line="360" w:lineRule="auto"/>
              <w:ind w:firstLine="272" w:firstLineChars="129"/>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object>
                <v:shape id="_x0000_i1030" o:spt="75" type="#_x0000_t75" style="height:38.65pt;width:165pt;" o:ole="t" filled="f" o:preferrelative="t" stroked="f" coordsize="21600,21600">
                  <v:path/>
                  <v:fill on="f" focussize="0,0"/>
                  <v:stroke on="f"/>
                  <v:imagedata r:id="rId23" o:title=""/>
                  <o:lock v:ext="edit" aspectratio="t"/>
                  <w10:wrap type="none"/>
                  <w10:anchorlock/>
                </v:shape>
                <o:OLEObject Type="Embed" ProgID="Equation.3" ShapeID="_x0000_i1030" DrawAspect="Content" ObjectID="_1468075730" r:id="rId22">
                  <o:LockedField>false</o:LockedField>
                </o:OLEObject>
              </w:object>
            </w:r>
          </w:p>
          <w:p w14:paraId="7314FB78">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p>
          <w:p w14:paraId="021E5158">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31" o:spt="75" type="#_x0000_t75" style="height:18pt;width:16pt;" o:ole="t" filled="f" o:preferrelative="t" stroked="f" coordsize="21600,21600">
                  <v:path/>
                  <v:fill on="f" focussize="0,0"/>
                  <v:stroke on="f"/>
                  <v:imagedata r:id="rId25" o:title=""/>
                  <o:lock v:ext="edit" aspectratio="t"/>
                  <w10:wrap type="none"/>
                  <w10:anchorlock/>
                </v:shape>
                <o:OLEObject Type="Embed" ProgID="Equation.3" ShapeID="_x0000_i1031" DrawAspect="Content" ObjectID="_1468075731" r:id="rId24">
                  <o:LockedField>false</o:LockedField>
                </o:OLEObject>
              </w:object>
            </w:r>
            <w:r>
              <w:rPr>
                <w:rFonts w:hint="default" w:ascii="Times New Roman" w:hAnsi="Times New Roman" w:eastAsia="宋体" w:cs="Times New Roman"/>
                <w:color w:val="auto"/>
                <w:sz w:val="24"/>
              </w:rPr>
              <w:t>—污染物的无组织排放源强，kg/h；</w:t>
            </w:r>
          </w:p>
          <w:p w14:paraId="3A8AB015">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32" o:spt="75" type="#_x0000_t75" style="height:18pt;width:17pt;" o:ole="t" filled="f" o:preferrelative="t" stroked="f" coordsize="21600,21600">
                  <v:path/>
                  <v:fill on="f" focussize="0,0"/>
                  <v:stroke on="f"/>
                  <v:imagedata r:id="rId27" o:title=""/>
                  <o:lock v:ext="edit" aspectratio="t"/>
                  <w10:wrap type="none"/>
                  <w10:anchorlock/>
                </v:shape>
                <o:OLEObject Type="Embed" ProgID="Equation.3" ShapeID="_x0000_i1032" DrawAspect="Content" ObjectID="_1468075732" r:id="rId26">
                  <o:LockedField>false</o:LockedField>
                </o:OLEObject>
              </w:object>
            </w:r>
            <w:r>
              <w:rPr>
                <w:rFonts w:hint="default" w:ascii="Times New Roman" w:hAnsi="Times New Roman" w:eastAsia="宋体" w:cs="Times New Roman"/>
                <w:color w:val="auto"/>
                <w:sz w:val="24"/>
              </w:rPr>
              <w:t>—污染物的标准浓度限值，mg/m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56209A88">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33" o:spt="75" type="#_x0000_t75" style="height:13pt;width:11pt;" o:ole="t" filled="f" o:preferrelative="t" stroked="f" coordsize="21600,21600">
                  <v:path/>
                  <v:fill on="f" focussize="0,0"/>
                  <v:stroke on="f"/>
                  <v:imagedata r:id="rId29" o:title=""/>
                  <o:lock v:ext="edit" aspectratio="t"/>
                  <w10:wrap type="none"/>
                  <w10:anchorlock/>
                </v:shape>
                <o:OLEObject Type="Embed" ProgID="Equation.3" ShapeID="_x0000_i1033" DrawAspect="Content" ObjectID="_1468075733" r:id="rId28">
                  <o:LockedField>false</o:LockedField>
                </o:OLEObject>
              </w:object>
            </w:r>
            <w:r>
              <w:rPr>
                <w:rFonts w:hint="default" w:ascii="Times New Roman" w:hAnsi="Times New Roman" w:eastAsia="宋体" w:cs="Times New Roman"/>
                <w:color w:val="auto"/>
                <w:sz w:val="24"/>
              </w:rPr>
              <w:t>—卫生防护距离，m；</w:t>
            </w:r>
          </w:p>
          <w:p w14:paraId="2219D83C">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34" o:spt="75" type="#_x0000_t75" style="height:10pt;width:9pt;" o:ole="t" filled="f" o:preferrelative="t" stroked="f" coordsize="21600,21600">
                  <v:path/>
                  <v:fill on="f" focussize="0,0"/>
                  <v:stroke on="f"/>
                  <v:imagedata r:id="rId31" o:title=""/>
                  <o:lock v:ext="edit" aspectratio="t"/>
                  <w10:wrap type="none"/>
                  <w10:anchorlock/>
                </v:shape>
                <o:OLEObject Type="Embed" ProgID="Equation.3" ShapeID="_x0000_i1034" DrawAspect="Content" ObjectID="_1468075734" r:id="rId30">
                  <o:LockedField>false</o:LockedField>
                </o:OLEObject>
              </w:object>
            </w:r>
            <w:r>
              <w:rPr>
                <w:rFonts w:hint="default" w:ascii="Times New Roman" w:hAnsi="Times New Roman" w:eastAsia="宋体" w:cs="Times New Roman"/>
                <w:color w:val="auto"/>
                <w:sz w:val="24"/>
              </w:rPr>
              <w:t>—生产单元的等效半径，m。</w:t>
            </w:r>
          </w:p>
          <w:p w14:paraId="0A96D1E4">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等效半径r的计算公式：</w:t>
            </w:r>
            <w:r>
              <w:rPr>
                <w:rFonts w:hint="default" w:ascii="Times New Roman" w:hAnsi="Times New Roman" w:eastAsia="宋体" w:cs="Times New Roman"/>
                <w:color w:val="auto"/>
                <w:sz w:val="24"/>
              </w:rPr>
              <w:object>
                <v:shape id="_x0000_i1035" o:spt="75" type="#_x0000_t75" style="height:35pt;width:41pt;" o:ole="t" filled="f" o:preferrelative="t" stroked="f" coordsize="21600,21600">
                  <v:path/>
                  <v:fill on="f" focussize="0,0"/>
                  <v:stroke on="f"/>
                  <v:imagedata r:id="rId33" o:title=""/>
                  <o:lock v:ext="edit" aspectratio="t"/>
                  <w10:wrap type="none"/>
                  <w10:anchorlock/>
                </v:shape>
                <o:OLEObject Type="Embed" ProgID="Equation.3" ShapeID="_x0000_i1035" DrawAspect="Content" ObjectID="_1468075735" r:id="rId32">
                  <o:LockedField>false</o:LockedField>
                </o:OLEObject>
              </w:object>
            </w:r>
          </w:p>
          <w:p w14:paraId="26D20C07">
            <w:pPr>
              <w:pStyle w:val="124"/>
              <w:bidi w:val="0"/>
              <w:rPr>
                <w:rFonts w:hint="default" w:ascii="Times New Roman" w:hAnsi="Times New Roman" w:eastAsia="宋体" w:cs="Times New Roman"/>
                <w:color w:val="auto"/>
              </w:rPr>
            </w:pPr>
            <w:r>
              <w:rPr>
                <w:rFonts w:hint="default" w:ascii="Times New Roman" w:hAnsi="Times New Roman" w:eastAsia="宋体" w:cs="Times New Roman"/>
                <w:color w:val="auto"/>
              </w:rPr>
              <w:t>式中：</w:t>
            </w:r>
            <w:r>
              <w:rPr>
                <w:rFonts w:hint="default" w:ascii="Times New Roman" w:hAnsi="Times New Roman" w:eastAsia="宋体" w:cs="Times New Roman"/>
                <w:color w:val="auto"/>
                <w:szCs w:val="24"/>
                <w:lang w:val="en-US" w:eastAsia="zh-CN"/>
              </w:rPr>
              <w:t>S</w:t>
            </w:r>
            <w:r>
              <w:rPr>
                <w:rFonts w:hint="default" w:ascii="Times New Roman" w:hAnsi="Times New Roman" w:eastAsia="宋体" w:cs="Times New Roman"/>
                <w:color w:val="auto"/>
              </w:rPr>
              <w:t>—无组织排放源所在生产单元占地面积，m</w:t>
            </w:r>
            <w:r>
              <w:rPr>
                <w:rFonts w:hint="default" w:ascii="Times New Roman" w:hAnsi="Times New Roman" w:eastAsia="宋体" w:cs="Times New Roman"/>
                <w:color w:val="auto"/>
                <w:vertAlign w:val="superscript"/>
              </w:rPr>
              <w:t>2</w:t>
            </w:r>
          </w:p>
          <w:p w14:paraId="16CF5029">
            <w:pPr>
              <w:numPr>
                <w:ilvl w:val="0"/>
                <w:numId w:val="3"/>
              </w:num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B、C、D—计算参数，从</w:t>
            </w:r>
            <w:r>
              <w:rPr>
                <w:rFonts w:hint="default" w:ascii="Times New Roman" w:hAnsi="Times New Roman" w:eastAsia="宋体" w:cs="Times New Roman"/>
                <w:color w:val="auto"/>
                <w:sz w:val="24"/>
                <w:lang w:val="en-US" w:eastAsia="zh-CN"/>
              </w:rPr>
              <w:t>表4-</w:t>
            </w:r>
            <w:r>
              <w:rPr>
                <w:rFonts w:hint="eastAsia" w:cs="Times New Roman"/>
                <w:color w:val="auto"/>
                <w:sz w:val="24"/>
                <w:lang w:val="en-US" w:eastAsia="zh-CN"/>
              </w:rPr>
              <w:t>13</w:t>
            </w:r>
            <w:r>
              <w:rPr>
                <w:rFonts w:hint="default" w:ascii="Times New Roman" w:hAnsi="Times New Roman" w:eastAsia="宋体" w:cs="Times New Roman"/>
                <w:color w:val="auto"/>
                <w:sz w:val="24"/>
              </w:rPr>
              <w:t>中查取。</w:t>
            </w:r>
          </w:p>
          <w:p w14:paraId="520F41E1">
            <w:pPr>
              <w:pStyle w:val="1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表4-</w:t>
            </w:r>
            <w:r>
              <w:rPr>
                <w:rFonts w:hint="eastAsia" w:cs="Times New Roman"/>
                <w:color w:val="auto"/>
                <w:lang w:val="en-US" w:eastAsia="zh-CN"/>
              </w:rPr>
              <w:t xml:space="preserve">13 </w:t>
            </w:r>
            <w:r>
              <w:rPr>
                <w:rFonts w:hint="default" w:ascii="Times New Roman" w:hAnsi="Times New Roman" w:eastAsia="宋体" w:cs="Times New Roman"/>
                <w:color w:val="auto"/>
                <w:lang w:val="en-US" w:eastAsia="zh-CN"/>
              </w:rPr>
              <w:t xml:space="preserve"> 卫生防护距离初值计算系数</w:t>
            </w:r>
          </w:p>
          <w:tbl>
            <w:tblPr>
              <w:tblStyle w:val="33"/>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62"/>
              <w:gridCol w:w="925"/>
              <w:gridCol w:w="770"/>
              <w:gridCol w:w="786"/>
              <w:gridCol w:w="757"/>
              <w:gridCol w:w="15"/>
              <w:gridCol w:w="622"/>
              <w:gridCol w:w="770"/>
              <w:gridCol w:w="775"/>
              <w:gridCol w:w="622"/>
              <w:gridCol w:w="753"/>
              <w:gridCol w:w="631"/>
            </w:tblGrid>
            <w:tr w14:paraId="67C14B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restart"/>
                  <w:tcBorders>
                    <w:tl2br w:val="nil"/>
                    <w:tr2bl w:val="nil"/>
                  </w:tcBorders>
                  <w:noWrap w:val="0"/>
                  <w:vAlign w:val="center"/>
                </w:tcPr>
                <w:p w14:paraId="44E5E12C">
                  <w:pPr>
                    <w:pStyle w:val="126"/>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计算</w:t>
                  </w:r>
                </w:p>
                <w:p w14:paraId="437EF37A">
                  <w:pPr>
                    <w:pStyle w:val="12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t>系数</w:t>
                  </w:r>
                </w:p>
              </w:tc>
              <w:tc>
                <w:tcPr>
                  <w:tcW w:w="565" w:type="pct"/>
                  <w:vMerge w:val="restart"/>
                  <w:tcBorders>
                    <w:tl2br w:val="nil"/>
                    <w:tr2bl w:val="nil"/>
                  </w:tcBorders>
                  <w:noWrap w:val="0"/>
                  <w:vAlign w:val="center"/>
                </w:tcPr>
                <w:p w14:paraId="276A0706">
                  <w:pPr>
                    <w:pStyle w:val="12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t>5年平均风速(m/s)</w:t>
                  </w:r>
                </w:p>
              </w:tc>
              <w:tc>
                <w:tcPr>
                  <w:tcW w:w="3968" w:type="pct"/>
                  <w:gridSpan w:val="10"/>
                  <w:tcBorders>
                    <w:tl2br w:val="nil"/>
                    <w:tr2bl w:val="nil"/>
                  </w:tcBorders>
                  <w:noWrap w:val="0"/>
                  <w:vAlign w:val="center"/>
                </w:tcPr>
                <w:p w14:paraId="09FC0EA9">
                  <w:pPr>
                    <w:pStyle w:val="126"/>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卫生防护距离L(m)</w:t>
                  </w:r>
                </w:p>
              </w:tc>
            </w:tr>
            <w:tr w14:paraId="1DD4F3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continue"/>
                  <w:tcBorders>
                    <w:tl2br w:val="nil"/>
                    <w:tr2bl w:val="nil"/>
                  </w:tcBorders>
                  <w:noWrap w:val="0"/>
                  <w:vAlign w:val="center"/>
                </w:tcPr>
                <w:p w14:paraId="4ACDA2E0">
                  <w:pPr>
                    <w:pStyle w:val="126"/>
                    <w:rPr>
                      <w:rFonts w:hint="default" w:ascii="Times New Roman" w:hAnsi="Times New Roman" w:eastAsia="宋体" w:cs="Times New Roman"/>
                      <w:color w:val="auto"/>
                      <w:lang w:val="zh-CN"/>
                    </w:rPr>
                  </w:pPr>
                </w:p>
              </w:tc>
              <w:tc>
                <w:tcPr>
                  <w:tcW w:w="565" w:type="pct"/>
                  <w:vMerge w:val="continue"/>
                  <w:tcBorders>
                    <w:tl2br w:val="nil"/>
                    <w:tr2bl w:val="nil"/>
                  </w:tcBorders>
                  <w:noWrap w:val="0"/>
                  <w:vAlign w:val="center"/>
                </w:tcPr>
                <w:p w14:paraId="19B7853E">
                  <w:pPr>
                    <w:pStyle w:val="126"/>
                    <w:rPr>
                      <w:rFonts w:hint="default" w:ascii="Times New Roman" w:hAnsi="Times New Roman" w:eastAsia="宋体" w:cs="Times New Roman"/>
                      <w:color w:val="auto"/>
                      <w:lang w:val="zh-CN"/>
                    </w:rPr>
                  </w:pPr>
                </w:p>
              </w:tc>
              <w:tc>
                <w:tcPr>
                  <w:tcW w:w="1412" w:type="pct"/>
                  <w:gridSpan w:val="3"/>
                  <w:tcBorders>
                    <w:tl2br w:val="nil"/>
                    <w:tr2bl w:val="nil"/>
                  </w:tcBorders>
                  <w:noWrap w:val="0"/>
                  <w:vAlign w:val="center"/>
                </w:tcPr>
                <w:p w14:paraId="48524CB5">
                  <w:pPr>
                    <w:pStyle w:val="126"/>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L≤1000</w:t>
                  </w:r>
                </w:p>
              </w:tc>
              <w:tc>
                <w:tcPr>
                  <w:tcW w:w="1332" w:type="pct"/>
                  <w:gridSpan w:val="4"/>
                  <w:tcBorders>
                    <w:tl2br w:val="nil"/>
                    <w:tr2bl w:val="nil"/>
                  </w:tcBorders>
                  <w:noWrap w:val="0"/>
                  <w:vAlign w:val="center"/>
                </w:tcPr>
                <w:p w14:paraId="2EBF0A73">
                  <w:pPr>
                    <w:pStyle w:val="126"/>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1000＜L≤2000</w:t>
                  </w:r>
                </w:p>
              </w:tc>
              <w:tc>
                <w:tcPr>
                  <w:tcW w:w="1223" w:type="pct"/>
                  <w:gridSpan w:val="3"/>
                  <w:tcBorders>
                    <w:tl2br w:val="nil"/>
                    <w:tr2bl w:val="nil"/>
                  </w:tcBorders>
                  <w:noWrap w:val="0"/>
                  <w:vAlign w:val="center"/>
                </w:tcPr>
                <w:p w14:paraId="503F0BD9">
                  <w:pPr>
                    <w:pStyle w:val="126"/>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L＞2000</w:t>
                  </w:r>
                </w:p>
              </w:tc>
            </w:tr>
            <w:tr w14:paraId="070384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continue"/>
                  <w:tcBorders>
                    <w:tl2br w:val="nil"/>
                    <w:tr2bl w:val="nil"/>
                  </w:tcBorders>
                  <w:noWrap w:val="0"/>
                  <w:vAlign w:val="center"/>
                </w:tcPr>
                <w:p w14:paraId="5CAE6E69">
                  <w:pPr>
                    <w:pStyle w:val="126"/>
                    <w:rPr>
                      <w:rFonts w:hint="default" w:ascii="Times New Roman" w:hAnsi="Times New Roman" w:eastAsia="宋体" w:cs="Times New Roman"/>
                      <w:color w:val="auto"/>
                      <w:lang w:val="zh-CN"/>
                    </w:rPr>
                  </w:pPr>
                </w:p>
              </w:tc>
              <w:tc>
                <w:tcPr>
                  <w:tcW w:w="565" w:type="pct"/>
                  <w:vMerge w:val="continue"/>
                  <w:tcBorders>
                    <w:tl2br w:val="nil"/>
                    <w:tr2bl w:val="nil"/>
                  </w:tcBorders>
                  <w:noWrap w:val="0"/>
                  <w:vAlign w:val="center"/>
                </w:tcPr>
                <w:p w14:paraId="158DA0D1">
                  <w:pPr>
                    <w:pStyle w:val="126"/>
                    <w:rPr>
                      <w:rFonts w:hint="default" w:ascii="Times New Roman" w:hAnsi="Times New Roman" w:eastAsia="宋体" w:cs="Times New Roman"/>
                      <w:color w:val="auto"/>
                      <w:lang w:val="zh-CN"/>
                    </w:rPr>
                  </w:pPr>
                </w:p>
              </w:tc>
              <w:tc>
                <w:tcPr>
                  <w:tcW w:w="3968" w:type="pct"/>
                  <w:gridSpan w:val="10"/>
                  <w:tcBorders>
                    <w:tl2br w:val="nil"/>
                    <w:tr2bl w:val="nil"/>
                  </w:tcBorders>
                  <w:noWrap w:val="0"/>
                  <w:vAlign w:val="center"/>
                </w:tcPr>
                <w:p w14:paraId="4455E89D">
                  <w:pPr>
                    <w:pStyle w:val="126"/>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工业大气污染源构成类别</w:t>
                  </w:r>
                </w:p>
              </w:tc>
            </w:tr>
            <w:tr w14:paraId="1D790F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continue"/>
                  <w:tcBorders>
                    <w:tl2br w:val="nil"/>
                    <w:tr2bl w:val="nil"/>
                  </w:tcBorders>
                  <w:noWrap w:val="0"/>
                  <w:vAlign w:val="center"/>
                </w:tcPr>
                <w:p w14:paraId="27034AF0">
                  <w:pPr>
                    <w:pStyle w:val="127"/>
                    <w:rPr>
                      <w:rFonts w:hint="default" w:ascii="Times New Roman" w:hAnsi="Times New Roman" w:eastAsia="宋体" w:cs="Times New Roman"/>
                      <w:color w:val="auto"/>
                      <w:lang w:val="zh-CN"/>
                    </w:rPr>
                  </w:pPr>
                </w:p>
              </w:tc>
              <w:tc>
                <w:tcPr>
                  <w:tcW w:w="565" w:type="pct"/>
                  <w:vMerge w:val="continue"/>
                  <w:tcBorders>
                    <w:tl2br w:val="nil"/>
                    <w:tr2bl w:val="nil"/>
                  </w:tcBorders>
                  <w:noWrap w:val="0"/>
                  <w:vAlign w:val="center"/>
                </w:tcPr>
                <w:p w14:paraId="08A0EA6B">
                  <w:pPr>
                    <w:pStyle w:val="127"/>
                    <w:rPr>
                      <w:rFonts w:hint="default" w:ascii="Times New Roman" w:hAnsi="Times New Roman" w:eastAsia="宋体" w:cs="Times New Roman"/>
                      <w:color w:val="auto"/>
                      <w:lang w:val="zh-CN"/>
                    </w:rPr>
                  </w:pPr>
                </w:p>
              </w:tc>
              <w:tc>
                <w:tcPr>
                  <w:tcW w:w="470" w:type="pct"/>
                  <w:tcBorders>
                    <w:tl2br w:val="nil"/>
                    <w:tr2bl w:val="nil"/>
                  </w:tcBorders>
                  <w:noWrap w:val="0"/>
                  <w:vAlign w:val="center"/>
                </w:tcPr>
                <w:p w14:paraId="0C0AB9DC">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Ⅰ</w:t>
                  </w:r>
                </w:p>
              </w:tc>
              <w:tc>
                <w:tcPr>
                  <w:tcW w:w="480" w:type="pct"/>
                  <w:tcBorders>
                    <w:tl2br w:val="nil"/>
                    <w:tr2bl w:val="nil"/>
                  </w:tcBorders>
                  <w:noWrap w:val="0"/>
                  <w:vAlign w:val="center"/>
                </w:tcPr>
                <w:p w14:paraId="3B9A0951">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Ⅱ</w:t>
                  </w:r>
                </w:p>
              </w:tc>
              <w:tc>
                <w:tcPr>
                  <w:tcW w:w="470" w:type="pct"/>
                  <w:gridSpan w:val="2"/>
                  <w:tcBorders>
                    <w:tl2br w:val="nil"/>
                    <w:tr2bl w:val="nil"/>
                  </w:tcBorders>
                  <w:noWrap w:val="0"/>
                  <w:vAlign w:val="center"/>
                </w:tcPr>
                <w:p w14:paraId="24E9092E">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Ⅲ</w:t>
                  </w:r>
                </w:p>
              </w:tc>
              <w:tc>
                <w:tcPr>
                  <w:tcW w:w="380" w:type="pct"/>
                  <w:tcBorders>
                    <w:tl2br w:val="nil"/>
                    <w:tr2bl w:val="nil"/>
                  </w:tcBorders>
                  <w:noWrap w:val="0"/>
                  <w:vAlign w:val="center"/>
                </w:tcPr>
                <w:p w14:paraId="064290D5">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Ⅰ</w:t>
                  </w:r>
                </w:p>
              </w:tc>
              <w:tc>
                <w:tcPr>
                  <w:tcW w:w="470" w:type="pct"/>
                  <w:tcBorders>
                    <w:tl2br w:val="nil"/>
                    <w:tr2bl w:val="nil"/>
                  </w:tcBorders>
                  <w:noWrap w:val="0"/>
                  <w:vAlign w:val="center"/>
                </w:tcPr>
                <w:p w14:paraId="514B236D">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Ⅱ</w:t>
                  </w:r>
                </w:p>
              </w:tc>
              <w:tc>
                <w:tcPr>
                  <w:tcW w:w="472" w:type="pct"/>
                  <w:tcBorders>
                    <w:tl2br w:val="nil"/>
                    <w:tr2bl w:val="nil"/>
                  </w:tcBorders>
                  <w:noWrap w:val="0"/>
                  <w:vAlign w:val="center"/>
                </w:tcPr>
                <w:p w14:paraId="117DCD52">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Ⅲ</w:t>
                  </w:r>
                </w:p>
              </w:tc>
              <w:tc>
                <w:tcPr>
                  <w:tcW w:w="380" w:type="pct"/>
                  <w:tcBorders>
                    <w:tl2br w:val="nil"/>
                    <w:tr2bl w:val="nil"/>
                  </w:tcBorders>
                  <w:noWrap w:val="0"/>
                  <w:vAlign w:val="center"/>
                </w:tcPr>
                <w:p w14:paraId="3606C656">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Ⅰ</w:t>
                  </w:r>
                </w:p>
              </w:tc>
              <w:tc>
                <w:tcPr>
                  <w:tcW w:w="460" w:type="pct"/>
                  <w:tcBorders>
                    <w:tl2br w:val="nil"/>
                    <w:tr2bl w:val="nil"/>
                  </w:tcBorders>
                  <w:noWrap w:val="0"/>
                  <w:vAlign w:val="center"/>
                </w:tcPr>
                <w:p w14:paraId="5EEDF098">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Ⅱ</w:t>
                  </w:r>
                </w:p>
              </w:tc>
              <w:tc>
                <w:tcPr>
                  <w:tcW w:w="383" w:type="pct"/>
                  <w:tcBorders>
                    <w:tl2br w:val="nil"/>
                    <w:tr2bl w:val="nil"/>
                  </w:tcBorders>
                  <w:noWrap w:val="0"/>
                  <w:vAlign w:val="center"/>
                </w:tcPr>
                <w:p w14:paraId="3CF51C47">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Ⅲ</w:t>
                  </w:r>
                </w:p>
              </w:tc>
            </w:tr>
            <w:tr w14:paraId="034F5F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restart"/>
                  <w:tcBorders>
                    <w:tl2br w:val="nil"/>
                    <w:tr2bl w:val="nil"/>
                  </w:tcBorders>
                  <w:noWrap w:val="0"/>
                  <w:vAlign w:val="center"/>
                </w:tcPr>
                <w:p w14:paraId="6E666793">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A</w:t>
                  </w:r>
                </w:p>
              </w:tc>
              <w:tc>
                <w:tcPr>
                  <w:tcW w:w="565" w:type="pct"/>
                  <w:tcBorders>
                    <w:tl2br w:val="nil"/>
                    <w:tr2bl w:val="nil"/>
                  </w:tcBorders>
                  <w:noWrap w:val="0"/>
                  <w:vAlign w:val="center"/>
                </w:tcPr>
                <w:p w14:paraId="56A83255">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w:t>
                  </w:r>
                </w:p>
              </w:tc>
              <w:tc>
                <w:tcPr>
                  <w:tcW w:w="470" w:type="pct"/>
                  <w:tcBorders>
                    <w:tl2br w:val="nil"/>
                    <w:tr2bl w:val="nil"/>
                  </w:tcBorders>
                  <w:noWrap w:val="0"/>
                  <w:vAlign w:val="center"/>
                </w:tcPr>
                <w:p w14:paraId="0226A4EB">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400</w:t>
                  </w:r>
                </w:p>
              </w:tc>
              <w:tc>
                <w:tcPr>
                  <w:tcW w:w="480" w:type="pct"/>
                  <w:tcBorders>
                    <w:tl2br w:val="nil"/>
                    <w:tr2bl w:val="nil"/>
                  </w:tcBorders>
                  <w:noWrap w:val="0"/>
                  <w:vAlign w:val="center"/>
                </w:tcPr>
                <w:p w14:paraId="2CF67DE2">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400</w:t>
                  </w:r>
                </w:p>
              </w:tc>
              <w:tc>
                <w:tcPr>
                  <w:tcW w:w="470" w:type="pct"/>
                  <w:gridSpan w:val="2"/>
                  <w:tcBorders>
                    <w:tl2br w:val="nil"/>
                    <w:tr2bl w:val="nil"/>
                  </w:tcBorders>
                  <w:noWrap w:val="0"/>
                  <w:vAlign w:val="center"/>
                </w:tcPr>
                <w:p w14:paraId="1944EE2F">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400</w:t>
                  </w:r>
                </w:p>
              </w:tc>
              <w:tc>
                <w:tcPr>
                  <w:tcW w:w="380" w:type="pct"/>
                  <w:tcBorders>
                    <w:tl2br w:val="nil"/>
                    <w:tr2bl w:val="nil"/>
                  </w:tcBorders>
                  <w:noWrap w:val="0"/>
                  <w:vAlign w:val="center"/>
                </w:tcPr>
                <w:p w14:paraId="279E9E43">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400</w:t>
                  </w:r>
                </w:p>
              </w:tc>
              <w:tc>
                <w:tcPr>
                  <w:tcW w:w="470" w:type="pct"/>
                  <w:tcBorders>
                    <w:tl2br w:val="nil"/>
                    <w:tr2bl w:val="nil"/>
                  </w:tcBorders>
                  <w:noWrap w:val="0"/>
                  <w:vAlign w:val="center"/>
                </w:tcPr>
                <w:p w14:paraId="08D1F536">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400</w:t>
                  </w:r>
                </w:p>
              </w:tc>
              <w:tc>
                <w:tcPr>
                  <w:tcW w:w="472" w:type="pct"/>
                  <w:tcBorders>
                    <w:tl2br w:val="nil"/>
                    <w:tr2bl w:val="nil"/>
                  </w:tcBorders>
                  <w:noWrap w:val="0"/>
                  <w:vAlign w:val="center"/>
                </w:tcPr>
                <w:p w14:paraId="52388C22">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400</w:t>
                  </w:r>
                </w:p>
              </w:tc>
              <w:tc>
                <w:tcPr>
                  <w:tcW w:w="380" w:type="pct"/>
                  <w:tcBorders>
                    <w:tl2br w:val="nil"/>
                    <w:tr2bl w:val="nil"/>
                  </w:tcBorders>
                  <w:noWrap w:val="0"/>
                  <w:vAlign w:val="center"/>
                </w:tcPr>
                <w:p w14:paraId="17FBDAA6">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80</w:t>
                  </w:r>
                </w:p>
              </w:tc>
              <w:tc>
                <w:tcPr>
                  <w:tcW w:w="460" w:type="pct"/>
                  <w:tcBorders>
                    <w:tl2br w:val="nil"/>
                    <w:tr2bl w:val="nil"/>
                  </w:tcBorders>
                  <w:noWrap w:val="0"/>
                  <w:vAlign w:val="center"/>
                </w:tcPr>
                <w:p w14:paraId="5549484B">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80</w:t>
                  </w:r>
                </w:p>
              </w:tc>
              <w:tc>
                <w:tcPr>
                  <w:tcW w:w="383" w:type="pct"/>
                  <w:tcBorders>
                    <w:tl2br w:val="nil"/>
                    <w:tr2bl w:val="nil"/>
                  </w:tcBorders>
                  <w:noWrap w:val="0"/>
                  <w:vAlign w:val="center"/>
                </w:tcPr>
                <w:p w14:paraId="29145871">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80</w:t>
                  </w:r>
                </w:p>
              </w:tc>
            </w:tr>
            <w:tr w14:paraId="0D53E4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continue"/>
                  <w:tcBorders>
                    <w:tl2br w:val="nil"/>
                    <w:tr2bl w:val="nil"/>
                  </w:tcBorders>
                  <w:noWrap w:val="0"/>
                  <w:vAlign w:val="center"/>
                </w:tcPr>
                <w:p w14:paraId="1FDF699C">
                  <w:pPr>
                    <w:pStyle w:val="127"/>
                    <w:rPr>
                      <w:rFonts w:hint="default" w:ascii="Times New Roman" w:hAnsi="Times New Roman" w:eastAsia="宋体" w:cs="Times New Roman"/>
                      <w:color w:val="auto"/>
                      <w:lang w:val="zh-CN"/>
                    </w:rPr>
                  </w:pPr>
                </w:p>
              </w:tc>
              <w:tc>
                <w:tcPr>
                  <w:tcW w:w="565" w:type="pct"/>
                  <w:tcBorders>
                    <w:tl2br w:val="nil"/>
                    <w:tr2bl w:val="nil"/>
                  </w:tcBorders>
                  <w:noWrap w:val="0"/>
                  <w:vAlign w:val="center"/>
                </w:tcPr>
                <w:p w14:paraId="7CC511FD">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2～4</w:t>
                  </w:r>
                </w:p>
              </w:tc>
              <w:tc>
                <w:tcPr>
                  <w:tcW w:w="470" w:type="pct"/>
                  <w:tcBorders>
                    <w:tl2br w:val="nil"/>
                    <w:tr2bl w:val="nil"/>
                  </w:tcBorders>
                  <w:noWrap w:val="0"/>
                  <w:vAlign w:val="center"/>
                </w:tcPr>
                <w:p w14:paraId="0016953A">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700</w:t>
                  </w:r>
                </w:p>
              </w:tc>
              <w:tc>
                <w:tcPr>
                  <w:tcW w:w="480" w:type="pct"/>
                  <w:tcBorders>
                    <w:tl2br w:val="nil"/>
                    <w:tr2bl w:val="nil"/>
                  </w:tcBorders>
                  <w:noWrap w:val="0"/>
                  <w:vAlign w:val="center"/>
                </w:tcPr>
                <w:p w14:paraId="246B4257">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470</w:t>
                  </w:r>
                </w:p>
              </w:tc>
              <w:tc>
                <w:tcPr>
                  <w:tcW w:w="470" w:type="pct"/>
                  <w:gridSpan w:val="2"/>
                  <w:tcBorders>
                    <w:tl2br w:val="nil"/>
                    <w:tr2bl w:val="nil"/>
                  </w:tcBorders>
                  <w:noWrap w:val="0"/>
                  <w:vAlign w:val="center"/>
                </w:tcPr>
                <w:p w14:paraId="44EF6C26">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350</w:t>
                  </w:r>
                </w:p>
              </w:tc>
              <w:tc>
                <w:tcPr>
                  <w:tcW w:w="380" w:type="pct"/>
                  <w:tcBorders>
                    <w:tl2br w:val="nil"/>
                    <w:tr2bl w:val="nil"/>
                  </w:tcBorders>
                  <w:noWrap w:val="0"/>
                  <w:vAlign w:val="center"/>
                </w:tcPr>
                <w:p w14:paraId="2D25FE61">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700</w:t>
                  </w:r>
                </w:p>
              </w:tc>
              <w:tc>
                <w:tcPr>
                  <w:tcW w:w="470" w:type="pct"/>
                  <w:tcBorders>
                    <w:tl2br w:val="nil"/>
                    <w:tr2bl w:val="nil"/>
                  </w:tcBorders>
                  <w:noWrap w:val="0"/>
                  <w:vAlign w:val="center"/>
                </w:tcPr>
                <w:p w14:paraId="22AB118A">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470</w:t>
                  </w:r>
                </w:p>
              </w:tc>
              <w:tc>
                <w:tcPr>
                  <w:tcW w:w="472" w:type="pct"/>
                  <w:tcBorders>
                    <w:tl2br w:val="nil"/>
                    <w:tr2bl w:val="nil"/>
                  </w:tcBorders>
                  <w:noWrap w:val="0"/>
                  <w:vAlign w:val="center"/>
                </w:tcPr>
                <w:p w14:paraId="3860A5F8">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350</w:t>
                  </w:r>
                </w:p>
              </w:tc>
              <w:tc>
                <w:tcPr>
                  <w:tcW w:w="380" w:type="pct"/>
                  <w:tcBorders>
                    <w:tl2br w:val="nil"/>
                    <w:tr2bl w:val="nil"/>
                  </w:tcBorders>
                  <w:noWrap w:val="0"/>
                  <w:vAlign w:val="center"/>
                </w:tcPr>
                <w:p w14:paraId="5DAB07AF">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380</w:t>
                  </w:r>
                </w:p>
              </w:tc>
              <w:tc>
                <w:tcPr>
                  <w:tcW w:w="460" w:type="pct"/>
                  <w:tcBorders>
                    <w:tl2br w:val="nil"/>
                    <w:tr2bl w:val="nil"/>
                  </w:tcBorders>
                  <w:noWrap w:val="0"/>
                  <w:vAlign w:val="center"/>
                </w:tcPr>
                <w:p w14:paraId="4E56AF01">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250</w:t>
                  </w:r>
                </w:p>
              </w:tc>
              <w:tc>
                <w:tcPr>
                  <w:tcW w:w="383" w:type="pct"/>
                  <w:tcBorders>
                    <w:tl2br w:val="nil"/>
                    <w:tr2bl w:val="nil"/>
                  </w:tcBorders>
                  <w:noWrap w:val="0"/>
                  <w:vAlign w:val="center"/>
                </w:tcPr>
                <w:p w14:paraId="1203CE22">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190</w:t>
                  </w:r>
                </w:p>
              </w:tc>
            </w:tr>
            <w:tr w14:paraId="20A6B6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continue"/>
                  <w:tcBorders>
                    <w:tl2br w:val="nil"/>
                    <w:tr2bl w:val="nil"/>
                  </w:tcBorders>
                  <w:noWrap w:val="0"/>
                  <w:vAlign w:val="center"/>
                </w:tcPr>
                <w:p w14:paraId="73E4D1F9">
                  <w:pPr>
                    <w:pStyle w:val="127"/>
                    <w:rPr>
                      <w:rFonts w:hint="default" w:ascii="Times New Roman" w:hAnsi="Times New Roman" w:eastAsia="宋体" w:cs="Times New Roman"/>
                      <w:color w:val="auto"/>
                      <w:lang w:val="zh-CN"/>
                    </w:rPr>
                  </w:pPr>
                </w:p>
              </w:tc>
              <w:tc>
                <w:tcPr>
                  <w:tcW w:w="565" w:type="pct"/>
                  <w:tcBorders>
                    <w:tl2br w:val="nil"/>
                    <w:tr2bl w:val="nil"/>
                  </w:tcBorders>
                  <w:noWrap w:val="0"/>
                  <w:vAlign w:val="center"/>
                </w:tcPr>
                <w:p w14:paraId="4C8F34D6">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＞4</w:t>
                  </w:r>
                </w:p>
              </w:tc>
              <w:tc>
                <w:tcPr>
                  <w:tcW w:w="470" w:type="pct"/>
                  <w:tcBorders>
                    <w:tl2br w:val="nil"/>
                    <w:tr2bl w:val="nil"/>
                  </w:tcBorders>
                  <w:noWrap w:val="0"/>
                  <w:vAlign w:val="center"/>
                </w:tcPr>
                <w:p w14:paraId="1361926E">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530</w:t>
                  </w:r>
                </w:p>
              </w:tc>
              <w:tc>
                <w:tcPr>
                  <w:tcW w:w="480" w:type="pct"/>
                  <w:tcBorders>
                    <w:tl2br w:val="nil"/>
                    <w:tr2bl w:val="nil"/>
                  </w:tcBorders>
                  <w:noWrap w:val="0"/>
                  <w:vAlign w:val="center"/>
                </w:tcPr>
                <w:p w14:paraId="14DF9D6E">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350</w:t>
                  </w:r>
                </w:p>
              </w:tc>
              <w:tc>
                <w:tcPr>
                  <w:tcW w:w="470" w:type="pct"/>
                  <w:gridSpan w:val="2"/>
                  <w:tcBorders>
                    <w:tl2br w:val="nil"/>
                    <w:tr2bl w:val="nil"/>
                  </w:tcBorders>
                  <w:noWrap w:val="0"/>
                  <w:vAlign w:val="center"/>
                </w:tcPr>
                <w:p w14:paraId="08A0267E">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260</w:t>
                  </w:r>
                </w:p>
              </w:tc>
              <w:tc>
                <w:tcPr>
                  <w:tcW w:w="380" w:type="pct"/>
                  <w:tcBorders>
                    <w:tl2br w:val="nil"/>
                    <w:tr2bl w:val="nil"/>
                  </w:tcBorders>
                  <w:noWrap w:val="0"/>
                  <w:vAlign w:val="center"/>
                </w:tcPr>
                <w:p w14:paraId="3FE9F476">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530</w:t>
                  </w:r>
                </w:p>
              </w:tc>
              <w:tc>
                <w:tcPr>
                  <w:tcW w:w="470" w:type="pct"/>
                  <w:tcBorders>
                    <w:tl2br w:val="nil"/>
                    <w:tr2bl w:val="nil"/>
                  </w:tcBorders>
                  <w:noWrap w:val="0"/>
                  <w:vAlign w:val="center"/>
                </w:tcPr>
                <w:p w14:paraId="7F6A1835">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350</w:t>
                  </w:r>
                </w:p>
              </w:tc>
              <w:tc>
                <w:tcPr>
                  <w:tcW w:w="472" w:type="pct"/>
                  <w:tcBorders>
                    <w:tl2br w:val="nil"/>
                    <w:tr2bl w:val="nil"/>
                  </w:tcBorders>
                  <w:noWrap w:val="0"/>
                  <w:vAlign w:val="center"/>
                </w:tcPr>
                <w:p w14:paraId="4BCA8385">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260</w:t>
                  </w:r>
                </w:p>
              </w:tc>
              <w:tc>
                <w:tcPr>
                  <w:tcW w:w="380" w:type="pct"/>
                  <w:tcBorders>
                    <w:tl2br w:val="nil"/>
                    <w:tr2bl w:val="nil"/>
                  </w:tcBorders>
                  <w:noWrap w:val="0"/>
                  <w:vAlign w:val="center"/>
                </w:tcPr>
                <w:p w14:paraId="7DF6D4F7">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290</w:t>
                  </w:r>
                </w:p>
              </w:tc>
              <w:tc>
                <w:tcPr>
                  <w:tcW w:w="460" w:type="pct"/>
                  <w:tcBorders>
                    <w:tl2br w:val="nil"/>
                    <w:tr2bl w:val="nil"/>
                  </w:tcBorders>
                  <w:noWrap w:val="0"/>
                  <w:vAlign w:val="center"/>
                </w:tcPr>
                <w:p w14:paraId="49122B28">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190</w:t>
                  </w:r>
                </w:p>
              </w:tc>
              <w:tc>
                <w:tcPr>
                  <w:tcW w:w="383" w:type="pct"/>
                  <w:tcBorders>
                    <w:tl2br w:val="nil"/>
                    <w:tr2bl w:val="nil"/>
                  </w:tcBorders>
                  <w:noWrap w:val="0"/>
                  <w:vAlign w:val="center"/>
                </w:tcPr>
                <w:p w14:paraId="240ABF01">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140</w:t>
                  </w:r>
                </w:p>
              </w:tc>
            </w:tr>
            <w:tr w14:paraId="7B1223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restart"/>
                  <w:tcBorders>
                    <w:tl2br w:val="nil"/>
                    <w:tr2bl w:val="nil"/>
                  </w:tcBorders>
                  <w:noWrap w:val="0"/>
                  <w:vAlign w:val="center"/>
                </w:tcPr>
                <w:p w14:paraId="2B7C9BA4">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B</w:t>
                  </w:r>
                </w:p>
              </w:tc>
              <w:tc>
                <w:tcPr>
                  <w:tcW w:w="565" w:type="pct"/>
                  <w:tcBorders>
                    <w:tl2br w:val="nil"/>
                    <w:tr2bl w:val="nil"/>
                  </w:tcBorders>
                  <w:noWrap w:val="0"/>
                  <w:vAlign w:val="center"/>
                </w:tcPr>
                <w:p w14:paraId="28BE02BA">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w:t>
                  </w:r>
                </w:p>
              </w:tc>
              <w:tc>
                <w:tcPr>
                  <w:tcW w:w="1421" w:type="pct"/>
                  <w:gridSpan w:val="4"/>
                  <w:tcBorders>
                    <w:tl2br w:val="nil"/>
                    <w:tr2bl w:val="nil"/>
                  </w:tcBorders>
                  <w:noWrap w:val="0"/>
                  <w:vAlign w:val="center"/>
                </w:tcPr>
                <w:p w14:paraId="7F1934E8">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0.01</w:t>
                  </w:r>
                </w:p>
              </w:tc>
              <w:tc>
                <w:tcPr>
                  <w:tcW w:w="1322" w:type="pct"/>
                  <w:gridSpan w:val="3"/>
                  <w:tcBorders>
                    <w:tl2br w:val="nil"/>
                    <w:tr2bl w:val="nil"/>
                  </w:tcBorders>
                  <w:noWrap w:val="0"/>
                  <w:vAlign w:val="center"/>
                </w:tcPr>
                <w:p w14:paraId="4D856B07">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0.015</w:t>
                  </w:r>
                </w:p>
              </w:tc>
              <w:tc>
                <w:tcPr>
                  <w:tcW w:w="1223" w:type="pct"/>
                  <w:gridSpan w:val="3"/>
                  <w:tcBorders>
                    <w:tl2br w:val="nil"/>
                    <w:tr2bl w:val="nil"/>
                  </w:tcBorders>
                  <w:noWrap w:val="0"/>
                  <w:vAlign w:val="center"/>
                </w:tcPr>
                <w:p w14:paraId="61A2096D">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0.015</w:t>
                  </w:r>
                </w:p>
              </w:tc>
            </w:tr>
            <w:tr w14:paraId="43A7C2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continue"/>
                  <w:tcBorders>
                    <w:tl2br w:val="nil"/>
                    <w:tr2bl w:val="nil"/>
                  </w:tcBorders>
                  <w:noWrap w:val="0"/>
                  <w:vAlign w:val="center"/>
                </w:tcPr>
                <w:p w14:paraId="3093E697">
                  <w:pPr>
                    <w:pStyle w:val="127"/>
                    <w:rPr>
                      <w:rFonts w:hint="default" w:ascii="Times New Roman" w:hAnsi="Times New Roman" w:eastAsia="宋体" w:cs="Times New Roman"/>
                      <w:color w:val="auto"/>
                      <w:lang w:val="zh-CN"/>
                    </w:rPr>
                  </w:pPr>
                </w:p>
              </w:tc>
              <w:tc>
                <w:tcPr>
                  <w:tcW w:w="565" w:type="pct"/>
                  <w:tcBorders>
                    <w:tl2br w:val="nil"/>
                    <w:tr2bl w:val="nil"/>
                  </w:tcBorders>
                  <w:noWrap w:val="0"/>
                  <w:vAlign w:val="center"/>
                </w:tcPr>
                <w:p w14:paraId="47D0C9DF">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w:t>
                  </w:r>
                </w:p>
              </w:tc>
              <w:tc>
                <w:tcPr>
                  <w:tcW w:w="1421" w:type="pct"/>
                  <w:gridSpan w:val="4"/>
                  <w:tcBorders>
                    <w:tl2br w:val="nil"/>
                    <w:tr2bl w:val="nil"/>
                  </w:tcBorders>
                  <w:noWrap w:val="0"/>
                  <w:vAlign w:val="center"/>
                </w:tcPr>
                <w:p w14:paraId="00C0D706">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0.021</w:t>
                  </w:r>
                </w:p>
              </w:tc>
              <w:tc>
                <w:tcPr>
                  <w:tcW w:w="1322" w:type="pct"/>
                  <w:gridSpan w:val="3"/>
                  <w:tcBorders>
                    <w:tl2br w:val="nil"/>
                    <w:tr2bl w:val="nil"/>
                  </w:tcBorders>
                  <w:noWrap w:val="0"/>
                  <w:vAlign w:val="center"/>
                </w:tcPr>
                <w:p w14:paraId="09D7EC78">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0.036</w:t>
                  </w:r>
                </w:p>
              </w:tc>
              <w:tc>
                <w:tcPr>
                  <w:tcW w:w="1223" w:type="pct"/>
                  <w:gridSpan w:val="3"/>
                  <w:tcBorders>
                    <w:tl2br w:val="nil"/>
                    <w:tr2bl w:val="nil"/>
                  </w:tcBorders>
                  <w:noWrap w:val="0"/>
                  <w:vAlign w:val="center"/>
                </w:tcPr>
                <w:p w14:paraId="6E5310B4">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0.036</w:t>
                  </w:r>
                </w:p>
              </w:tc>
            </w:tr>
            <w:tr w14:paraId="668AE2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restart"/>
                  <w:tcBorders>
                    <w:tl2br w:val="nil"/>
                    <w:tr2bl w:val="nil"/>
                  </w:tcBorders>
                  <w:noWrap w:val="0"/>
                  <w:vAlign w:val="center"/>
                </w:tcPr>
                <w:p w14:paraId="10805AC0">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C</w:t>
                  </w:r>
                </w:p>
              </w:tc>
              <w:tc>
                <w:tcPr>
                  <w:tcW w:w="565" w:type="pct"/>
                  <w:tcBorders>
                    <w:tl2br w:val="nil"/>
                    <w:tr2bl w:val="nil"/>
                  </w:tcBorders>
                  <w:noWrap w:val="0"/>
                  <w:vAlign w:val="center"/>
                </w:tcPr>
                <w:p w14:paraId="0099F6F4">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w:t>
                  </w:r>
                </w:p>
              </w:tc>
              <w:tc>
                <w:tcPr>
                  <w:tcW w:w="1421" w:type="pct"/>
                  <w:gridSpan w:val="4"/>
                  <w:tcBorders>
                    <w:tl2br w:val="nil"/>
                    <w:tr2bl w:val="nil"/>
                  </w:tcBorders>
                  <w:noWrap w:val="0"/>
                  <w:vAlign w:val="center"/>
                </w:tcPr>
                <w:p w14:paraId="30FCE250">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1.85</w:t>
                  </w:r>
                </w:p>
              </w:tc>
              <w:tc>
                <w:tcPr>
                  <w:tcW w:w="1322" w:type="pct"/>
                  <w:gridSpan w:val="3"/>
                  <w:tcBorders>
                    <w:tl2br w:val="nil"/>
                    <w:tr2bl w:val="nil"/>
                  </w:tcBorders>
                  <w:noWrap w:val="0"/>
                  <w:vAlign w:val="center"/>
                </w:tcPr>
                <w:p w14:paraId="12A3178A">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1.79</w:t>
                  </w:r>
                </w:p>
              </w:tc>
              <w:tc>
                <w:tcPr>
                  <w:tcW w:w="1223" w:type="pct"/>
                  <w:gridSpan w:val="3"/>
                  <w:tcBorders>
                    <w:tl2br w:val="nil"/>
                    <w:tr2bl w:val="nil"/>
                  </w:tcBorders>
                  <w:noWrap w:val="0"/>
                  <w:vAlign w:val="center"/>
                </w:tcPr>
                <w:p w14:paraId="45197E3E">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1.79</w:t>
                  </w:r>
                </w:p>
              </w:tc>
            </w:tr>
            <w:tr w14:paraId="035E8B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continue"/>
                  <w:tcBorders>
                    <w:tl2br w:val="nil"/>
                    <w:tr2bl w:val="nil"/>
                  </w:tcBorders>
                  <w:noWrap w:val="0"/>
                  <w:vAlign w:val="center"/>
                </w:tcPr>
                <w:p w14:paraId="2B398143">
                  <w:pPr>
                    <w:pStyle w:val="127"/>
                    <w:rPr>
                      <w:rFonts w:hint="default" w:ascii="Times New Roman" w:hAnsi="Times New Roman" w:eastAsia="宋体" w:cs="Times New Roman"/>
                      <w:color w:val="auto"/>
                      <w:lang w:val="zh-CN"/>
                    </w:rPr>
                  </w:pPr>
                </w:p>
              </w:tc>
              <w:tc>
                <w:tcPr>
                  <w:tcW w:w="565" w:type="pct"/>
                  <w:tcBorders>
                    <w:tl2br w:val="nil"/>
                    <w:tr2bl w:val="nil"/>
                  </w:tcBorders>
                  <w:noWrap w:val="0"/>
                  <w:vAlign w:val="center"/>
                </w:tcPr>
                <w:p w14:paraId="23086A31">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w:t>
                  </w:r>
                </w:p>
              </w:tc>
              <w:tc>
                <w:tcPr>
                  <w:tcW w:w="1421" w:type="pct"/>
                  <w:gridSpan w:val="4"/>
                  <w:tcBorders>
                    <w:tl2br w:val="nil"/>
                    <w:tr2bl w:val="nil"/>
                  </w:tcBorders>
                  <w:noWrap w:val="0"/>
                  <w:vAlign w:val="center"/>
                </w:tcPr>
                <w:p w14:paraId="298D5C25">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1.85</w:t>
                  </w:r>
                </w:p>
              </w:tc>
              <w:tc>
                <w:tcPr>
                  <w:tcW w:w="1322" w:type="pct"/>
                  <w:gridSpan w:val="3"/>
                  <w:tcBorders>
                    <w:tl2br w:val="nil"/>
                    <w:tr2bl w:val="nil"/>
                  </w:tcBorders>
                  <w:noWrap w:val="0"/>
                  <w:vAlign w:val="center"/>
                </w:tcPr>
                <w:p w14:paraId="70727010">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1.77</w:t>
                  </w:r>
                </w:p>
              </w:tc>
              <w:tc>
                <w:tcPr>
                  <w:tcW w:w="1223" w:type="pct"/>
                  <w:gridSpan w:val="3"/>
                  <w:tcBorders>
                    <w:tl2br w:val="nil"/>
                    <w:tr2bl w:val="nil"/>
                  </w:tcBorders>
                  <w:noWrap w:val="0"/>
                  <w:vAlign w:val="center"/>
                </w:tcPr>
                <w:p w14:paraId="558001B5">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1.77</w:t>
                  </w:r>
                </w:p>
              </w:tc>
            </w:tr>
            <w:tr w14:paraId="100B04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restart"/>
                  <w:tcBorders>
                    <w:tl2br w:val="nil"/>
                    <w:tr2bl w:val="nil"/>
                  </w:tcBorders>
                  <w:noWrap w:val="0"/>
                  <w:vAlign w:val="center"/>
                </w:tcPr>
                <w:p w14:paraId="0FBDD7B2">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D</w:t>
                  </w:r>
                </w:p>
              </w:tc>
              <w:tc>
                <w:tcPr>
                  <w:tcW w:w="565" w:type="pct"/>
                  <w:tcBorders>
                    <w:tl2br w:val="nil"/>
                    <w:tr2bl w:val="nil"/>
                  </w:tcBorders>
                  <w:noWrap w:val="0"/>
                  <w:vAlign w:val="center"/>
                </w:tcPr>
                <w:p w14:paraId="171A6002">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w:t>
                  </w:r>
                </w:p>
              </w:tc>
              <w:tc>
                <w:tcPr>
                  <w:tcW w:w="1421" w:type="pct"/>
                  <w:gridSpan w:val="4"/>
                  <w:tcBorders>
                    <w:tl2br w:val="nil"/>
                    <w:tr2bl w:val="nil"/>
                  </w:tcBorders>
                  <w:noWrap w:val="0"/>
                  <w:vAlign w:val="center"/>
                </w:tcPr>
                <w:p w14:paraId="3AFD2C42">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0.78</w:t>
                  </w:r>
                </w:p>
              </w:tc>
              <w:tc>
                <w:tcPr>
                  <w:tcW w:w="1322" w:type="pct"/>
                  <w:gridSpan w:val="3"/>
                  <w:tcBorders>
                    <w:tl2br w:val="nil"/>
                    <w:tr2bl w:val="nil"/>
                  </w:tcBorders>
                  <w:noWrap w:val="0"/>
                  <w:vAlign w:val="center"/>
                </w:tcPr>
                <w:p w14:paraId="2342B749">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0.78</w:t>
                  </w:r>
                </w:p>
              </w:tc>
              <w:tc>
                <w:tcPr>
                  <w:tcW w:w="1223" w:type="pct"/>
                  <w:gridSpan w:val="3"/>
                  <w:tcBorders>
                    <w:tl2br w:val="nil"/>
                    <w:tr2bl w:val="nil"/>
                  </w:tcBorders>
                  <w:noWrap w:val="0"/>
                  <w:vAlign w:val="center"/>
                </w:tcPr>
                <w:p w14:paraId="5D86F281">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0.57</w:t>
                  </w:r>
                </w:p>
              </w:tc>
            </w:tr>
            <w:tr w14:paraId="79201B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465" w:type="pct"/>
                  <w:vMerge w:val="continue"/>
                  <w:tcBorders>
                    <w:tl2br w:val="nil"/>
                    <w:tr2bl w:val="nil"/>
                  </w:tcBorders>
                  <w:noWrap w:val="0"/>
                  <w:vAlign w:val="center"/>
                </w:tcPr>
                <w:p w14:paraId="505202BA">
                  <w:pPr>
                    <w:pStyle w:val="127"/>
                    <w:rPr>
                      <w:rFonts w:hint="default" w:ascii="Times New Roman" w:hAnsi="Times New Roman" w:eastAsia="宋体" w:cs="Times New Roman"/>
                      <w:color w:val="auto"/>
                      <w:lang w:val="zh-CN"/>
                    </w:rPr>
                  </w:pPr>
                </w:p>
              </w:tc>
              <w:tc>
                <w:tcPr>
                  <w:tcW w:w="565" w:type="pct"/>
                  <w:tcBorders>
                    <w:tl2br w:val="nil"/>
                    <w:tr2bl w:val="nil"/>
                  </w:tcBorders>
                  <w:noWrap w:val="0"/>
                  <w:vAlign w:val="center"/>
                </w:tcPr>
                <w:p w14:paraId="2BAB5EEB">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＞2</w:t>
                  </w:r>
                </w:p>
              </w:tc>
              <w:tc>
                <w:tcPr>
                  <w:tcW w:w="1421" w:type="pct"/>
                  <w:gridSpan w:val="4"/>
                  <w:tcBorders>
                    <w:tl2br w:val="nil"/>
                    <w:tr2bl w:val="nil"/>
                  </w:tcBorders>
                  <w:noWrap w:val="0"/>
                  <w:vAlign w:val="center"/>
                </w:tcPr>
                <w:p w14:paraId="0E72C1E1">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0.84</w:t>
                  </w:r>
                </w:p>
              </w:tc>
              <w:tc>
                <w:tcPr>
                  <w:tcW w:w="1322" w:type="pct"/>
                  <w:gridSpan w:val="3"/>
                  <w:tcBorders>
                    <w:tl2br w:val="nil"/>
                    <w:tr2bl w:val="nil"/>
                  </w:tcBorders>
                  <w:noWrap w:val="0"/>
                  <w:vAlign w:val="center"/>
                </w:tcPr>
                <w:p w14:paraId="3C4B9A0B">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0.84</w:t>
                  </w:r>
                </w:p>
              </w:tc>
              <w:tc>
                <w:tcPr>
                  <w:tcW w:w="1223" w:type="pct"/>
                  <w:gridSpan w:val="3"/>
                  <w:tcBorders>
                    <w:tl2br w:val="nil"/>
                    <w:tr2bl w:val="nil"/>
                  </w:tcBorders>
                  <w:noWrap w:val="0"/>
                  <w:vAlign w:val="center"/>
                </w:tcPr>
                <w:p w14:paraId="39F2B1AE">
                  <w:pPr>
                    <w:pStyle w:val="127"/>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0.76</w:t>
                  </w:r>
                </w:p>
              </w:tc>
            </w:tr>
          </w:tbl>
          <w:p w14:paraId="7C243E58">
            <w:pPr>
              <w:pStyle w:val="1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按</w:t>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ROMAN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t>II</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类大气污染源、风速</w:t>
            </w:r>
            <w:r>
              <w:rPr>
                <w:rFonts w:hint="eastAsia" w:ascii="Times New Roman" w:hAnsi="Times New Roman" w:eastAsia="宋体" w:cs="Times New Roman"/>
                <w:color w:val="auto"/>
                <w:lang w:val="en-US" w:eastAsia="zh-CN"/>
              </w:rPr>
              <w:t>2.16</w:t>
            </w:r>
            <w:r>
              <w:rPr>
                <w:rFonts w:hint="default" w:ascii="Times New Roman" w:hAnsi="Times New Roman" w:eastAsia="宋体" w:cs="Times New Roman"/>
                <w:color w:val="auto"/>
                <w:lang w:val="en-US" w:eastAsia="zh-CN"/>
              </w:rPr>
              <w:t>m/s取值，A＝4</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0、B＝0.0</w:t>
            </w:r>
            <w:r>
              <w:rPr>
                <w:rFonts w:hint="eastAsia" w:ascii="Times New Roman" w:hAnsi="Times New Roman" w:eastAsia="宋体" w:cs="Times New Roman"/>
                <w:color w:val="auto"/>
                <w:lang w:val="en-US" w:eastAsia="zh-CN"/>
              </w:rPr>
              <w:t>21</w:t>
            </w:r>
            <w:r>
              <w:rPr>
                <w:rFonts w:hint="default" w:ascii="Times New Roman" w:hAnsi="Times New Roman" w:eastAsia="宋体" w:cs="Times New Roman"/>
                <w:color w:val="auto"/>
                <w:lang w:val="en-US" w:eastAsia="zh-CN"/>
              </w:rPr>
              <w:t>、C＝1.85、D＝0.</w:t>
            </w:r>
            <w:r>
              <w:rPr>
                <w:rFonts w:hint="eastAsia" w:ascii="Times New Roman" w:hAnsi="Times New Roman" w:eastAsia="宋体" w:cs="Times New Roman"/>
                <w:color w:val="auto"/>
                <w:lang w:val="en-US" w:eastAsia="zh-CN"/>
              </w:rPr>
              <w:t>84</w:t>
            </w:r>
          </w:p>
          <w:p w14:paraId="497D9F6F">
            <w:pPr>
              <w:pStyle w:val="1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b w:val="0"/>
                <w:bCs w:val="0"/>
                <w:color w:val="auto"/>
                <w:spacing w:val="0"/>
                <w:sz w:val="24"/>
                <w:szCs w:val="24"/>
                <w:highlight w:val="none"/>
                <w:shd w:val="clear" w:color="auto" w:fill="auto"/>
              </w:rPr>
              <w:t>卫生防护距离</w:t>
            </w:r>
            <w:r>
              <w:rPr>
                <w:rFonts w:hint="eastAsia"/>
                <w:b w:val="0"/>
                <w:bCs w:val="0"/>
                <w:color w:val="auto"/>
                <w:spacing w:val="0"/>
                <w:sz w:val="24"/>
                <w:szCs w:val="24"/>
                <w:highlight w:val="none"/>
                <w:shd w:val="clear" w:color="auto" w:fill="auto"/>
                <w:lang w:eastAsia="zh-CN"/>
              </w:rPr>
              <w:t>预测计算截图如下</w:t>
            </w:r>
            <w:r>
              <w:rPr>
                <w:rFonts w:hint="default" w:ascii="Times New Roman" w:hAnsi="Times New Roman" w:eastAsia="宋体" w:cs="Times New Roman"/>
                <w:color w:val="auto"/>
                <w:lang w:val="en-US" w:eastAsia="zh-CN"/>
              </w:rPr>
              <w:t>图4-2</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本项目卫生防护距离初值计算结果见表4-</w:t>
            </w:r>
            <w:r>
              <w:rPr>
                <w:rFonts w:hint="eastAsia" w:ascii="Times New Roman" w:hAnsi="Times New Roman" w:eastAsia="宋体" w:cs="Times New Roman"/>
                <w:color w:val="auto"/>
                <w:lang w:val="en-US" w:eastAsia="zh-CN"/>
              </w:rPr>
              <w:t>1</w:t>
            </w:r>
            <w:r>
              <w:rPr>
                <w:rFonts w:hint="eastAsia" w:cs="Times New Roman"/>
                <w:color w:val="auto"/>
                <w:lang w:val="en-US" w:eastAsia="zh-CN"/>
              </w:rPr>
              <w:t>4</w:t>
            </w:r>
            <w:r>
              <w:rPr>
                <w:rFonts w:hint="eastAsia" w:ascii="Times New Roman" w:hAnsi="Times New Roman" w:eastAsia="宋体" w:cs="Times New Roman"/>
                <w:color w:val="auto"/>
                <w:lang w:val="en-US" w:eastAsia="zh-CN"/>
              </w:rPr>
              <w:t>。</w:t>
            </w:r>
          </w:p>
          <w:p w14:paraId="62F55B13">
            <w:pPr>
              <w:pStyle w:val="46"/>
              <w:bidi w:val="0"/>
              <w:ind w:left="0" w:leftChars="0" w:firstLine="0" w:firstLineChars="0"/>
              <w:jc w:val="both"/>
              <w:rPr>
                <w:rFonts w:hint="eastAsia" w:ascii="Times New Roman" w:hAnsi="Times New Roman" w:eastAsia="宋体" w:cs="Times New Roman"/>
                <w:color w:val="0000FF"/>
                <w:lang w:eastAsia="zh-CN"/>
              </w:rPr>
            </w:pPr>
            <w:r>
              <w:rPr>
                <w:rFonts w:hint="eastAsia" w:ascii="Times New Roman" w:hAnsi="Times New Roman" w:eastAsia="宋体" w:cs="Times New Roman"/>
                <w:color w:val="0000FF"/>
                <w:lang w:eastAsia="zh-CN"/>
              </w:rPr>
              <w:drawing>
                <wp:inline distT="0" distB="0" distL="114300" distR="114300">
                  <wp:extent cx="5196840" cy="3507740"/>
                  <wp:effectExtent l="0" t="0" r="3810" b="16510"/>
                  <wp:docPr id="3" name="图片 3" descr="无组织面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无组织面源"/>
                          <pic:cNvPicPr>
                            <a:picLocks noChangeAspect="1"/>
                          </pic:cNvPicPr>
                        </pic:nvPicPr>
                        <pic:blipFill>
                          <a:blip r:embed="rId34"/>
                          <a:stretch>
                            <a:fillRect/>
                          </a:stretch>
                        </pic:blipFill>
                        <pic:spPr>
                          <a:xfrm>
                            <a:off x="0" y="0"/>
                            <a:ext cx="5196840" cy="3507740"/>
                          </a:xfrm>
                          <a:prstGeom prst="rect">
                            <a:avLst/>
                          </a:prstGeom>
                        </pic:spPr>
                      </pic:pic>
                    </a:graphicData>
                  </a:graphic>
                </wp:inline>
              </w:drawing>
            </w:r>
          </w:p>
          <w:p w14:paraId="3641985E">
            <w:pPr>
              <w:pStyle w:val="1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图4-</w:t>
            </w:r>
            <w:r>
              <w:rPr>
                <w:rFonts w:hint="eastAsia" w:cs="Times New Roman"/>
                <w:color w:val="auto"/>
                <w:lang w:val="en-US" w:eastAsia="zh-CN"/>
              </w:rPr>
              <w:t>2</w:t>
            </w:r>
            <w:r>
              <w:rPr>
                <w:rFonts w:hint="default" w:ascii="Times New Roman" w:hAnsi="Times New Roman" w:eastAsia="宋体" w:cs="Times New Roman"/>
                <w:color w:val="auto"/>
                <w:lang w:val="en-US" w:eastAsia="zh-CN"/>
              </w:rPr>
              <w:t xml:space="preserve"> 卫生防护距离计算截图</w:t>
            </w:r>
          </w:p>
          <w:p w14:paraId="58F3FFDD">
            <w:pPr>
              <w:pStyle w:val="125"/>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表4-1</w:t>
            </w:r>
            <w:r>
              <w:rPr>
                <w:rFonts w:hint="eastAsia" w:cs="Times New Roman"/>
                <w:color w:val="auto"/>
                <w:lang w:val="en-US" w:eastAsia="zh-CN"/>
              </w:rPr>
              <w:t>4</w:t>
            </w:r>
            <w:r>
              <w:rPr>
                <w:rFonts w:hint="eastAsia" w:ascii="Times New Roman" w:hAnsi="Times New Roman" w:eastAsia="宋体" w:cs="Times New Roman"/>
                <w:color w:val="auto"/>
                <w:lang w:val="en-US" w:eastAsia="zh-CN"/>
              </w:rPr>
              <w:t xml:space="preserve">  无组织排放废气卫生防护距离结果</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2"/>
              <w:gridCol w:w="954"/>
              <w:gridCol w:w="868"/>
              <w:gridCol w:w="973"/>
              <w:gridCol w:w="1058"/>
              <w:gridCol w:w="1363"/>
              <w:gridCol w:w="1466"/>
              <w:gridCol w:w="1096"/>
            </w:tblGrid>
            <w:tr w14:paraId="28F52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412" w:type="dxa"/>
                  <w:noWrap w:val="0"/>
                  <w:vAlign w:val="center"/>
                </w:tcPr>
                <w:p w14:paraId="36F6313E">
                  <w:pPr>
                    <w:snapToGrid w:val="0"/>
                    <w:jc w:val="center"/>
                    <w:rPr>
                      <w:b/>
                      <w:color w:val="auto"/>
                      <w:kern w:val="24"/>
                      <w:szCs w:val="21"/>
                    </w:rPr>
                  </w:pPr>
                  <w:r>
                    <w:rPr>
                      <w:rFonts w:hint="eastAsia"/>
                      <w:b/>
                      <w:color w:val="auto"/>
                      <w:kern w:val="24"/>
                      <w:szCs w:val="21"/>
                    </w:rPr>
                    <w:t>序号</w:t>
                  </w:r>
                </w:p>
              </w:tc>
              <w:tc>
                <w:tcPr>
                  <w:tcW w:w="954" w:type="dxa"/>
                  <w:noWrap w:val="0"/>
                  <w:vAlign w:val="center"/>
                </w:tcPr>
                <w:p w14:paraId="75B52E88">
                  <w:pPr>
                    <w:jc w:val="center"/>
                    <w:rPr>
                      <w:b/>
                      <w:color w:val="auto"/>
                      <w:kern w:val="24"/>
                      <w:szCs w:val="21"/>
                    </w:rPr>
                  </w:pPr>
                  <w:r>
                    <w:rPr>
                      <w:rFonts w:hint="eastAsia"/>
                      <w:b/>
                      <w:color w:val="auto"/>
                      <w:kern w:val="24"/>
                      <w:szCs w:val="21"/>
                    </w:rPr>
                    <w:t>污染源位置</w:t>
                  </w:r>
                </w:p>
              </w:tc>
              <w:tc>
                <w:tcPr>
                  <w:tcW w:w="868" w:type="dxa"/>
                  <w:noWrap w:val="0"/>
                  <w:vAlign w:val="center"/>
                </w:tcPr>
                <w:p w14:paraId="497A37B9">
                  <w:pPr>
                    <w:snapToGrid w:val="0"/>
                    <w:jc w:val="center"/>
                    <w:rPr>
                      <w:b/>
                      <w:color w:val="auto"/>
                      <w:kern w:val="24"/>
                      <w:szCs w:val="21"/>
                    </w:rPr>
                  </w:pPr>
                  <w:r>
                    <w:rPr>
                      <w:rFonts w:hint="eastAsia"/>
                      <w:b/>
                      <w:color w:val="auto"/>
                      <w:kern w:val="24"/>
                      <w:szCs w:val="21"/>
                    </w:rPr>
                    <w:t>污染因子</w:t>
                  </w:r>
                </w:p>
              </w:tc>
              <w:tc>
                <w:tcPr>
                  <w:tcW w:w="973" w:type="dxa"/>
                  <w:noWrap w:val="0"/>
                  <w:vAlign w:val="center"/>
                </w:tcPr>
                <w:p w14:paraId="5ACD2CD9">
                  <w:pPr>
                    <w:jc w:val="center"/>
                    <w:rPr>
                      <w:rFonts w:hint="eastAsia" w:eastAsia="宋体"/>
                      <w:b/>
                      <w:color w:val="auto"/>
                      <w:szCs w:val="21"/>
                      <w:lang w:val="en-US" w:eastAsia="zh-CN"/>
                    </w:rPr>
                  </w:pPr>
                  <w:r>
                    <w:rPr>
                      <w:rFonts w:hint="eastAsia"/>
                      <w:b/>
                      <w:color w:val="auto"/>
                      <w:szCs w:val="21"/>
                      <w:lang w:val="en-US" w:eastAsia="zh-CN"/>
                    </w:rPr>
                    <w:t>排放量</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t</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a</w:t>
                  </w:r>
                  <w:r>
                    <w:rPr>
                      <w:rFonts w:hint="default" w:ascii="Times New Roman" w:hAnsi="Times New Roman" w:eastAsia="宋体" w:cs="Times New Roman"/>
                      <w:b/>
                      <w:bCs/>
                      <w:color w:val="auto"/>
                      <w:sz w:val="21"/>
                      <w:szCs w:val="21"/>
                      <w:lang w:val="en-US" w:eastAsia="zh-CN"/>
                    </w:rPr>
                    <w:t>)</w:t>
                  </w:r>
                </w:p>
              </w:tc>
              <w:tc>
                <w:tcPr>
                  <w:tcW w:w="1058" w:type="dxa"/>
                  <w:noWrap w:val="0"/>
                  <w:vAlign w:val="center"/>
                </w:tcPr>
                <w:p w14:paraId="639ACA67">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排放速率(kg/h)</w:t>
                  </w:r>
                </w:p>
              </w:tc>
              <w:tc>
                <w:tcPr>
                  <w:tcW w:w="1363" w:type="dxa"/>
                  <w:noWrap w:val="0"/>
                  <w:vAlign w:val="center"/>
                </w:tcPr>
                <w:p w14:paraId="351DF36E">
                  <w:pPr>
                    <w:jc w:val="center"/>
                    <w:rPr>
                      <w:b/>
                      <w:color w:val="auto"/>
                      <w:szCs w:val="21"/>
                    </w:rPr>
                  </w:pPr>
                  <w:r>
                    <w:rPr>
                      <w:rFonts w:hint="eastAsia"/>
                      <w:b/>
                      <w:color w:val="auto"/>
                      <w:szCs w:val="21"/>
                    </w:rPr>
                    <w:t>质量标准限值（mg/m</w:t>
                  </w:r>
                  <w:r>
                    <w:rPr>
                      <w:rFonts w:hint="eastAsia"/>
                      <w:b/>
                      <w:color w:val="auto"/>
                      <w:szCs w:val="21"/>
                      <w:vertAlign w:val="superscript"/>
                    </w:rPr>
                    <w:t>3</w:t>
                  </w:r>
                  <w:r>
                    <w:rPr>
                      <w:rFonts w:hint="eastAsia"/>
                      <w:b/>
                      <w:color w:val="auto"/>
                      <w:szCs w:val="21"/>
                    </w:rPr>
                    <w:t>）</w:t>
                  </w:r>
                </w:p>
              </w:tc>
              <w:tc>
                <w:tcPr>
                  <w:tcW w:w="1466" w:type="dxa"/>
                  <w:noWrap w:val="0"/>
                  <w:vAlign w:val="center"/>
                </w:tcPr>
                <w:p w14:paraId="75339A71">
                  <w:pPr>
                    <w:jc w:val="center"/>
                    <w:rPr>
                      <w:b/>
                      <w:color w:val="auto"/>
                      <w:szCs w:val="21"/>
                    </w:rPr>
                  </w:pPr>
                  <w:r>
                    <w:rPr>
                      <w:rFonts w:hint="eastAsia"/>
                      <w:b/>
                      <w:color w:val="auto"/>
                      <w:szCs w:val="21"/>
                    </w:rPr>
                    <w:t>卫生防护距离</w:t>
                  </w:r>
                  <w:r>
                    <w:rPr>
                      <w:b/>
                      <w:color w:val="auto"/>
                      <w:szCs w:val="21"/>
                    </w:rPr>
                    <w:t>计算</w:t>
                  </w:r>
                  <w:r>
                    <w:rPr>
                      <w:rFonts w:hint="eastAsia"/>
                      <w:b/>
                      <w:color w:val="auto"/>
                      <w:szCs w:val="21"/>
                    </w:rPr>
                    <w:t>值</w:t>
                  </w:r>
                  <w:r>
                    <w:rPr>
                      <w:b/>
                      <w:color w:val="auto"/>
                      <w:szCs w:val="21"/>
                    </w:rPr>
                    <w:t>(m)</w:t>
                  </w:r>
                </w:p>
              </w:tc>
              <w:tc>
                <w:tcPr>
                  <w:tcW w:w="1096" w:type="dxa"/>
                  <w:noWrap w:val="0"/>
                  <w:vAlign w:val="center"/>
                </w:tcPr>
                <w:p w14:paraId="38C60895">
                  <w:pPr>
                    <w:jc w:val="center"/>
                    <w:rPr>
                      <w:b/>
                      <w:color w:val="auto"/>
                      <w:szCs w:val="21"/>
                    </w:rPr>
                  </w:pPr>
                  <w:r>
                    <w:rPr>
                      <w:rFonts w:hint="eastAsia"/>
                      <w:b/>
                      <w:color w:val="auto"/>
                      <w:szCs w:val="21"/>
                    </w:rPr>
                    <w:t>防护距离（m）</w:t>
                  </w:r>
                </w:p>
              </w:tc>
            </w:tr>
            <w:tr w14:paraId="2AA06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12" w:type="dxa"/>
                  <w:noWrap w:val="0"/>
                  <w:vAlign w:val="center"/>
                </w:tcPr>
                <w:p w14:paraId="531DD273">
                  <w:pPr>
                    <w:jc w:val="center"/>
                    <w:rPr>
                      <w:rFonts w:hint="eastAsia" w:eastAsia="宋体"/>
                      <w:color w:val="auto"/>
                      <w:kern w:val="24"/>
                      <w:szCs w:val="21"/>
                      <w:lang w:val="en-US" w:eastAsia="zh-CN"/>
                    </w:rPr>
                  </w:pPr>
                  <w:r>
                    <w:rPr>
                      <w:rFonts w:hint="eastAsia"/>
                      <w:color w:val="auto"/>
                      <w:kern w:val="24"/>
                      <w:szCs w:val="21"/>
                      <w:lang w:val="en-US" w:eastAsia="zh-CN"/>
                    </w:rPr>
                    <w:t>1</w:t>
                  </w:r>
                </w:p>
              </w:tc>
              <w:tc>
                <w:tcPr>
                  <w:tcW w:w="954" w:type="dxa"/>
                  <w:noWrap w:val="0"/>
                  <w:vAlign w:val="center"/>
                </w:tcPr>
                <w:p w14:paraId="77FD6215">
                  <w:pPr>
                    <w:keepNext w:val="0"/>
                    <w:keepLines w:val="0"/>
                    <w:widowControl/>
                    <w:suppressLineNumbers w:val="0"/>
                    <w:jc w:val="center"/>
                    <w:textAlignment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污水处理站</w:t>
                  </w:r>
                </w:p>
              </w:tc>
              <w:tc>
                <w:tcPr>
                  <w:tcW w:w="868" w:type="dxa"/>
                  <w:noWrap w:val="0"/>
                  <w:vAlign w:val="center"/>
                </w:tcPr>
                <w:p w14:paraId="091897D3">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973" w:type="dxa"/>
                  <w:noWrap w:val="0"/>
                  <w:vAlign w:val="center"/>
                </w:tcPr>
                <w:p w14:paraId="5F7866EC">
                  <w:pPr>
                    <w:keepNext w:val="0"/>
                    <w:keepLines w:val="0"/>
                    <w:widowControl/>
                    <w:suppressLineNumbers w:val="0"/>
                    <w:jc w:val="center"/>
                    <w:textAlignment w:val="center"/>
                    <w:rPr>
                      <w:rFonts w:hint="eastAsia"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0.0934</w:t>
                  </w:r>
                </w:p>
              </w:tc>
              <w:tc>
                <w:tcPr>
                  <w:tcW w:w="1058" w:type="dxa"/>
                  <w:noWrap w:val="0"/>
                  <w:vAlign w:val="center"/>
                </w:tcPr>
                <w:p w14:paraId="20E25646">
                  <w:pPr>
                    <w:keepNext w:val="0"/>
                    <w:keepLines w:val="0"/>
                    <w:widowControl/>
                    <w:suppressLineNumbers w:val="0"/>
                    <w:jc w:val="center"/>
                    <w:textAlignment w:val="center"/>
                    <w:rPr>
                      <w:rFonts w:hint="eastAsia" w:cs="Times New Roman"/>
                      <w:i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0.0389</w:t>
                  </w:r>
                </w:p>
              </w:tc>
              <w:tc>
                <w:tcPr>
                  <w:tcW w:w="1363" w:type="dxa"/>
                  <w:noWrap w:val="0"/>
                  <w:vAlign w:val="center"/>
                </w:tcPr>
                <w:p w14:paraId="2C3274B3">
                  <w:pPr>
                    <w:keepNext w:val="0"/>
                    <w:keepLines w:val="0"/>
                    <w:pageBreakBefore w:val="0"/>
                    <w:widowControl w:val="0"/>
                    <w:kinsoku/>
                    <w:wordWrap/>
                    <w:overflowPunct/>
                    <w:topLinePunct w:val="0"/>
                    <w:autoSpaceDE/>
                    <w:autoSpaceDN/>
                    <w:bidi w:val="0"/>
                    <w:adjustRightInd/>
                    <w:jc w:val="center"/>
                    <w:textAlignment w:val="auto"/>
                    <w:rPr>
                      <w:rFonts w:hint="default"/>
                      <w:color w:val="auto"/>
                      <w:szCs w:val="21"/>
                      <w:lang w:val="en-US" w:eastAsia="zh-CN"/>
                    </w:rPr>
                  </w:pPr>
                  <w:r>
                    <w:rPr>
                      <w:rFonts w:hint="eastAsia"/>
                      <w:color w:val="auto"/>
                      <w:szCs w:val="21"/>
                      <w:lang w:val="en-US" w:eastAsia="zh-CN"/>
                    </w:rPr>
                    <w:t>0.2</w:t>
                  </w:r>
                </w:p>
              </w:tc>
              <w:tc>
                <w:tcPr>
                  <w:tcW w:w="1466" w:type="dxa"/>
                  <w:noWrap w:val="0"/>
                  <w:vAlign w:val="center"/>
                </w:tcPr>
                <w:p w14:paraId="27199BB0">
                  <w:pPr>
                    <w:keepNext w:val="0"/>
                    <w:keepLines w:val="0"/>
                    <w:pageBreakBefore w:val="0"/>
                    <w:widowControl w:val="0"/>
                    <w:kinsoku/>
                    <w:wordWrap/>
                    <w:overflowPunct/>
                    <w:topLinePunct w:val="0"/>
                    <w:autoSpaceDE/>
                    <w:autoSpaceDN/>
                    <w:bidi w:val="0"/>
                    <w:adjustRightInd/>
                    <w:jc w:val="center"/>
                    <w:textAlignment w:val="auto"/>
                    <w:rPr>
                      <w:rFonts w:hint="default"/>
                      <w:color w:val="auto"/>
                      <w:kern w:val="24"/>
                      <w:szCs w:val="21"/>
                      <w:lang w:val="en-US" w:eastAsia="zh-CN"/>
                    </w:rPr>
                  </w:pPr>
                  <w:r>
                    <w:rPr>
                      <w:rFonts w:hint="eastAsia"/>
                      <w:color w:val="auto"/>
                      <w:kern w:val="24"/>
                      <w:szCs w:val="21"/>
                      <w:lang w:val="en-US" w:eastAsia="zh-CN"/>
                    </w:rPr>
                    <w:t>9.189</w:t>
                  </w:r>
                </w:p>
              </w:tc>
              <w:tc>
                <w:tcPr>
                  <w:tcW w:w="1096" w:type="dxa"/>
                  <w:noWrap w:val="0"/>
                  <w:vAlign w:val="center"/>
                </w:tcPr>
                <w:p w14:paraId="0D376599">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auto"/>
                      <w:kern w:val="24"/>
                      <w:szCs w:val="21"/>
                      <w:lang w:val="en-US" w:eastAsia="zh-CN"/>
                    </w:rPr>
                  </w:pPr>
                  <w:r>
                    <w:rPr>
                      <w:rFonts w:hint="eastAsia"/>
                      <w:color w:val="auto"/>
                      <w:kern w:val="24"/>
                      <w:szCs w:val="21"/>
                      <w:lang w:val="en-US" w:eastAsia="zh-CN"/>
                    </w:rPr>
                    <w:t>50</w:t>
                  </w:r>
                </w:p>
              </w:tc>
            </w:tr>
          </w:tbl>
          <w:p w14:paraId="6510FB54">
            <w:pPr>
              <w:pStyle w:val="124"/>
              <w:bidi w:val="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）卫生防护距离终值确定</w:t>
            </w:r>
          </w:p>
          <w:p w14:paraId="2C68E19A">
            <w:pPr>
              <w:pStyle w:val="124"/>
              <w:bidi w:val="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2"/>
                <w:sz w:val="24"/>
                <w:szCs w:val="24"/>
                <w:lang w:val="en-US" w:eastAsia="zh-CN" w:bidi="zh-CN"/>
              </w:rPr>
              <w:t>根据《大气有害物质无组织排放卫生防护距离推导技术导则》（GB/T39499-2020）：单一特征大气有害物质卫生防护距离初值小于50m时，级差为50m，如计算初值小于50m，卫生防护距离终值取50m；卫生防护距离初值大于或等于50m，但小100m时，级差为50m，如计算初值大于或等于50m并小于100m时，卫生防护距离终值取100m；卫生防护距离初值大于或等于100m，但小于1000m时，级差为100m。当企业某生产单元的无组织排放存在多种特征大气有害物质时，若计算出的卫生防护距离初值在同一级别，该类工业企业的卫生防护距离级别应该高一级；卫生防护距离初值不在同一级别，应取较大级别的。</w:t>
            </w:r>
          </w:p>
          <w:p w14:paraId="68BBF8AB">
            <w:pPr>
              <w:adjustRightInd w:val="0"/>
              <w:snapToGrid w:val="0"/>
              <w:spacing w:line="360" w:lineRule="auto"/>
              <w:ind w:firstLine="482"/>
              <w:rPr>
                <w:rFonts w:hint="eastAsia" w:ascii="Times New Roman" w:hAnsi="Times New Roman" w:eastAsia="宋体" w:cs="Times New Roman"/>
                <w:snapToGrid w:val="0"/>
                <w:color w:val="auto"/>
                <w:sz w:val="24"/>
                <w:lang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分别</w:t>
            </w:r>
            <w:r>
              <w:rPr>
                <w:rFonts w:hint="default" w:ascii="Times New Roman" w:hAnsi="Times New Roman" w:eastAsia="宋体" w:cs="Times New Roman"/>
                <w:color w:val="auto"/>
                <w:sz w:val="24"/>
                <w:szCs w:val="24"/>
                <w:lang w:val="zh-CN" w:eastAsia="zh-CN"/>
              </w:rPr>
              <w:t>以</w:t>
            </w:r>
            <w:r>
              <w:rPr>
                <w:rFonts w:hint="eastAsia" w:ascii="Times New Roman" w:hAnsi="Times New Roman" w:eastAsia="宋体" w:cs="Times New Roman"/>
                <w:color w:val="auto"/>
                <w:sz w:val="24"/>
                <w:szCs w:val="24"/>
                <w:lang w:val="en-US" w:eastAsia="zh-CN"/>
              </w:rPr>
              <w:t>污水处理站</w:t>
            </w:r>
            <w:r>
              <w:rPr>
                <w:rFonts w:hint="eastAsia" w:cs="Times New Roman"/>
                <w:color w:val="auto"/>
                <w:sz w:val="24"/>
                <w:szCs w:val="24"/>
                <w:lang w:val="en-US" w:eastAsia="zh-CN"/>
              </w:rPr>
              <w:t>一个面源</w:t>
            </w:r>
            <w:r>
              <w:rPr>
                <w:rFonts w:hint="default" w:ascii="Times New Roman" w:hAnsi="Times New Roman" w:eastAsia="宋体" w:cs="Times New Roman"/>
                <w:color w:val="auto"/>
                <w:sz w:val="24"/>
                <w:szCs w:val="24"/>
                <w:lang w:val="zh-CN"/>
              </w:rPr>
              <w:t>作为无组织面源计算，</w:t>
            </w:r>
            <w:r>
              <w:rPr>
                <w:rFonts w:hint="default" w:ascii="Times New Roman" w:hAnsi="Times New Roman" w:eastAsia="宋体" w:cs="Times New Roman"/>
                <w:color w:val="auto"/>
                <w:sz w:val="24"/>
                <w:szCs w:val="24"/>
                <w:lang w:val="en-US" w:eastAsia="zh-CN"/>
              </w:rPr>
              <w:t>每个面源只涉及一种</w:t>
            </w:r>
            <w:r>
              <w:rPr>
                <w:rFonts w:hint="default" w:ascii="Times New Roman" w:hAnsi="Times New Roman" w:eastAsia="宋体" w:cs="Times New Roman"/>
                <w:color w:val="auto"/>
                <w:sz w:val="24"/>
                <w:szCs w:val="24"/>
                <w:lang w:val="zh-CN"/>
              </w:rPr>
              <w:t>大气有害物质</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由以上分析确认本项目的卫生防护距离终值为</w:t>
            </w:r>
            <w:r>
              <w:rPr>
                <w:rFonts w:hint="eastAsia" w:cs="Times New Roman"/>
                <w:color w:val="auto"/>
                <w:sz w:val="24"/>
                <w:szCs w:val="24"/>
                <w:lang w:val="en-US" w:eastAsia="zh-CN"/>
              </w:rPr>
              <w:t>两</w:t>
            </w:r>
            <w:r>
              <w:rPr>
                <w:rFonts w:hint="eastAsia" w:ascii="Times New Roman" w:hAnsi="Times New Roman" w:eastAsia="宋体" w:cs="Times New Roman"/>
                <w:color w:val="auto"/>
                <w:sz w:val="24"/>
                <w:szCs w:val="24"/>
                <w:lang w:val="en-US" w:eastAsia="zh-CN"/>
              </w:rPr>
              <w:t>个面源</w:t>
            </w:r>
            <w:r>
              <w:rPr>
                <w:rFonts w:hint="default" w:ascii="Times New Roman" w:hAnsi="Times New Roman" w:eastAsia="宋体" w:cs="Times New Roman"/>
                <w:color w:val="auto"/>
                <w:sz w:val="24"/>
                <w:szCs w:val="24"/>
              </w:rPr>
              <w:t>外</w:t>
            </w:r>
            <w:r>
              <w:rPr>
                <w:rFonts w:hint="eastAsia" w:ascii="Times New Roman" w:hAnsi="Times New Roman" w:eastAsia="宋体" w:cs="Times New Roman"/>
                <w:color w:val="auto"/>
                <w:sz w:val="24"/>
                <w:szCs w:val="24"/>
                <w:lang w:val="en-US" w:eastAsia="zh-CN"/>
              </w:rPr>
              <w:t>各</w:t>
            </w:r>
            <w:r>
              <w:rPr>
                <w:rFonts w:hint="default" w:ascii="Times New Roman" w:hAnsi="Times New Roman" w:eastAsia="宋体" w:cs="Times New Roman"/>
                <w:color w:val="auto"/>
                <w:sz w:val="24"/>
                <w:szCs w:val="24"/>
              </w:rPr>
              <w:t>50m范围内</w:t>
            </w:r>
            <w:r>
              <w:rPr>
                <w:rFonts w:hint="default" w:ascii="Times New Roman" w:hAnsi="Times New Roman" w:eastAsia="宋体" w:cs="Times New Roman"/>
                <w:color w:val="auto"/>
                <w:sz w:val="24"/>
              </w:rPr>
              <w:t>，</w:t>
            </w:r>
            <w:r>
              <w:rPr>
                <w:rFonts w:hint="default" w:ascii="Times New Roman" w:hAnsi="Times New Roman" w:eastAsia="宋体" w:cs="Times New Roman"/>
                <w:snapToGrid w:val="0"/>
                <w:color w:val="auto"/>
                <w:sz w:val="24"/>
              </w:rPr>
              <w:t>根</w:t>
            </w:r>
            <w:r>
              <w:rPr>
                <w:rFonts w:hint="default" w:ascii="Times New Roman" w:hAnsi="Times New Roman" w:eastAsia="宋体" w:cs="Times New Roman"/>
                <w:color w:val="auto"/>
                <w:sz w:val="24"/>
              </w:rPr>
              <w:t>据项目</w:t>
            </w:r>
            <w:r>
              <w:rPr>
                <w:rFonts w:hint="eastAsia" w:cs="Times New Roman"/>
                <w:color w:val="auto"/>
                <w:sz w:val="24"/>
                <w:lang w:val="en-US" w:eastAsia="zh-CN"/>
              </w:rPr>
              <w:t>50m</w:t>
            </w:r>
            <w:r>
              <w:rPr>
                <w:rFonts w:hint="default" w:ascii="Times New Roman" w:hAnsi="Times New Roman" w:eastAsia="宋体" w:cs="Times New Roman"/>
                <w:color w:val="auto"/>
                <w:sz w:val="24"/>
              </w:rPr>
              <w:t>卫生防护距离包络线可知</w:t>
            </w:r>
            <w:r>
              <w:rPr>
                <w:rFonts w:hint="default" w:ascii="Times New Roman" w:hAnsi="Times New Roman" w:eastAsia="宋体" w:cs="Times New Roman"/>
                <w:snapToGrid w:val="0"/>
                <w:color w:val="auto"/>
                <w:sz w:val="24"/>
              </w:rPr>
              <w:t>，项目</w:t>
            </w:r>
            <w:r>
              <w:rPr>
                <w:rFonts w:hint="eastAsia" w:cs="Times New Roman"/>
                <w:snapToGrid w:val="0"/>
                <w:color w:val="auto"/>
                <w:sz w:val="24"/>
                <w:lang w:val="en-US" w:eastAsia="zh-CN"/>
              </w:rPr>
              <w:t>50m</w:t>
            </w:r>
            <w:r>
              <w:rPr>
                <w:rFonts w:hint="eastAsia" w:ascii="Times New Roman" w:hAnsi="Times New Roman" w:eastAsia="宋体" w:cs="Times New Roman"/>
                <w:snapToGrid w:val="0"/>
                <w:color w:val="auto"/>
                <w:sz w:val="24"/>
                <w:lang w:val="en-US" w:eastAsia="zh-CN"/>
              </w:rPr>
              <w:t>卫生防护距离</w:t>
            </w:r>
            <w:r>
              <w:rPr>
                <w:rFonts w:hint="default" w:ascii="Times New Roman" w:hAnsi="Times New Roman" w:eastAsia="宋体" w:cs="Times New Roman"/>
                <w:bCs/>
                <w:snapToGrid w:val="0"/>
                <w:color w:val="auto"/>
                <w:sz w:val="24"/>
              </w:rPr>
              <w:t>内无学校、医院、居民区等</w:t>
            </w:r>
            <w:r>
              <w:rPr>
                <w:rFonts w:hint="default" w:ascii="Times New Roman" w:hAnsi="Times New Roman" w:eastAsia="宋体" w:cs="Times New Roman"/>
                <w:snapToGrid w:val="0"/>
                <w:color w:val="auto"/>
                <w:sz w:val="24"/>
              </w:rPr>
              <w:t>环境敏感点</w:t>
            </w:r>
            <w:r>
              <w:rPr>
                <w:rFonts w:hint="eastAsia" w:cs="Times New Roman"/>
                <w:snapToGrid w:val="0"/>
                <w:color w:val="auto"/>
                <w:sz w:val="24"/>
                <w:lang w:val="en-US" w:eastAsia="zh-CN"/>
              </w:rPr>
              <w:t>。</w:t>
            </w:r>
          </w:p>
          <w:p w14:paraId="0BC40D60">
            <w:pPr>
              <w:pStyle w:val="12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val="0"/>
                <w:bCs w:val="0"/>
                <w:color w:val="auto"/>
                <w:lang w:val="en-US" w:eastAsia="zh-CN"/>
              </w:rPr>
            </w:pPr>
            <w:r>
              <w:rPr>
                <w:rFonts w:hint="eastAsia"/>
                <w:b w:val="0"/>
                <w:bCs w:val="0"/>
                <w:color w:val="auto"/>
                <w:lang w:val="en-US" w:eastAsia="zh-CN"/>
              </w:rPr>
              <w:t>根据现场勘查，本项目厂区东面为</w:t>
            </w:r>
            <w:r>
              <w:rPr>
                <w:rFonts w:hint="eastAsia" w:cs="Times New Roman"/>
                <w:color w:val="auto"/>
                <w:kern w:val="0"/>
                <w:sz w:val="24"/>
                <w:szCs w:val="24"/>
                <w:lang w:val="en-US" w:eastAsia="zh-CN"/>
              </w:rPr>
              <w:t>刘岭排</w:t>
            </w:r>
            <w:r>
              <w:rPr>
                <w:rFonts w:hint="eastAsia"/>
                <w:b w:val="0"/>
                <w:bCs w:val="0"/>
                <w:color w:val="auto"/>
                <w:lang w:val="en-US" w:eastAsia="zh-CN"/>
              </w:rPr>
              <w:t>居民，西面为宁都大道和瑞祥小区，北面为</w:t>
            </w:r>
            <w:r>
              <w:rPr>
                <w:rFonts w:hint="eastAsia" w:cs="Times New Roman"/>
                <w:color w:val="auto"/>
                <w:kern w:val="0"/>
                <w:sz w:val="24"/>
                <w:szCs w:val="24"/>
                <w:lang w:val="en-US" w:eastAsia="zh-CN"/>
              </w:rPr>
              <w:t>九塘村居民，南面为易富集团，江西迪菲服饰有限公司，江西婴响力科技集团有限公司，江西博凯体育用品有限公司和宁都恒成服饰有限公司等5家企业，易富集团，江西迪菲服饰有限公司，江西婴响力科技集团有限公司和宁都恒成服饰有</w:t>
            </w:r>
            <w:r>
              <w:rPr>
                <w:rFonts w:hint="eastAsia" w:ascii="Times New Roman" w:hAnsi="Times New Roman" w:eastAsia="宋体" w:cs="Times New Roman"/>
                <w:b w:val="0"/>
                <w:bCs w:val="0"/>
                <w:color w:val="auto"/>
                <w:lang w:val="en-US" w:eastAsia="zh-CN"/>
              </w:rPr>
              <w:t>限公司主要从事各种类型服饰的制作、销售等，江西博凯体育用品有限公司主要从事体育用品销售、工艺美术品销售</w:t>
            </w:r>
            <w:r>
              <w:rPr>
                <w:rFonts w:hint="eastAsia" w:cs="Times New Roman"/>
                <w:color w:val="auto"/>
                <w:kern w:val="0"/>
                <w:sz w:val="24"/>
                <w:szCs w:val="24"/>
                <w:lang w:val="en-US" w:eastAsia="zh-CN"/>
              </w:rPr>
              <w:t>、</w:t>
            </w:r>
            <w:r>
              <w:rPr>
                <w:rFonts w:hint="eastAsia" w:ascii="Times New Roman" w:hAnsi="Times New Roman" w:eastAsia="宋体" w:cs="Times New Roman"/>
                <w:b w:val="0"/>
                <w:bCs w:val="0"/>
                <w:color w:val="auto"/>
                <w:lang w:val="en-US" w:eastAsia="zh-CN"/>
              </w:rPr>
              <w:t>皮箱销售等，这5家企业与本项目厂区均有园区道路和绿化带间隔，且企业生产厂房与本项目厂界距离均大余其卫生防护距离（</w:t>
            </w:r>
            <w:r>
              <w:rPr>
                <w:rFonts w:hint="default" w:ascii="Times New Roman" w:hAnsi="Times New Roman" w:eastAsia="宋体" w:cs="Times New Roman"/>
                <w:b w:val="0"/>
                <w:bCs w:val="0"/>
                <w:color w:val="auto"/>
                <w:lang w:val="en-US" w:eastAsia="zh-CN"/>
              </w:rPr>
              <w:t>50m</w:t>
            </w:r>
            <w:r>
              <w:rPr>
                <w:rFonts w:hint="eastAsia" w:ascii="Times New Roman" w:hAnsi="Times New Roman" w:eastAsia="宋体" w:cs="Times New Roman"/>
                <w:b w:val="0"/>
                <w:bCs w:val="0"/>
                <w:color w:val="auto"/>
                <w:lang w:val="en-US" w:eastAsia="zh-CN"/>
              </w:rPr>
              <w:t>），对本项目影响较小。</w:t>
            </w:r>
          </w:p>
          <w:p w14:paraId="733F9174">
            <w:pPr>
              <w:pStyle w:val="124"/>
              <w:numPr>
                <w:ilvl w:val="0"/>
                <w:numId w:val="0"/>
              </w:numPr>
              <w:bidi w:val="0"/>
              <w:ind w:firstLine="48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kern w:val="2"/>
                <w:sz w:val="24"/>
                <w:szCs w:val="24"/>
                <w:lang w:val="en-US" w:eastAsia="zh-CN" w:bidi="ar-SA"/>
              </w:rPr>
              <w:t>8、</w:t>
            </w:r>
            <w:r>
              <w:rPr>
                <w:rFonts w:hint="eastAsia" w:ascii="Times New Roman" w:hAnsi="Times New Roman" w:eastAsia="宋体" w:cs="Times New Roman"/>
                <w:b/>
                <w:bCs/>
                <w:color w:val="auto"/>
                <w:lang w:val="en-US" w:eastAsia="zh-CN"/>
              </w:rPr>
              <w:t>监测计划</w:t>
            </w:r>
          </w:p>
          <w:p w14:paraId="402E55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color w:val="auto"/>
                <w:sz w:val="24"/>
                <w:highlight w:val="none"/>
                <w:lang w:val="en-US" w:eastAsia="zh-CN"/>
              </w:rPr>
              <w:t>根据《排污单位自行监测技术指南 总则》（</w:t>
            </w:r>
            <w:r>
              <w:rPr>
                <w:rFonts w:hint="default" w:ascii="Times New Roman" w:hAnsi="Times New Roman" w:eastAsia="宋体" w:cs="Times New Roman"/>
                <w:color w:val="auto"/>
                <w:sz w:val="24"/>
                <w:highlight w:val="none"/>
                <w:lang w:val="en-US" w:eastAsia="zh-CN"/>
              </w:rPr>
              <w:t>HJ</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819-2017</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r>
              <w:rPr>
                <w:rFonts w:ascii="宋体" w:hAnsi="宋体" w:eastAsia="宋体" w:cs="宋体"/>
                <w:color w:val="auto"/>
                <w:sz w:val="24"/>
                <w:szCs w:val="24"/>
              </w:rPr>
              <w:t>《</w:t>
            </w:r>
            <w:r>
              <w:rPr>
                <w:rFonts w:hint="eastAsia" w:ascii="Times New Roman" w:hAnsi="Times New Roman" w:eastAsia="宋体" w:cs="Times New Roman"/>
                <w:color w:val="auto"/>
                <w:sz w:val="24"/>
                <w:highlight w:val="none"/>
                <w:lang w:val="en-US" w:eastAsia="zh-CN"/>
              </w:rPr>
              <w:t>排污单位自行监测技术指南 食品制造</w:t>
            </w:r>
            <w:r>
              <w:rPr>
                <w:rFonts w:ascii="宋体" w:hAnsi="宋体" w:eastAsia="宋体" w:cs="宋体"/>
                <w:color w:val="auto"/>
                <w:spacing w:val="1"/>
                <w:sz w:val="24"/>
                <w:szCs w:val="24"/>
              </w:rPr>
              <w:t>》</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highlight w:val="none"/>
                <w:lang w:val="en-US" w:eastAsia="zh-CN"/>
              </w:rPr>
              <w:t>HJ 1084-2020</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和</w:t>
            </w:r>
            <w:r>
              <w:rPr>
                <w:rFonts w:ascii="宋体" w:hAnsi="宋体" w:eastAsia="宋体" w:cs="宋体"/>
                <w:color w:val="auto"/>
                <w:sz w:val="24"/>
                <w:szCs w:val="24"/>
              </w:rPr>
              <w:t>《</w:t>
            </w:r>
            <w:r>
              <w:rPr>
                <w:rFonts w:hint="eastAsia" w:ascii="Times New Roman" w:hAnsi="Times New Roman" w:eastAsia="宋体" w:cs="Times New Roman"/>
                <w:color w:val="auto"/>
                <w:sz w:val="24"/>
                <w:highlight w:val="none"/>
                <w:lang w:val="en-US" w:eastAsia="zh-CN"/>
              </w:rPr>
              <w:t>排污单位自行监测技术指南 火力发电及锅炉</w:t>
            </w:r>
            <w:r>
              <w:rPr>
                <w:rFonts w:ascii="宋体" w:hAnsi="宋体" w:eastAsia="宋体" w:cs="宋体"/>
                <w:color w:val="auto"/>
                <w:spacing w:val="1"/>
                <w:sz w:val="24"/>
                <w:szCs w:val="24"/>
              </w:rPr>
              <w:t>》</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highlight w:val="none"/>
                <w:lang w:val="en-US" w:eastAsia="zh-CN"/>
              </w:rPr>
              <w:t>HJ 820-2017</w:t>
            </w:r>
            <w:r>
              <w:rPr>
                <w:rFonts w:hint="default" w:ascii="Times New Roman" w:hAnsi="Times New Roman" w:cs="Times New Roman"/>
                <w:color w:val="auto"/>
                <w:sz w:val="24"/>
                <w:szCs w:val="24"/>
                <w:lang w:val="en-US" w:eastAsia="zh-CN"/>
              </w:rPr>
              <w:t>）</w:t>
            </w:r>
            <w:r>
              <w:rPr>
                <w:rFonts w:hint="eastAsia" w:cs="Times New Roman"/>
                <w:color w:val="auto"/>
                <w:spacing w:val="1"/>
                <w:sz w:val="24"/>
                <w:szCs w:val="24"/>
                <w:lang w:val="en-US" w:eastAsia="zh-CN"/>
              </w:rPr>
              <w:t>中相关规定，</w:t>
            </w:r>
            <w:r>
              <w:rPr>
                <w:rFonts w:hint="eastAsia" w:ascii="Times New Roman" w:hAnsi="Times New Roman" w:eastAsia="宋体" w:cs="Times New Roman"/>
                <w:color w:val="auto"/>
                <w:sz w:val="24"/>
                <w:highlight w:val="none"/>
                <w:lang w:val="en-US" w:eastAsia="zh-CN"/>
              </w:rPr>
              <w:t>制定本项目</w:t>
            </w:r>
            <w:r>
              <w:rPr>
                <w:rFonts w:hint="eastAsia" w:cs="Times New Roman"/>
                <w:color w:val="auto"/>
                <w:sz w:val="24"/>
                <w:highlight w:val="none"/>
                <w:lang w:val="en-US" w:eastAsia="zh-CN"/>
              </w:rPr>
              <w:t>废气自行</w:t>
            </w:r>
            <w:r>
              <w:rPr>
                <w:rFonts w:hint="eastAsia" w:ascii="Times New Roman" w:hAnsi="Times New Roman" w:eastAsia="宋体" w:cs="Times New Roman"/>
                <w:color w:val="auto"/>
                <w:sz w:val="24"/>
                <w:highlight w:val="none"/>
                <w:lang w:val="en-US" w:eastAsia="zh-CN"/>
              </w:rPr>
              <w:t>监测计划</w:t>
            </w:r>
            <w:r>
              <w:rPr>
                <w:rFonts w:hint="eastAsia" w:cs="Times New Roman"/>
                <w:color w:val="auto"/>
                <w:sz w:val="24"/>
                <w:highlight w:val="none"/>
                <w:lang w:val="en-US" w:eastAsia="zh-CN"/>
              </w:rPr>
              <w:t>，具体见下表</w:t>
            </w:r>
            <w:r>
              <w:rPr>
                <w:rFonts w:hint="eastAsia" w:ascii="Times New Roman" w:hAnsi="Times New Roman" w:eastAsia="宋体" w:cs="Times New Roman"/>
                <w:color w:val="auto"/>
                <w:sz w:val="24"/>
                <w:highlight w:val="none"/>
                <w:lang w:val="en-US" w:eastAsia="zh-CN"/>
              </w:rPr>
              <w:t>：</w:t>
            </w:r>
          </w:p>
          <w:p w14:paraId="0135D6F2">
            <w:pPr>
              <w:pStyle w:val="125"/>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 xml:space="preserve">15 </w:t>
            </w:r>
            <w:r>
              <w:rPr>
                <w:rFonts w:hint="eastAsia" w:ascii="Times New Roman" w:hAnsi="Times New Roman" w:eastAsia="宋体" w:cs="Times New Roman"/>
                <w:color w:val="auto"/>
                <w:lang w:val="en-US" w:eastAsia="zh-CN"/>
              </w:rPr>
              <w:t xml:space="preserve"> 废气监测计划</w:t>
            </w:r>
          </w:p>
          <w:tbl>
            <w:tblPr>
              <w:tblStyle w:val="33"/>
              <w:tblW w:w="495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638"/>
              <w:gridCol w:w="1709"/>
              <w:gridCol w:w="1268"/>
              <w:gridCol w:w="3509"/>
            </w:tblGrid>
            <w:tr w14:paraId="78E787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443" w:hRule="exact"/>
                <w:jc w:val="center"/>
              </w:trPr>
              <w:tc>
                <w:tcPr>
                  <w:tcW w:w="1008" w:type="pct"/>
                  <w:noWrap w:val="0"/>
                  <w:vAlign w:val="center"/>
                </w:tcPr>
                <w:p w14:paraId="4387EBBE">
                  <w:pPr>
                    <w:widowControl/>
                    <w:jc w:val="center"/>
                    <w:rPr>
                      <w:b/>
                      <w:bCs/>
                      <w:color w:val="auto"/>
                      <w:szCs w:val="21"/>
                    </w:rPr>
                  </w:pPr>
                  <w:r>
                    <w:rPr>
                      <w:rFonts w:hint="eastAsia"/>
                      <w:b/>
                      <w:bCs/>
                      <w:color w:val="auto"/>
                      <w:szCs w:val="21"/>
                    </w:rPr>
                    <w:t>监测点位</w:t>
                  </w:r>
                </w:p>
              </w:tc>
              <w:tc>
                <w:tcPr>
                  <w:tcW w:w="1051" w:type="pct"/>
                  <w:noWrap w:val="0"/>
                  <w:vAlign w:val="center"/>
                </w:tcPr>
                <w:p w14:paraId="25EC0588">
                  <w:pPr>
                    <w:widowControl/>
                    <w:jc w:val="center"/>
                    <w:rPr>
                      <w:b/>
                      <w:bCs/>
                      <w:color w:val="auto"/>
                      <w:szCs w:val="21"/>
                    </w:rPr>
                  </w:pPr>
                  <w:r>
                    <w:rPr>
                      <w:rFonts w:hint="eastAsia"/>
                      <w:b/>
                      <w:bCs/>
                      <w:color w:val="auto"/>
                      <w:szCs w:val="21"/>
                    </w:rPr>
                    <w:t>检测指标</w:t>
                  </w:r>
                </w:p>
              </w:tc>
              <w:tc>
                <w:tcPr>
                  <w:tcW w:w="780" w:type="pct"/>
                  <w:noWrap w:val="0"/>
                  <w:vAlign w:val="center"/>
                </w:tcPr>
                <w:p w14:paraId="2D3FACEB">
                  <w:pPr>
                    <w:widowControl/>
                    <w:jc w:val="center"/>
                    <w:rPr>
                      <w:b/>
                      <w:bCs/>
                      <w:color w:val="auto"/>
                      <w:szCs w:val="21"/>
                    </w:rPr>
                  </w:pPr>
                  <w:r>
                    <w:rPr>
                      <w:rFonts w:hint="eastAsia"/>
                      <w:b/>
                      <w:bCs/>
                      <w:color w:val="auto"/>
                      <w:szCs w:val="21"/>
                    </w:rPr>
                    <w:t>监测频次</w:t>
                  </w:r>
                </w:p>
              </w:tc>
              <w:tc>
                <w:tcPr>
                  <w:tcW w:w="2159" w:type="pct"/>
                  <w:noWrap w:val="0"/>
                  <w:vAlign w:val="center"/>
                </w:tcPr>
                <w:p w14:paraId="1E8C5C03">
                  <w:pPr>
                    <w:widowControl/>
                    <w:jc w:val="center"/>
                    <w:rPr>
                      <w:b/>
                      <w:bCs/>
                      <w:color w:val="auto"/>
                      <w:szCs w:val="21"/>
                    </w:rPr>
                  </w:pPr>
                  <w:r>
                    <w:rPr>
                      <w:rFonts w:hint="eastAsia"/>
                      <w:b/>
                      <w:bCs/>
                      <w:color w:val="auto"/>
                      <w:szCs w:val="21"/>
                    </w:rPr>
                    <w:t>执行排放标准</w:t>
                  </w:r>
                </w:p>
              </w:tc>
            </w:tr>
            <w:tr w14:paraId="476630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18" w:hRule="atLeast"/>
                <w:jc w:val="center"/>
              </w:trPr>
              <w:tc>
                <w:tcPr>
                  <w:tcW w:w="1008" w:type="pct"/>
                  <w:noWrap w:val="0"/>
                  <w:vAlign w:val="center"/>
                </w:tcPr>
                <w:p w14:paraId="554567EB">
                  <w:pPr>
                    <w:jc w:val="center"/>
                    <w:rPr>
                      <w:rFonts w:hint="default"/>
                      <w:color w:val="auto"/>
                      <w:szCs w:val="21"/>
                      <w:lang w:val="en-US" w:eastAsia="zh-CN"/>
                    </w:rPr>
                  </w:pPr>
                  <w:r>
                    <w:rPr>
                      <w:rFonts w:hint="eastAsia"/>
                      <w:color w:val="auto"/>
                      <w:szCs w:val="21"/>
                      <w:lang w:val="en-US" w:eastAsia="zh-CN"/>
                    </w:rPr>
                    <w:t>DA001-DA004、DA007-DA014</w:t>
                  </w:r>
                </w:p>
              </w:tc>
              <w:tc>
                <w:tcPr>
                  <w:tcW w:w="1051" w:type="pct"/>
                  <w:noWrap w:val="0"/>
                  <w:vAlign w:val="center"/>
                </w:tcPr>
                <w:p w14:paraId="1A0B5035">
                  <w:pPr>
                    <w:widowControl/>
                    <w:jc w:val="center"/>
                    <w:rPr>
                      <w:rFonts w:hint="default"/>
                      <w:color w:val="auto"/>
                      <w:szCs w:val="21"/>
                      <w:lang w:val="en-US" w:eastAsia="zh-CN"/>
                    </w:rPr>
                  </w:pPr>
                  <w:r>
                    <w:rPr>
                      <w:rFonts w:hint="eastAsia"/>
                      <w:color w:val="auto"/>
                      <w:szCs w:val="21"/>
                      <w:lang w:val="en-US" w:eastAsia="zh-CN"/>
                    </w:rPr>
                    <w:t>油烟、非甲烷总烃、</w:t>
                  </w:r>
                  <w:r>
                    <w:rPr>
                      <w:rFonts w:hint="eastAsia" w:cs="Times New Roman"/>
                      <w:color w:val="auto"/>
                      <w:kern w:val="0"/>
                      <w:szCs w:val="21"/>
                      <w:lang w:val="en-US" w:eastAsia="zh-CN"/>
                    </w:rPr>
                    <w:t>颗粒物、二氧化硫、氮氧化物</w:t>
                  </w:r>
                </w:p>
              </w:tc>
              <w:tc>
                <w:tcPr>
                  <w:tcW w:w="780" w:type="pct"/>
                  <w:noWrap w:val="0"/>
                  <w:vAlign w:val="center"/>
                </w:tcPr>
                <w:p w14:paraId="786EF343">
                  <w:pPr>
                    <w:widowControl/>
                    <w:jc w:val="center"/>
                    <w:rPr>
                      <w:rFonts w:hint="default"/>
                      <w:color w:val="auto"/>
                      <w:szCs w:val="21"/>
                      <w:lang w:val="en-US" w:eastAsia="zh-CN"/>
                    </w:rPr>
                  </w:pPr>
                  <w:r>
                    <w:rPr>
                      <w:rFonts w:hint="eastAsia"/>
                      <w:color w:val="auto"/>
                      <w:szCs w:val="21"/>
                      <w:lang w:val="en-US" w:eastAsia="zh-CN"/>
                    </w:rPr>
                    <w:t>1次/半年</w:t>
                  </w:r>
                </w:p>
              </w:tc>
              <w:tc>
                <w:tcPr>
                  <w:tcW w:w="2159" w:type="pct"/>
                  <w:noWrap w:val="0"/>
                  <w:vAlign w:val="center"/>
                </w:tcPr>
                <w:p w14:paraId="533540D1">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油烟执行《饮食业油烟排放标准（试行）》（</w:t>
                  </w:r>
                  <w:r>
                    <w:rPr>
                      <w:rFonts w:hint="default" w:ascii="Times New Roman" w:hAnsi="Times New Roman" w:eastAsia="宋体" w:cs="Times New Roman"/>
                      <w:color w:val="auto"/>
                      <w:kern w:val="0"/>
                      <w:szCs w:val="21"/>
                      <w:lang w:val="en-US" w:eastAsia="zh-CN"/>
                    </w:rPr>
                    <w:t>GB18483-2001</w:t>
                  </w:r>
                  <w:r>
                    <w:rPr>
                      <w:rFonts w:hint="eastAsia" w:ascii="Times New Roman" w:hAnsi="Times New Roman" w:eastAsia="宋体" w:cs="Times New Roman"/>
                      <w:color w:val="auto"/>
                      <w:kern w:val="0"/>
                      <w:szCs w:val="21"/>
                      <w:lang w:val="en-US" w:eastAsia="zh-CN"/>
                    </w:rPr>
                    <w:t>）大型规模标准</w:t>
                  </w:r>
                </w:p>
                <w:p w14:paraId="4D6ECD69">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非甲烷总烃执行《大气污染物综合排放标准》（GB16297-1996）中二级标准</w:t>
                  </w:r>
                </w:p>
                <w:p w14:paraId="571928FF">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颗粒物、二氧化硫、氮氧化物执行</w:t>
                  </w:r>
                  <w:r>
                    <w:rPr>
                      <w:rFonts w:hint="default" w:ascii="Times New Roman" w:hAnsi="Times New Roman" w:eastAsia="宋体" w:cs="Times New Roman"/>
                      <w:color w:val="auto"/>
                      <w:kern w:val="0"/>
                      <w:szCs w:val="21"/>
                      <w:lang w:val="en-US" w:eastAsia="zh-CN"/>
                    </w:rPr>
                    <w:t>《大气污染物综合排放标准》（GB16297-1996）中</w:t>
                  </w:r>
                  <w:r>
                    <w:rPr>
                      <w:rFonts w:hint="eastAsia" w:ascii="Times New Roman" w:hAnsi="Times New Roman" w:eastAsia="宋体" w:cs="Times New Roman"/>
                      <w:color w:val="auto"/>
                      <w:kern w:val="0"/>
                      <w:szCs w:val="21"/>
                      <w:lang w:val="en-US" w:eastAsia="zh-CN"/>
                    </w:rPr>
                    <w:t>表2</w:t>
                  </w:r>
                  <w:r>
                    <w:rPr>
                      <w:rFonts w:hint="default" w:ascii="Times New Roman" w:hAnsi="Times New Roman" w:eastAsia="宋体" w:cs="Times New Roman"/>
                      <w:color w:val="auto"/>
                      <w:kern w:val="0"/>
                      <w:szCs w:val="21"/>
                      <w:lang w:val="en-US" w:eastAsia="zh-CN"/>
                    </w:rPr>
                    <w:t>二级排放标准</w:t>
                  </w:r>
                </w:p>
              </w:tc>
            </w:tr>
            <w:tr w14:paraId="2CEE49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18" w:hRule="atLeast"/>
                <w:jc w:val="center"/>
              </w:trPr>
              <w:tc>
                <w:tcPr>
                  <w:tcW w:w="1008" w:type="pct"/>
                  <w:vMerge w:val="restart"/>
                  <w:noWrap w:val="0"/>
                  <w:vAlign w:val="center"/>
                </w:tcPr>
                <w:p w14:paraId="700C9F22">
                  <w:pPr>
                    <w:jc w:val="center"/>
                    <w:rPr>
                      <w:rFonts w:hint="default"/>
                      <w:color w:val="auto"/>
                      <w:szCs w:val="21"/>
                      <w:lang w:val="en-US" w:eastAsia="zh-CN"/>
                    </w:rPr>
                  </w:pPr>
                  <w:r>
                    <w:rPr>
                      <w:rFonts w:hint="eastAsia"/>
                      <w:color w:val="auto"/>
                      <w:szCs w:val="21"/>
                      <w:lang w:val="en-US" w:eastAsia="zh-CN"/>
                    </w:rPr>
                    <w:t>DA005、DA006、DA015、DA016</w:t>
                  </w:r>
                </w:p>
              </w:tc>
              <w:tc>
                <w:tcPr>
                  <w:tcW w:w="1051" w:type="pct"/>
                  <w:noWrap w:val="0"/>
                  <w:vAlign w:val="center"/>
                </w:tcPr>
                <w:p w14:paraId="6D6B45B2">
                  <w:pPr>
                    <w:widowControl/>
                    <w:jc w:val="center"/>
                    <w:rPr>
                      <w:rFonts w:hint="default"/>
                      <w:color w:val="auto"/>
                      <w:szCs w:val="21"/>
                      <w:lang w:val="en-US" w:eastAsia="zh-CN"/>
                    </w:rPr>
                  </w:pPr>
                  <w:r>
                    <w:rPr>
                      <w:rFonts w:hint="eastAsia" w:cs="Times New Roman"/>
                      <w:color w:val="auto"/>
                      <w:kern w:val="0"/>
                      <w:szCs w:val="21"/>
                      <w:lang w:val="en-US" w:eastAsia="zh-CN"/>
                    </w:rPr>
                    <w:t>氮氧化物</w:t>
                  </w:r>
                </w:p>
              </w:tc>
              <w:tc>
                <w:tcPr>
                  <w:tcW w:w="780" w:type="pct"/>
                  <w:noWrap w:val="0"/>
                  <w:vAlign w:val="center"/>
                </w:tcPr>
                <w:p w14:paraId="09E98B4D">
                  <w:pPr>
                    <w:widowControl/>
                    <w:jc w:val="center"/>
                    <w:rPr>
                      <w:rFonts w:hint="eastAsia"/>
                      <w:color w:val="auto"/>
                      <w:szCs w:val="21"/>
                      <w:lang w:val="en-US" w:eastAsia="zh-CN"/>
                    </w:rPr>
                  </w:pPr>
                  <w:r>
                    <w:rPr>
                      <w:rFonts w:hint="eastAsia"/>
                      <w:color w:val="auto"/>
                      <w:szCs w:val="21"/>
                      <w:lang w:val="en-US" w:eastAsia="zh-CN"/>
                    </w:rPr>
                    <w:t>1次/月</w:t>
                  </w:r>
                </w:p>
              </w:tc>
              <w:tc>
                <w:tcPr>
                  <w:tcW w:w="2159" w:type="pct"/>
                  <w:vMerge w:val="restart"/>
                  <w:noWrap w:val="0"/>
                  <w:vAlign w:val="center"/>
                </w:tcPr>
                <w:p w14:paraId="3897CB7B">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《锅炉大气污染物排放标准》（</w:t>
                  </w:r>
                  <w:r>
                    <w:rPr>
                      <w:rFonts w:hint="default" w:ascii="Times New Roman" w:hAnsi="Times New Roman" w:eastAsia="宋体" w:cs="Times New Roman"/>
                      <w:color w:val="auto"/>
                      <w:kern w:val="0"/>
                      <w:szCs w:val="21"/>
                      <w:lang w:val="en-US" w:eastAsia="zh-CN"/>
                    </w:rPr>
                    <w:t>GB13271-2014</w:t>
                  </w:r>
                  <w:r>
                    <w:rPr>
                      <w:rFonts w:hint="eastAsia" w:ascii="Times New Roman" w:hAnsi="Times New Roman" w:eastAsia="宋体" w:cs="Times New Roman"/>
                      <w:color w:val="auto"/>
                      <w:kern w:val="0"/>
                      <w:szCs w:val="21"/>
                      <w:lang w:val="en-US" w:eastAsia="zh-CN"/>
                    </w:rPr>
                    <w:t>）中表</w:t>
                  </w:r>
                  <w:r>
                    <w:rPr>
                      <w:rFonts w:hint="default" w:ascii="Times New Roman" w:hAnsi="Times New Roman" w:eastAsia="宋体" w:cs="Times New Roman"/>
                      <w:color w:val="auto"/>
                      <w:kern w:val="0"/>
                      <w:szCs w:val="21"/>
                      <w:lang w:val="en-US" w:eastAsia="zh-CN"/>
                    </w:rPr>
                    <w:t>2</w:t>
                  </w:r>
                  <w:r>
                    <w:rPr>
                      <w:rFonts w:hint="eastAsia" w:ascii="Times New Roman" w:hAnsi="Times New Roman" w:eastAsia="宋体" w:cs="Times New Roman"/>
                      <w:color w:val="auto"/>
                      <w:kern w:val="0"/>
                      <w:szCs w:val="21"/>
                      <w:lang w:val="en-US" w:eastAsia="zh-CN"/>
                    </w:rPr>
                    <w:t>燃气锅炉标准</w:t>
                  </w:r>
                </w:p>
              </w:tc>
            </w:tr>
            <w:tr w14:paraId="37CC12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18" w:hRule="atLeast"/>
                <w:jc w:val="center"/>
              </w:trPr>
              <w:tc>
                <w:tcPr>
                  <w:tcW w:w="1008" w:type="pct"/>
                  <w:vMerge w:val="continue"/>
                  <w:noWrap w:val="0"/>
                  <w:vAlign w:val="center"/>
                </w:tcPr>
                <w:p w14:paraId="2B022EAD">
                  <w:pPr>
                    <w:jc w:val="center"/>
                    <w:rPr>
                      <w:rFonts w:hint="eastAsia"/>
                      <w:color w:val="auto"/>
                      <w:szCs w:val="21"/>
                      <w:lang w:val="en-US" w:eastAsia="zh-CN"/>
                    </w:rPr>
                  </w:pPr>
                </w:p>
              </w:tc>
              <w:tc>
                <w:tcPr>
                  <w:tcW w:w="1051" w:type="pct"/>
                  <w:noWrap w:val="0"/>
                  <w:vAlign w:val="center"/>
                </w:tcPr>
                <w:p w14:paraId="2549E0E0">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颗粒物、二氧化硫、林格曼黑度</w:t>
                  </w:r>
                </w:p>
              </w:tc>
              <w:tc>
                <w:tcPr>
                  <w:tcW w:w="780" w:type="pct"/>
                  <w:noWrap w:val="0"/>
                  <w:vAlign w:val="center"/>
                </w:tcPr>
                <w:p w14:paraId="27C1EE53">
                  <w:pPr>
                    <w:widowControl/>
                    <w:jc w:val="center"/>
                    <w:rPr>
                      <w:rFonts w:hint="eastAsia"/>
                      <w:color w:val="auto"/>
                      <w:szCs w:val="21"/>
                      <w:lang w:val="en-US" w:eastAsia="zh-CN"/>
                    </w:rPr>
                  </w:pPr>
                  <w:r>
                    <w:rPr>
                      <w:rFonts w:hint="eastAsia"/>
                      <w:color w:val="auto"/>
                      <w:szCs w:val="21"/>
                      <w:lang w:val="en-US" w:eastAsia="zh-CN"/>
                    </w:rPr>
                    <w:t>1次/年</w:t>
                  </w:r>
                </w:p>
              </w:tc>
              <w:tc>
                <w:tcPr>
                  <w:tcW w:w="2159" w:type="pct"/>
                  <w:vMerge w:val="continue"/>
                  <w:noWrap w:val="0"/>
                  <w:vAlign w:val="center"/>
                </w:tcPr>
                <w:p w14:paraId="1CF7B6B8">
                  <w:pPr>
                    <w:widowControl/>
                    <w:jc w:val="center"/>
                    <w:rPr>
                      <w:rFonts w:hint="eastAsia" w:ascii="Times New Roman" w:hAnsi="Times New Roman" w:eastAsia="宋体" w:cs="Times New Roman"/>
                      <w:color w:val="auto"/>
                      <w:kern w:val="0"/>
                      <w:szCs w:val="21"/>
                      <w:lang w:val="en-US" w:eastAsia="zh-CN"/>
                    </w:rPr>
                  </w:pPr>
                </w:p>
              </w:tc>
            </w:tr>
            <w:tr w14:paraId="315B25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18" w:hRule="atLeast"/>
                <w:jc w:val="center"/>
              </w:trPr>
              <w:tc>
                <w:tcPr>
                  <w:tcW w:w="1008" w:type="pct"/>
                  <w:vMerge w:val="restart"/>
                  <w:noWrap w:val="0"/>
                  <w:vAlign w:val="center"/>
                </w:tcPr>
                <w:p w14:paraId="6FB6E32A">
                  <w:pPr>
                    <w:jc w:val="center"/>
                    <w:rPr>
                      <w:rFonts w:hint="default"/>
                      <w:color w:val="auto"/>
                      <w:szCs w:val="21"/>
                      <w:lang w:val="en-US" w:eastAsia="zh-CN"/>
                    </w:rPr>
                  </w:pPr>
                  <w:r>
                    <w:rPr>
                      <w:rFonts w:hint="eastAsia"/>
                      <w:color w:val="auto"/>
                      <w:szCs w:val="21"/>
                      <w:lang w:val="en-US" w:eastAsia="zh-CN"/>
                    </w:rPr>
                    <w:t>污水处理站厂界</w:t>
                  </w:r>
                </w:p>
              </w:tc>
              <w:tc>
                <w:tcPr>
                  <w:tcW w:w="1051" w:type="pct"/>
                  <w:noWrap w:val="0"/>
                  <w:vAlign w:val="center"/>
                </w:tcPr>
                <w:p w14:paraId="1EF6091F">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硫化氢</w:t>
                  </w:r>
                </w:p>
              </w:tc>
              <w:tc>
                <w:tcPr>
                  <w:tcW w:w="780" w:type="pct"/>
                  <w:noWrap w:val="0"/>
                  <w:vAlign w:val="center"/>
                </w:tcPr>
                <w:p w14:paraId="4480347B">
                  <w:pPr>
                    <w:widowControl/>
                    <w:jc w:val="center"/>
                    <w:rPr>
                      <w:rFonts w:hint="eastAsia"/>
                      <w:color w:val="auto"/>
                      <w:szCs w:val="21"/>
                      <w:lang w:val="en-US" w:eastAsia="zh-CN"/>
                    </w:rPr>
                  </w:pPr>
                  <w:r>
                    <w:rPr>
                      <w:rFonts w:hint="eastAsia"/>
                      <w:color w:val="auto"/>
                      <w:szCs w:val="21"/>
                      <w:lang w:val="en-US" w:eastAsia="zh-CN"/>
                    </w:rPr>
                    <w:t>1次/半年</w:t>
                  </w:r>
                </w:p>
              </w:tc>
              <w:tc>
                <w:tcPr>
                  <w:tcW w:w="2159" w:type="pct"/>
                  <w:vMerge w:val="restart"/>
                  <w:noWrap w:val="0"/>
                  <w:vAlign w:val="center"/>
                </w:tcPr>
                <w:p w14:paraId="6DFC1B23">
                  <w:pPr>
                    <w:widowControl/>
                    <w:jc w:val="center"/>
                    <w:rPr>
                      <w:rFonts w:hint="default" w:ascii="Times New Roman" w:hAnsi="Times New Roman" w:eastAsia="宋体" w:cs="Times New Roman"/>
                      <w:color w:val="auto"/>
                      <w:highlight w:val="none"/>
                      <w:lang w:val="en-US" w:eastAsia="zh-CN"/>
                    </w:rPr>
                  </w:pPr>
                  <w:r>
                    <w:rPr>
                      <w:bCs/>
                      <w:color w:val="auto"/>
                      <w:sz w:val="21"/>
                      <w:szCs w:val="21"/>
                      <w:highlight w:val="none"/>
                    </w:rPr>
                    <w:t>《</w:t>
                  </w:r>
                  <w:r>
                    <w:rPr>
                      <w:rFonts w:hint="eastAsia"/>
                      <w:bCs/>
                      <w:color w:val="auto"/>
                      <w:sz w:val="21"/>
                      <w:szCs w:val="21"/>
                      <w:highlight w:val="none"/>
                      <w:lang w:val="en-US" w:eastAsia="zh-CN"/>
                    </w:rPr>
                    <w:t>恶臭</w:t>
                  </w:r>
                  <w:r>
                    <w:rPr>
                      <w:bCs/>
                      <w:color w:val="auto"/>
                      <w:sz w:val="21"/>
                      <w:szCs w:val="21"/>
                      <w:highlight w:val="none"/>
                    </w:rPr>
                    <w:t>污染物排放标准》（GB</w:t>
                  </w:r>
                  <w:r>
                    <w:rPr>
                      <w:rFonts w:hint="eastAsia"/>
                      <w:bCs/>
                      <w:color w:val="auto"/>
                      <w:sz w:val="21"/>
                      <w:szCs w:val="21"/>
                      <w:highlight w:val="none"/>
                      <w:lang w:val="en-US" w:eastAsia="zh-CN"/>
                    </w:rPr>
                    <w:t>14554</w:t>
                  </w:r>
                  <w:r>
                    <w:rPr>
                      <w:bCs/>
                      <w:color w:val="auto"/>
                      <w:sz w:val="21"/>
                      <w:szCs w:val="21"/>
                      <w:highlight w:val="none"/>
                    </w:rPr>
                    <w:t>-</w:t>
                  </w:r>
                  <w:r>
                    <w:rPr>
                      <w:rFonts w:hint="eastAsia"/>
                      <w:bCs/>
                      <w:color w:val="auto"/>
                      <w:sz w:val="21"/>
                      <w:szCs w:val="21"/>
                      <w:highlight w:val="none"/>
                      <w:lang w:val="en-US" w:eastAsia="zh-CN"/>
                    </w:rPr>
                    <w:t>93</w:t>
                  </w:r>
                  <w:r>
                    <w:rPr>
                      <w:bCs/>
                      <w:color w:val="auto"/>
                      <w:sz w:val="21"/>
                      <w:szCs w:val="21"/>
                      <w:highlight w:val="none"/>
                    </w:rPr>
                    <w:t>）</w:t>
                  </w:r>
                  <w:r>
                    <w:rPr>
                      <w:rFonts w:hint="eastAsia"/>
                      <w:bCs/>
                      <w:color w:val="auto"/>
                      <w:sz w:val="21"/>
                      <w:szCs w:val="21"/>
                      <w:highlight w:val="none"/>
                      <w:lang w:val="en-US" w:eastAsia="zh-CN"/>
                    </w:rPr>
                    <w:t>中表1二级标准限值</w:t>
                  </w:r>
                </w:p>
              </w:tc>
            </w:tr>
            <w:tr w14:paraId="1795867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18" w:hRule="atLeast"/>
                <w:jc w:val="center"/>
              </w:trPr>
              <w:tc>
                <w:tcPr>
                  <w:tcW w:w="1008" w:type="pct"/>
                  <w:vMerge w:val="continue"/>
                  <w:noWrap w:val="0"/>
                  <w:vAlign w:val="center"/>
                </w:tcPr>
                <w:p w14:paraId="6769593B">
                  <w:pPr>
                    <w:jc w:val="center"/>
                    <w:rPr>
                      <w:rFonts w:hint="eastAsia"/>
                      <w:color w:val="auto"/>
                      <w:szCs w:val="21"/>
                      <w:lang w:val="en-US" w:eastAsia="zh-CN"/>
                    </w:rPr>
                  </w:pPr>
                </w:p>
              </w:tc>
              <w:tc>
                <w:tcPr>
                  <w:tcW w:w="1051" w:type="pct"/>
                  <w:noWrap w:val="0"/>
                  <w:vAlign w:val="center"/>
                </w:tcPr>
                <w:p w14:paraId="21B9AD67">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氨</w:t>
                  </w:r>
                </w:p>
              </w:tc>
              <w:tc>
                <w:tcPr>
                  <w:tcW w:w="780" w:type="pct"/>
                  <w:noWrap w:val="0"/>
                  <w:vAlign w:val="center"/>
                </w:tcPr>
                <w:p w14:paraId="063BC591">
                  <w:pPr>
                    <w:widowControl/>
                    <w:jc w:val="center"/>
                    <w:rPr>
                      <w:rFonts w:hint="eastAsia"/>
                      <w:color w:val="auto"/>
                      <w:szCs w:val="21"/>
                      <w:lang w:val="en-US" w:eastAsia="zh-CN"/>
                    </w:rPr>
                  </w:pPr>
                  <w:r>
                    <w:rPr>
                      <w:rFonts w:hint="eastAsia"/>
                      <w:color w:val="auto"/>
                      <w:szCs w:val="21"/>
                      <w:lang w:val="en-US" w:eastAsia="zh-CN"/>
                    </w:rPr>
                    <w:t>1次/半年</w:t>
                  </w:r>
                </w:p>
              </w:tc>
              <w:tc>
                <w:tcPr>
                  <w:tcW w:w="2159" w:type="pct"/>
                  <w:vMerge w:val="continue"/>
                  <w:noWrap w:val="0"/>
                  <w:vAlign w:val="center"/>
                </w:tcPr>
                <w:p w14:paraId="363C464B">
                  <w:pPr>
                    <w:widowControl/>
                    <w:jc w:val="center"/>
                    <w:rPr>
                      <w:rFonts w:hint="default" w:ascii="Times New Roman" w:hAnsi="Times New Roman" w:eastAsia="宋体" w:cs="Times New Roman"/>
                      <w:color w:val="auto"/>
                      <w:highlight w:val="none"/>
                      <w:lang w:val="en-US" w:eastAsia="zh-CN"/>
                    </w:rPr>
                  </w:pPr>
                </w:p>
              </w:tc>
            </w:tr>
            <w:tr w14:paraId="4E78D5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18" w:hRule="atLeast"/>
                <w:jc w:val="center"/>
              </w:trPr>
              <w:tc>
                <w:tcPr>
                  <w:tcW w:w="1008" w:type="pct"/>
                  <w:vMerge w:val="continue"/>
                  <w:noWrap w:val="0"/>
                  <w:vAlign w:val="center"/>
                </w:tcPr>
                <w:p w14:paraId="6BB7C9B0">
                  <w:pPr>
                    <w:jc w:val="center"/>
                    <w:rPr>
                      <w:rFonts w:hint="eastAsia"/>
                      <w:color w:val="auto"/>
                      <w:szCs w:val="21"/>
                      <w:lang w:val="en-US" w:eastAsia="zh-CN"/>
                    </w:rPr>
                  </w:pPr>
                </w:p>
              </w:tc>
              <w:tc>
                <w:tcPr>
                  <w:tcW w:w="1051" w:type="pct"/>
                  <w:noWrap w:val="0"/>
                  <w:vAlign w:val="center"/>
                </w:tcPr>
                <w:p w14:paraId="1D1E9AC0">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臭气浓度</w:t>
                  </w:r>
                </w:p>
              </w:tc>
              <w:tc>
                <w:tcPr>
                  <w:tcW w:w="780" w:type="pct"/>
                  <w:noWrap w:val="0"/>
                  <w:vAlign w:val="center"/>
                </w:tcPr>
                <w:p w14:paraId="3B95BF9E">
                  <w:pPr>
                    <w:widowControl/>
                    <w:jc w:val="center"/>
                    <w:rPr>
                      <w:rFonts w:hint="eastAsia"/>
                      <w:color w:val="auto"/>
                      <w:szCs w:val="21"/>
                      <w:lang w:val="en-US" w:eastAsia="zh-CN"/>
                    </w:rPr>
                  </w:pPr>
                  <w:r>
                    <w:rPr>
                      <w:rFonts w:hint="eastAsia"/>
                      <w:color w:val="auto"/>
                      <w:szCs w:val="21"/>
                      <w:lang w:val="en-US" w:eastAsia="zh-CN"/>
                    </w:rPr>
                    <w:t>1次/半年</w:t>
                  </w:r>
                </w:p>
              </w:tc>
              <w:tc>
                <w:tcPr>
                  <w:tcW w:w="2159" w:type="pct"/>
                  <w:vMerge w:val="continue"/>
                  <w:noWrap w:val="0"/>
                  <w:vAlign w:val="center"/>
                </w:tcPr>
                <w:p w14:paraId="0B0ECB81">
                  <w:pPr>
                    <w:widowControl/>
                    <w:jc w:val="center"/>
                    <w:rPr>
                      <w:rFonts w:hint="default" w:ascii="Times New Roman" w:hAnsi="Times New Roman" w:eastAsia="宋体" w:cs="Times New Roman"/>
                      <w:color w:val="auto"/>
                      <w:highlight w:val="none"/>
                      <w:lang w:val="en-US" w:eastAsia="zh-CN"/>
                    </w:rPr>
                  </w:pPr>
                </w:p>
              </w:tc>
            </w:tr>
          </w:tbl>
          <w:p w14:paraId="21128423">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（二）废水</w:t>
            </w:r>
          </w:p>
          <w:p w14:paraId="6F4CEDA3">
            <w:pPr>
              <w:pStyle w:val="12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1、废水产污环节</w:t>
            </w:r>
          </w:p>
          <w:p w14:paraId="4E596CBC">
            <w:pPr>
              <w:pStyle w:val="1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本项目废水主要为</w:t>
            </w:r>
            <w:r>
              <w:rPr>
                <w:rFonts w:hint="default" w:ascii="Times New Roman" w:hAnsi="Times New Roman" w:eastAsia="宋体" w:cs="Times New Roman"/>
                <w:color w:val="auto"/>
                <w:lang w:val="en-US" w:eastAsia="zh-CN"/>
              </w:rPr>
              <w:t>生活污水</w:t>
            </w:r>
            <w:r>
              <w:rPr>
                <w:rFonts w:hint="eastAsia" w:cs="Times New Roman"/>
                <w:color w:val="auto"/>
                <w:lang w:val="en-US" w:eastAsia="zh-CN"/>
              </w:rPr>
              <w:t>和生产废水，</w:t>
            </w:r>
            <w:r>
              <w:rPr>
                <w:rFonts w:hint="default" w:ascii="Times New Roman" w:hAnsi="Times New Roman" w:cs="Times New Roman"/>
                <w:color w:val="auto"/>
                <w:lang w:val="en-US" w:eastAsia="zh-CN"/>
              </w:rPr>
              <w:t>产污环节见表4-</w:t>
            </w:r>
            <w:r>
              <w:rPr>
                <w:rFonts w:hint="eastAsia" w:cs="Times New Roman"/>
                <w:color w:val="auto"/>
                <w:lang w:val="en-US" w:eastAsia="zh-CN"/>
              </w:rPr>
              <w:t>16</w:t>
            </w:r>
            <w:r>
              <w:rPr>
                <w:rFonts w:hint="default" w:ascii="Times New Roman" w:hAnsi="Times New Roman" w:cs="Times New Roman"/>
                <w:color w:val="auto"/>
                <w:lang w:val="en-US" w:eastAsia="zh-CN"/>
              </w:rPr>
              <w:t>。</w:t>
            </w:r>
          </w:p>
          <w:p w14:paraId="6A87B912">
            <w:pPr>
              <w:pStyle w:val="12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表4-</w:t>
            </w:r>
            <w:r>
              <w:rPr>
                <w:rFonts w:hint="eastAsia" w:cs="Times New Roman"/>
                <w:color w:val="auto"/>
                <w:lang w:val="en-US" w:eastAsia="zh-CN"/>
              </w:rPr>
              <w:t>16</w:t>
            </w:r>
            <w:r>
              <w:rPr>
                <w:rFonts w:hint="default" w:ascii="Times New Roman" w:hAnsi="Times New Roman" w:cs="Times New Roman"/>
                <w:color w:val="auto"/>
                <w:lang w:val="en-US" w:eastAsia="zh-CN"/>
              </w:rPr>
              <w:t xml:space="preserve"> </w:t>
            </w:r>
            <w:r>
              <w:rPr>
                <w:rFonts w:hint="eastAsia" w:cs="Times New Roman"/>
                <w:color w:val="auto"/>
                <w:lang w:val="en-US" w:eastAsia="zh-CN"/>
              </w:rPr>
              <w:t xml:space="preserve"> </w:t>
            </w:r>
            <w:r>
              <w:rPr>
                <w:rFonts w:hint="default" w:ascii="Times New Roman" w:hAnsi="Times New Roman" w:cs="Times New Roman"/>
                <w:color w:val="auto"/>
                <w:lang w:val="en-US" w:eastAsia="zh-CN"/>
              </w:rPr>
              <w:t>本项目废水产污环节一览表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042"/>
              <w:gridCol w:w="3442"/>
              <w:gridCol w:w="2113"/>
            </w:tblGrid>
            <w:tr w14:paraId="09875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35" w:type="dxa"/>
                  <w:gridSpan w:val="2"/>
                  <w:tcBorders>
                    <w:tl2br w:val="nil"/>
                    <w:tr2bl w:val="nil"/>
                  </w:tcBorders>
                  <w:noWrap w:val="0"/>
                  <w:vAlign w:val="center"/>
                </w:tcPr>
                <w:p w14:paraId="56DC687B">
                  <w:pPr>
                    <w:pStyle w:val="126"/>
                    <w:bidi w:val="0"/>
                    <w:ind w:left="0" w:leftChars="0" w:right="0" w:righ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污染工序</w:t>
                  </w:r>
                </w:p>
              </w:tc>
              <w:tc>
                <w:tcPr>
                  <w:tcW w:w="3442" w:type="dxa"/>
                  <w:tcBorders>
                    <w:tl2br w:val="nil"/>
                    <w:tr2bl w:val="nil"/>
                  </w:tcBorders>
                  <w:noWrap w:val="0"/>
                  <w:vAlign w:val="center"/>
                </w:tcPr>
                <w:p w14:paraId="6FDD62FB">
                  <w:pPr>
                    <w:pStyle w:val="126"/>
                    <w:bidi w:val="0"/>
                    <w:ind w:left="0" w:leftChars="0" w:right="0" w:rightChars="0"/>
                    <w:rPr>
                      <w:rFonts w:hint="eastAsia" w:cs="Times New Roman"/>
                      <w:color w:val="auto"/>
                      <w:lang w:val="en-US" w:eastAsia="zh-CN"/>
                    </w:rPr>
                  </w:pPr>
                  <w:r>
                    <w:rPr>
                      <w:rFonts w:hint="default" w:ascii="Times New Roman" w:hAnsi="Times New Roman" w:cs="Times New Roman"/>
                      <w:color w:val="auto"/>
                      <w:lang w:val="en-US" w:eastAsia="zh-CN"/>
                    </w:rPr>
                    <w:t>主要污染产生分析</w:t>
                  </w:r>
                </w:p>
              </w:tc>
              <w:tc>
                <w:tcPr>
                  <w:tcW w:w="2113" w:type="dxa"/>
                  <w:tcBorders>
                    <w:tl2br w:val="nil"/>
                    <w:tr2bl w:val="nil"/>
                  </w:tcBorders>
                  <w:noWrap w:val="0"/>
                  <w:vAlign w:val="center"/>
                </w:tcPr>
                <w:p w14:paraId="038EFD9F">
                  <w:pPr>
                    <w:pStyle w:val="126"/>
                    <w:bidi w:val="0"/>
                    <w:ind w:left="0" w:leftChars="0" w:right="0" w:rightChars="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污染因子</w:t>
                  </w:r>
                </w:p>
              </w:tc>
            </w:tr>
            <w:tr w14:paraId="5333B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35" w:type="dxa"/>
                  <w:gridSpan w:val="2"/>
                  <w:tcBorders>
                    <w:tl2br w:val="nil"/>
                    <w:tr2bl w:val="nil"/>
                  </w:tcBorders>
                  <w:noWrap w:val="0"/>
                  <w:vAlign w:val="center"/>
                </w:tcPr>
                <w:p w14:paraId="7B711380">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生活污水</w:t>
                  </w:r>
                </w:p>
              </w:tc>
              <w:tc>
                <w:tcPr>
                  <w:tcW w:w="3442" w:type="dxa"/>
                  <w:tcBorders>
                    <w:tl2br w:val="nil"/>
                    <w:tr2bl w:val="nil"/>
                  </w:tcBorders>
                  <w:noWrap w:val="0"/>
                  <w:vAlign w:val="center"/>
                </w:tcPr>
                <w:p w14:paraId="2F7AD73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员工日常生活</w:t>
                  </w:r>
                </w:p>
              </w:tc>
              <w:tc>
                <w:tcPr>
                  <w:tcW w:w="2113" w:type="dxa"/>
                  <w:tcBorders>
                    <w:tl2br w:val="nil"/>
                    <w:tr2bl w:val="nil"/>
                  </w:tcBorders>
                  <w:noWrap w:val="0"/>
                  <w:vAlign w:val="center"/>
                </w:tcPr>
                <w:p w14:paraId="464A9819">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TP、TN</w:t>
                  </w:r>
                  <w:r>
                    <w:rPr>
                      <w:rFonts w:hint="eastAsia" w:cs="Times New Roman"/>
                      <w:color w:val="auto"/>
                      <w:lang w:eastAsia="zh-CN"/>
                    </w:rPr>
                    <w:t>、</w:t>
                  </w:r>
                  <w:r>
                    <w:rPr>
                      <w:rFonts w:hint="eastAsia" w:cs="Times New Roman"/>
                      <w:color w:val="auto"/>
                      <w:lang w:val="en-US" w:eastAsia="zh-CN"/>
                    </w:rPr>
                    <w:t>动植物油</w:t>
                  </w:r>
                </w:p>
              </w:tc>
            </w:tr>
            <w:tr w14:paraId="533A3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93" w:type="dxa"/>
                  <w:vMerge w:val="restart"/>
                  <w:tcBorders>
                    <w:tl2br w:val="nil"/>
                    <w:tr2bl w:val="nil"/>
                  </w:tcBorders>
                  <w:noWrap w:val="0"/>
                  <w:vAlign w:val="center"/>
                </w:tcPr>
                <w:p w14:paraId="59524E8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s="Times New Roman"/>
                      <w:color w:val="auto"/>
                      <w:lang w:val="en-US" w:eastAsia="zh-CN"/>
                    </w:rPr>
                    <w:t>生产废水</w:t>
                  </w:r>
                </w:p>
              </w:tc>
              <w:tc>
                <w:tcPr>
                  <w:tcW w:w="2042" w:type="dxa"/>
                  <w:tcBorders>
                    <w:tl2br w:val="nil"/>
                    <w:tr2bl w:val="nil"/>
                  </w:tcBorders>
                  <w:noWrap w:val="0"/>
                  <w:vAlign w:val="center"/>
                </w:tcPr>
                <w:p w14:paraId="0CB2837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lang w:val="en-US" w:eastAsia="zh-CN"/>
                    </w:rPr>
                    <w:t>解冻废水</w:t>
                  </w:r>
                </w:p>
              </w:tc>
              <w:tc>
                <w:tcPr>
                  <w:tcW w:w="3442" w:type="dxa"/>
                  <w:tcBorders>
                    <w:tl2br w:val="nil"/>
                    <w:tr2bl w:val="nil"/>
                  </w:tcBorders>
                  <w:noWrap w:val="0"/>
                  <w:vAlign w:val="center"/>
                </w:tcPr>
                <w:p w14:paraId="05018D1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sz w:val="21"/>
                      <w:szCs w:val="21"/>
                      <w:vertAlign w:val="baseline"/>
                      <w:lang w:val="en-US" w:eastAsia="zh-CN"/>
                    </w:rPr>
                    <w:t>肉类解冻时产生</w:t>
                  </w:r>
                </w:p>
              </w:tc>
              <w:tc>
                <w:tcPr>
                  <w:tcW w:w="2113" w:type="dxa"/>
                  <w:tcBorders>
                    <w:tl2br w:val="nil"/>
                    <w:tr2bl w:val="nil"/>
                  </w:tcBorders>
                  <w:noWrap w:val="0"/>
                  <w:vAlign w:val="center"/>
                </w:tcPr>
                <w:p w14:paraId="67FAE78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动植物油</w:t>
                  </w:r>
                </w:p>
              </w:tc>
            </w:tr>
            <w:tr w14:paraId="31B56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93" w:type="dxa"/>
                  <w:vMerge w:val="continue"/>
                  <w:tcBorders>
                    <w:tl2br w:val="nil"/>
                    <w:tr2bl w:val="nil"/>
                  </w:tcBorders>
                  <w:noWrap w:val="0"/>
                  <w:vAlign w:val="center"/>
                </w:tcPr>
                <w:p w14:paraId="76EDAB4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2042" w:type="dxa"/>
                  <w:tcBorders>
                    <w:tl2br w:val="nil"/>
                    <w:tr2bl w:val="nil"/>
                  </w:tcBorders>
                  <w:noWrap w:val="0"/>
                  <w:vAlign w:val="center"/>
                </w:tcPr>
                <w:p w14:paraId="4E906F9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lang w:val="en-US" w:eastAsia="zh-CN"/>
                    </w:rPr>
                    <w:t>原料清洗废水</w:t>
                  </w:r>
                </w:p>
              </w:tc>
              <w:tc>
                <w:tcPr>
                  <w:tcW w:w="3442" w:type="dxa"/>
                  <w:tcBorders>
                    <w:tl2br w:val="nil"/>
                    <w:tr2bl w:val="nil"/>
                  </w:tcBorders>
                  <w:noWrap w:val="0"/>
                  <w:vAlign w:val="center"/>
                </w:tcPr>
                <w:p w14:paraId="0DB1947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大米和蔬菜等食材加工前的清洗</w:t>
                  </w:r>
                  <w:r>
                    <w:rPr>
                      <w:rFonts w:hint="eastAsia" w:cs="Times New Roman"/>
                      <w:color w:val="auto"/>
                      <w:sz w:val="21"/>
                      <w:szCs w:val="21"/>
                      <w:vertAlign w:val="baseline"/>
                      <w:lang w:val="en-US" w:eastAsia="zh-CN"/>
                    </w:rPr>
                    <w:t>过程产生</w:t>
                  </w:r>
                </w:p>
              </w:tc>
              <w:tc>
                <w:tcPr>
                  <w:tcW w:w="2113" w:type="dxa"/>
                  <w:tcBorders>
                    <w:tl2br w:val="nil"/>
                    <w:tr2bl w:val="nil"/>
                  </w:tcBorders>
                  <w:noWrap w:val="0"/>
                  <w:vAlign w:val="center"/>
                </w:tcPr>
                <w:p w14:paraId="09C74E6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动植物油</w:t>
                  </w:r>
                </w:p>
              </w:tc>
            </w:tr>
            <w:tr w14:paraId="24140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93" w:type="dxa"/>
                  <w:vMerge w:val="continue"/>
                  <w:tcBorders>
                    <w:tl2br w:val="nil"/>
                    <w:tr2bl w:val="nil"/>
                  </w:tcBorders>
                  <w:noWrap w:val="0"/>
                  <w:vAlign w:val="center"/>
                </w:tcPr>
                <w:p w14:paraId="06D0B5C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2042" w:type="dxa"/>
                  <w:tcBorders>
                    <w:tl2br w:val="nil"/>
                    <w:tr2bl w:val="nil"/>
                  </w:tcBorders>
                  <w:noWrap w:val="0"/>
                  <w:vAlign w:val="center"/>
                </w:tcPr>
                <w:p w14:paraId="60C131C2">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lang w:val="en-US" w:eastAsia="zh-CN"/>
                    </w:rPr>
                    <w:t>食品制作废水</w:t>
                  </w:r>
                </w:p>
                <w:p w14:paraId="648CD7F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lang w:val="en-US" w:eastAsia="zh-CN"/>
                    </w:rPr>
                    <w:t>（焯水废水）</w:t>
                  </w:r>
                </w:p>
              </w:tc>
              <w:tc>
                <w:tcPr>
                  <w:tcW w:w="3442" w:type="dxa"/>
                  <w:tcBorders>
                    <w:tl2br w:val="nil"/>
                    <w:tr2bl w:val="nil"/>
                  </w:tcBorders>
                  <w:noWrap w:val="0"/>
                  <w:vAlign w:val="center"/>
                </w:tcPr>
                <w:p w14:paraId="45061D4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果蔬肉类焯水</w:t>
                  </w:r>
                  <w:r>
                    <w:rPr>
                      <w:rFonts w:hint="eastAsia" w:cs="Times New Roman"/>
                      <w:color w:val="auto"/>
                      <w:sz w:val="21"/>
                      <w:szCs w:val="21"/>
                      <w:lang w:val="en-US" w:eastAsia="zh-CN"/>
                    </w:rPr>
                    <w:t>过程产生</w:t>
                  </w:r>
                </w:p>
              </w:tc>
              <w:tc>
                <w:tcPr>
                  <w:tcW w:w="2113" w:type="dxa"/>
                  <w:tcBorders>
                    <w:tl2br w:val="nil"/>
                    <w:tr2bl w:val="nil"/>
                  </w:tcBorders>
                  <w:noWrap w:val="0"/>
                  <w:vAlign w:val="center"/>
                </w:tcPr>
                <w:p w14:paraId="221C430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动植物油</w:t>
                  </w:r>
                </w:p>
              </w:tc>
            </w:tr>
            <w:tr w14:paraId="2BD80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93" w:type="dxa"/>
                  <w:vMerge w:val="continue"/>
                  <w:tcBorders>
                    <w:tl2br w:val="nil"/>
                    <w:tr2bl w:val="nil"/>
                  </w:tcBorders>
                  <w:noWrap w:val="0"/>
                  <w:vAlign w:val="center"/>
                </w:tcPr>
                <w:p w14:paraId="0546F3C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2042" w:type="dxa"/>
                  <w:tcBorders>
                    <w:tl2br w:val="nil"/>
                    <w:tr2bl w:val="nil"/>
                  </w:tcBorders>
                  <w:noWrap w:val="0"/>
                  <w:vAlign w:val="center"/>
                </w:tcPr>
                <w:p w14:paraId="6392854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b w:val="0"/>
                      <w:bCs w:val="0"/>
                      <w:color w:val="auto"/>
                      <w:lang w:val="en-US" w:eastAsia="zh-CN"/>
                    </w:rPr>
                    <w:t>设备清洗废水</w:t>
                  </w:r>
                </w:p>
              </w:tc>
              <w:tc>
                <w:tcPr>
                  <w:tcW w:w="3442" w:type="dxa"/>
                  <w:tcBorders>
                    <w:tl2br w:val="nil"/>
                    <w:tr2bl w:val="nil"/>
                  </w:tcBorders>
                  <w:noWrap w:val="0"/>
                  <w:vAlign w:val="center"/>
                </w:tcPr>
                <w:p w14:paraId="660A91F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lang w:val="en-US" w:eastAsia="zh-CN"/>
                    </w:rPr>
                    <w:t>清洗设备时产生</w:t>
                  </w:r>
                </w:p>
              </w:tc>
              <w:tc>
                <w:tcPr>
                  <w:tcW w:w="2113" w:type="dxa"/>
                  <w:tcBorders>
                    <w:tl2br w:val="nil"/>
                    <w:tr2bl w:val="nil"/>
                  </w:tcBorders>
                  <w:noWrap w:val="0"/>
                  <w:vAlign w:val="center"/>
                </w:tcPr>
                <w:p w14:paraId="67578D5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动植物油</w:t>
                  </w:r>
                </w:p>
              </w:tc>
            </w:tr>
            <w:tr w14:paraId="4D35D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93" w:type="dxa"/>
                  <w:vMerge w:val="continue"/>
                  <w:tcBorders>
                    <w:tl2br w:val="nil"/>
                    <w:tr2bl w:val="nil"/>
                  </w:tcBorders>
                  <w:noWrap w:val="0"/>
                  <w:vAlign w:val="center"/>
                </w:tcPr>
                <w:p w14:paraId="5E15221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2042" w:type="dxa"/>
                  <w:tcBorders>
                    <w:tl2br w:val="nil"/>
                    <w:tr2bl w:val="nil"/>
                  </w:tcBorders>
                  <w:noWrap w:val="0"/>
                  <w:vAlign w:val="center"/>
                </w:tcPr>
                <w:p w14:paraId="7F272E3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cs="Times New Roman"/>
                      <w:color w:val="auto"/>
                      <w:lang w:val="en-US" w:eastAsia="zh-CN"/>
                    </w:rPr>
                  </w:pPr>
                  <w:r>
                    <w:rPr>
                      <w:rFonts w:hint="eastAsia" w:cs="Times New Roman"/>
                      <w:color w:val="auto"/>
                      <w:lang w:val="en-US" w:eastAsia="zh-CN"/>
                    </w:rPr>
                    <w:t>地面清洗废水</w:t>
                  </w:r>
                </w:p>
              </w:tc>
              <w:tc>
                <w:tcPr>
                  <w:tcW w:w="3442" w:type="dxa"/>
                  <w:tcBorders>
                    <w:tl2br w:val="nil"/>
                    <w:tr2bl w:val="nil"/>
                  </w:tcBorders>
                  <w:noWrap w:val="0"/>
                  <w:vAlign w:val="center"/>
                </w:tcPr>
                <w:p w14:paraId="7807C28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lang w:val="en-US" w:eastAsia="zh-CN"/>
                    </w:rPr>
                    <w:t>清洗地面时产生</w:t>
                  </w:r>
                </w:p>
              </w:tc>
              <w:tc>
                <w:tcPr>
                  <w:tcW w:w="2113" w:type="dxa"/>
                  <w:tcBorders>
                    <w:tl2br w:val="nil"/>
                    <w:tr2bl w:val="nil"/>
                  </w:tcBorders>
                  <w:noWrap w:val="0"/>
                  <w:vAlign w:val="center"/>
                </w:tcPr>
                <w:p w14:paraId="53BBF3A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r>
            <w:tr w14:paraId="51443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93" w:type="dxa"/>
                  <w:vMerge w:val="continue"/>
                  <w:tcBorders>
                    <w:tl2br w:val="nil"/>
                    <w:tr2bl w:val="nil"/>
                  </w:tcBorders>
                  <w:noWrap w:val="0"/>
                  <w:vAlign w:val="center"/>
                </w:tcPr>
                <w:p w14:paraId="3578299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2042" w:type="dxa"/>
                  <w:tcBorders>
                    <w:tl2br w:val="nil"/>
                    <w:tr2bl w:val="nil"/>
                  </w:tcBorders>
                  <w:shd w:val="clear" w:color="auto" w:fill="auto"/>
                  <w:noWrap w:val="0"/>
                  <w:vAlign w:val="center"/>
                </w:tcPr>
                <w:p w14:paraId="09E2E0D2">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锅炉废水</w:t>
                  </w:r>
                </w:p>
              </w:tc>
              <w:tc>
                <w:tcPr>
                  <w:tcW w:w="3442" w:type="dxa"/>
                  <w:tcBorders>
                    <w:tl2br w:val="nil"/>
                    <w:tr2bl w:val="nil"/>
                  </w:tcBorders>
                  <w:shd w:val="clear" w:color="auto" w:fill="auto"/>
                  <w:noWrap w:val="0"/>
                  <w:vAlign w:val="center"/>
                </w:tcPr>
                <w:p w14:paraId="42ED0C5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vertAlign w:val="baseline"/>
                      <w:lang w:val="en-US" w:eastAsia="zh-CN"/>
                    </w:rPr>
                    <w:t>燃气锅炉工作过程产生</w:t>
                  </w:r>
                </w:p>
              </w:tc>
              <w:tc>
                <w:tcPr>
                  <w:tcW w:w="2113" w:type="dxa"/>
                  <w:tcBorders>
                    <w:tl2br w:val="nil"/>
                    <w:tr2bl w:val="nil"/>
                  </w:tcBorders>
                  <w:shd w:val="clear" w:color="auto" w:fill="auto"/>
                  <w:noWrap w:val="0"/>
                  <w:vAlign w:val="center"/>
                </w:tcPr>
                <w:p w14:paraId="63CCDCD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、SS</w:t>
                  </w:r>
                </w:p>
              </w:tc>
            </w:tr>
            <w:tr w14:paraId="3DE46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93" w:type="dxa"/>
                  <w:vMerge w:val="continue"/>
                  <w:tcBorders>
                    <w:tl2br w:val="nil"/>
                    <w:tr2bl w:val="nil"/>
                  </w:tcBorders>
                  <w:noWrap w:val="0"/>
                  <w:vAlign w:val="center"/>
                </w:tcPr>
                <w:p w14:paraId="66E326E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p>
              </w:tc>
              <w:tc>
                <w:tcPr>
                  <w:tcW w:w="2042" w:type="dxa"/>
                  <w:tcBorders>
                    <w:tl2br w:val="nil"/>
                    <w:tr2bl w:val="nil"/>
                  </w:tcBorders>
                  <w:shd w:val="clear" w:color="auto" w:fill="auto"/>
                  <w:noWrap w:val="0"/>
                  <w:vAlign w:val="center"/>
                </w:tcPr>
                <w:p w14:paraId="08A4636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冷库除霜废水</w:t>
                  </w:r>
                </w:p>
              </w:tc>
              <w:tc>
                <w:tcPr>
                  <w:tcW w:w="3442" w:type="dxa"/>
                  <w:tcBorders>
                    <w:tl2br w:val="nil"/>
                    <w:tr2bl w:val="nil"/>
                  </w:tcBorders>
                  <w:shd w:val="clear" w:color="auto" w:fill="auto"/>
                  <w:noWrap w:val="0"/>
                  <w:vAlign w:val="center"/>
                </w:tcPr>
                <w:p w14:paraId="10262A7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vertAlign w:val="baseline"/>
                      <w:lang w:val="en-US" w:eastAsia="zh-CN"/>
                    </w:rPr>
                    <w:t>定期对冷库进行除霜过程产生</w:t>
                  </w:r>
                </w:p>
              </w:tc>
              <w:tc>
                <w:tcPr>
                  <w:tcW w:w="2113" w:type="dxa"/>
                  <w:tcBorders>
                    <w:tl2br w:val="nil"/>
                    <w:tr2bl w:val="nil"/>
                  </w:tcBorders>
                  <w:shd w:val="clear" w:color="auto" w:fill="auto"/>
                  <w:noWrap w:val="0"/>
                  <w:vAlign w:val="center"/>
                </w:tcPr>
                <w:p w14:paraId="651A2A2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r>
            <w:tr w14:paraId="5B04D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35" w:type="dxa"/>
                  <w:gridSpan w:val="2"/>
                  <w:tcBorders>
                    <w:tl2br w:val="nil"/>
                    <w:tr2bl w:val="nil"/>
                  </w:tcBorders>
                  <w:shd w:val="clear" w:color="auto" w:fill="auto"/>
                  <w:noWrap w:val="0"/>
                  <w:vAlign w:val="center"/>
                </w:tcPr>
                <w:p w14:paraId="72252D2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纯水制备浓水</w:t>
                  </w:r>
                </w:p>
              </w:tc>
              <w:tc>
                <w:tcPr>
                  <w:tcW w:w="3442" w:type="dxa"/>
                  <w:tcBorders>
                    <w:tl2br w:val="nil"/>
                    <w:tr2bl w:val="nil"/>
                  </w:tcBorders>
                  <w:shd w:val="clear" w:color="auto" w:fill="auto"/>
                  <w:noWrap w:val="0"/>
                  <w:vAlign w:val="center"/>
                </w:tcPr>
                <w:p w14:paraId="5973A81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纯水制备过程产生</w:t>
                  </w:r>
                </w:p>
              </w:tc>
              <w:tc>
                <w:tcPr>
                  <w:tcW w:w="2113" w:type="dxa"/>
                  <w:tcBorders>
                    <w:tl2br w:val="nil"/>
                    <w:tr2bl w:val="nil"/>
                  </w:tcBorders>
                  <w:shd w:val="clear" w:color="auto" w:fill="auto"/>
                  <w:noWrap w:val="0"/>
                  <w:vAlign w:val="center"/>
                </w:tcPr>
                <w:p w14:paraId="3EB5B5B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pH、</w:t>
                  </w:r>
                  <w:r>
                    <w:rPr>
                      <w:rFonts w:hint="eastAsia" w:cs="Times New Roman"/>
                      <w:color w:val="auto"/>
                      <w:lang w:val="en-US" w:eastAsia="zh-CN"/>
                    </w:rPr>
                    <w:t>COD</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w:t>
                  </w:r>
                  <w:r>
                    <w:rPr>
                      <w:rFonts w:hint="eastAsia" w:cs="Times New Roman"/>
                      <w:color w:val="auto"/>
                      <w:lang w:val="en-US" w:eastAsia="zh-CN"/>
                    </w:rPr>
                    <w:t>全盐量</w:t>
                  </w:r>
                </w:p>
              </w:tc>
            </w:tr>
          </w:tbl>
          <w:p w14:paraId="3DC456D8">
            <w:pPr>
              <w:pStyle w:val="12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2、废水污染物源强核算</w:t>
            </w:r>
          </w:p>
          <w:p w14:paraId="1BF61E36">
            <w:pPr>
              <w:pStyle w:val="124"/>
              <w:bidi w:val="0"/>
              <w:rPr>
                <w:rFonts w:hint="eastAsia"/>
                <w:b/>
                <w:bCs/>
                <w:color w:val="auto"/>
                <w:lang w:val="en-US" w:eastAsia="zh-CN"/>
              </w:rPr>
            </w:pPr>
            <w:r>
              <w:rPr>
                <w:rFonts w:hint="eastAsia"/>
                <w:b/>
                <w:bCs/>
                <w:color w:val="auto"/>
                <w:lang w:val="en-US" w:eastAsia="zh-CN"/>
              </w:rPr>
              <w:t>（1）生活污水</w:t>
            </w:r>
          </w:p>
          <w:p w14:paraId="61523B09">
            <w:pPr>
              <w:pStyle w:val="124"/>
              <w:bidi w:val="0"/>
              <w:rPr>
                <w:rFonts w:hint="default"/>
                <w:color w:val="auto"/>
                <w:lang w:eastAsia="zh-CN"/>
              </w:rPr>
            </w:pPr>
            <w:r>
              <w:rPr>
                <w:rFonts w:hint="eastAsia"/>
                <w:color w:val="auto"/>
                <w:lang w:val="en-US" w:eastAsia="zh-CN"/>
              </w:rPr>
              <w:t>本项目劳动定员350人，在厂区内住宿230人，不住宿120人</w:t>
            </w:r>
            <w:r>
              <w:rPr>
                <w:rFonts w:hint="default"/>
                <w:color w:val="auto"/>
                <w:lang w:eastAsia="zh-CN"/>
              </w:rPr>
              <w:t>。</w:t>
            </w:r>
            <w:r>
              <w:rPr>
                <w:rFonts w:hint="eastAsia"/>
                <w:color w:val="auto"/>
                <w:lang w:val="en-US" w:eastAsia="zh-CN"/>
              </w:rPr>
              <w:t>住宿人员</w:t>
            </w:r>
            <w:r>
              <w:rPr>
                <w:rFonts w:hint="default"/>
                <w:color w:val="auto"/>
                <w:lang w:val="en-US" w:eastAsia="zh-CN"/>
              </w:rPr>
              <w:t>生活用水量以</w:t>
            </w:r>
            <w:r>
              <w:rPr>
                <w:rFonts w:hint="eastAsia"/>
                <w:color w:val="auto"/>
                <w:lang w:val="en-US" w:eastAsia="zh-CN"/>
              </w:rPr>
              <w:t>1</w:t>
            </w:r>
            <w:r>
              <w:rPr>
                <w:rFonts w:hint="eastAsia"/>
                <w:color w:val="auto"/>
                <w:kern w:val="0"/>
                <w:sz w:val="24"/>
                <w:szCs w:val="24"/>
                <w:highlight w:val="none"/>
                <w:lang w:val="en-US" w:eastAsia="zh-CN"/>
              </w:rPr>
              <w:t>50</w:t>
            </w:r>
            <w:r>
              <w:rPr>
                <w:color w:val="auto"/>
                <w:kern w:val="0"/>
                <w:sz w:val="24"/>
                <w:szCs w:val="24"/>
                <w:highlight w:val="none"/>
              </w:rPr>
              <w:t>L/人·d</w:t>
            </w:r>
            <w:r>
              <w:rPr>
                <w:rFonts w:hint="default"/>
                <w:color w:val="auto"/>
                <w:lang w:eastAsia="zh-CN"/>
              </w:rPr>
              <w:t>计</w:t>
            </w:r>
            <w:r>
              <w:rPr>
                <w:rFonts w:hint="eastAsia"/>
                <w:color w:val="auto"/>
                <w:lang w:eastAsia="zh-CN"/>
              </w:rPr>
              <w:t>，</w:t>
            </w:r>
            <w:r>
              <w:rPr>
                <w:rFonts w:hint="default"/>
                <w:color w:val="auto"/>
                <w:lang w:val="en-US" w:eastAsia="zh-CN"/>
              </w:rPr>
              <w:t>不住宿人员生活用水量以</w:t>
            </w:r>
            <w:r>
              <w:rPr>
                <w:rFonts w:hint="eastAsia"/>
                <w:color w:val="auto"/>
                <w:kern w:val="0"/>
                <w:sz w:val="24"/>
                <w:szCs w:val="24"/>
                <w:highlight w:val="none"/>
                <w:lang w:val="en-US" w:eastAsia="zh-CN"/>
              </w:rPr>
              <w:t>50</w:t>
            </w:r>
            <w:r>
              <w:rPr>
                <w:color w:val="auto"/>
                <w:kern w:val="0"/>
                <w:sz w:val="24"/>
                <w:szCs w:val="24"/>
                <w:highlight w:val="none"/>
              </w:rPr>
              <w:t>L/人·d</w:t>
            </w:r>
            <w:r>
              <w:rPr>
                <w:rFonts w:hint="default"/>
                <w:color w:val="auto"/>
                <w:lang w:eastAsia="zh-CN"/>
              </w:rPr>
              <w:t>计，年工作时间为</w:t>
            </w:r>
            <w:r>
              <w:rPr>
                <w:rFonts w:hint="eastAsia"/>
                <w:color w:val="auto"/>
                <w:lang w:val="en-US" w:eastAsia="zh-CN"/>
              </w:rPr>
              <w:t>300</w:t>
            </w:r>
            <w:r>
              <w:rPr>
                <w:rFonts w:hint="default"/>
                <w:color w:val="auto"/>
                <w:lang w:val="en-US" w:eastAsia="zh-CN"/>
              </w:rPr>
              <w:t>天，</w:t>
            </w:r>
            <w:r>
              <w:rPr>
                <w:rFonts w:hint="default"/>
                <w:color w:val="auto"/>
                <w:lang w:eastAsia="zh-CN"/>
              </w:rPr>
              <w:t>则全厂生活用水量为</w:t>
            </w:r>
            <w:r>
              <w:rPr>
                <w:rFonts w:hint="eastAsia"/>
                <w:color w:val="auto"/>
                <w:lang w:val="en-US" w:eastAsia="zh-CN"/>
              </w:rPr>
              <w:t>40.5</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d</w:t>
            </w:r>
            <w:r>
              <w:rPr>
                <w:rFonts w:hint="default"/>
                <w:color w:val="auto"/>
                <w:lang w:eastAsia="zh-CN"/>
              </w:rPr>
              <w:t>（</w:t>
            </w:r>
            <w:r>
              <w:rPr>
                <w:rFonts w:hint="eastAsia"/>
                <w:color w:val="auto"/>
                <w:lang w:val="en-US" w:eastAsia="zh-CN"/>
              </w:rPr>
              <w:t>12150</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a</w:t>
            </w:r>
            <w:r>
              <w:rPr>
                <w:rFonts w:hint="default"/>
                <w:color w:val="auto"/>
                <w:lang w:eastAsia="zh-CN"/>
              </w:rPr>
              <w:t>），</w:t>
            </w:r>
            <w:r>
              <w:rPr>
                <w:rFonts w:hint="eastAsia"/>
                <w:color w:val="auto"/>
                <w:lang w:val="en-US" w:eastAsia="zh-CN"/>
              </w:rPr>
              <w:t>产污</w:t>
            </w:r>
            <w:r>
              <w:rPr>
                <w:rFonts w:hint="default"/>
                <w:color w:val="auto"/>
                <w:lang w:eastAsia="zh-CN"/>
              </w:rPr>
              <w:t>系数取0.8，</w:t>
            </w:r>
            <w:r>
              <w:rPr>
                <w:rFonts w:hint="eastAsia"/>
                <w:color w:val="auto"/>
                <w:lang w:val="en-US" w:eastAsia="zh-CN"/>
              </w:rPr>
              <w:t>生活污水产生</w:t>
            </w:r>
            <w:r>
              <w:rPr>
                <w:rFonts w:hint="default"/>
                <w:color w:val="auto"/>
                <w:lang w:eastAsia="zh-CN"/>
              </w:rPr>
              <w:t>量为</w:t>
            </w:r>
            <w:r>
              <w:rPr>
                <w:rFonts w:hint="eastAsia"/>
                <w:color w:val="auto"/>
                <w:lang w:val="en-US" w:eastAsia="zh-CN"/>
              </w:rPr>
              <w:t>32.4</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d</w:t>
            </w:r>
            <w:r>
              <w:rPr>
                <w:rFonts w:hint="default"/>
                <w:color w:val="auto"/>
                <w:lang w:eastAsia="zh-CN"/>
              </w:rPr>
              <w:t>（</w:t>
            </w:r>
            <w:r>
              <w:rPr>
                <w:rFonts w:hint="eastAsia"/>
                <w:color w:val="auto"/>
                <w:lang w:val="en-US" w:eastAsia="zh-CN"/>
              </w:rPr>
              <w:t>9720</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a</w:t>
            </w:r>
            <w:r>
              <w:rPr>
                <w:rFonts w:hint="default"/>
                <w:color w:val="auto"/>
                <w:lang w:eastAsia="zh-CN"/>
              </w:rPr>
              <w:t>）。</w:t>
            </w:r>
          </w:p>
          <w:p w14:paraId="3D6CE89E">
            <w:pPr>
              <w:pStyle w:val="10"/>
              <w:bidi w:val="0"/>
              <w:rPr>
                <w:rFonts w:hint="default" w:cs="Times New Roman"/>
                <w:b/>
                <w:bCs/>
                <w:color w:val="auto"/>
                <w:lang w:val="en-US" w:eastAsia="zh-CN"/>
              </w:rPr>
            </w:pPr>
            <w:r>
              <w:rPr>
                <w:rFonts w:hint="eastAsia" w:cs="Times New Roman"/>
                <w:b/>
                <w:bCs/>
                <w:color w:val="auto"/>
                <w:lang w:val="en-US" w:eastAsia="zh-CN"/>
              </w:rPr>
              <w:t>（2）生产废水</w:t>
            </w:r>
          </w:p>
          <w:p w14:paraId="4FAB1096">
            <w:pPr>
              <w:pStyle w:val="10"/>
              <w:bidi w:val="0"/>
              <w:rPr>
                <w:rFonts w:hint="default"/>
                <w:b w:val="0"/>
                <w:bCs w:val="0"/>
                <w:color w:val="auto"/>
                <w:kern w:val="24"/>
                <w:sz w:val="24"/>
                <w:szCs w:val="24"/>
                <w:lang w:val="en-US"/>
              </w:rPr>
            </w:pPr>
            <w:r>
              <w:rPr>
                <w:rFonts w:hint="eastAsia"/>
                <w:color w:val="auto"/>
                <w:sz w:val="24"/>
                <w:szCs w:val="24"/>
                <w:highlight w:val="none"/>
              </w:rPr>
              <w:t>①</w:t>
            </w:r>
            <w:r>
              <w:rPr>
                <w:rFonts w:hint="eastAsia" w:cs="Times New Roman"/>
                <w:b w:val="0"/>
                <w:bCs w:val="0"/>
                <w:color w:val="auto"/>
                <w:lang w:val="en-US" w:eastAsia="zh-CN"/>
              </w:rPr>
              <w:t>解冻废水</w:t>
            </w:r>
          </w:p>
          <w:p w14:paraId="4E85E3C8">
            <w:pPr>
              <w:pStyle w:val="124"/>
              <w:bidi w:val="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 xml:space="preserve">本项目肉类解冻需要用新鲜水。根据建设单位提供资料，解冻水用量为 </w:t>
            </w:r>
            <w:r>
              <w:rPr>
                <w:rFonts w:hint="default" w:ascii="Times New Roman" w:hAnsi="Times New Roman" w:eastAsia="宋体" w:cs="Times New Roman"/>
                <w:b w:val="0"/>
                <w:bCs w:val="0"/>
                <w:color w:val="auto"/>
                <w:lang w:val="en-US" w:eastAsia="zh-CN"/>
              </w:rPr>
              <w:t>0.5m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/t</w:t>
            </w:r>
            <w:r>
              <w:rPr>
                <w:rFonts w:hint="eastAsia" w:ascii="Times New Roman" w:hAnsi="Times New Roman" w:eastAsia="宋体" w:cs="Times New Roman"/>
                <w:b w:val="0"/>
                <w:bCs w:val="0"/>
                <w:color w:val="auto"/>
                <w:lang w:val="en-US" w:eastAsia="zh-CN"/>
              </w:rPr>
              <w:t>产品计算，本项目肉类用量45000</w:t>
            </w:r>
            <w:r>
              <w:rPr>
                <w:rFonts w:hint="default" w:ascii="Times New Roman" w:hAnsi="Times New Roman" w:eastAsia="宋体" w:cs="Times New Roman"/>
                <w:b w:val="0"/>
                <w:bCs w:val="0"/>
                <w:color w:val="auto"/>
                <w:lang w:val="en-US" w:eastAsia="zh-CN"/>
              </w:rPr>
              <w:t>t/a</w:t>
            </w:r>
            <w:r>
              <w:rPr>
                <w:rFonts w:hint="eastAsia" w:ascii="Times New Roman" w:hAnsi="Times New Roman" w:eastAsia="宋体" w:cs="Times New Roman"/>
                <w:b w:val="0"/>
                <w:bCs w:val="0"/>
                <w:color w:val="auto"/>
                <w:lang w:val="en-US" w:eastAsia="zh-CN"/>
              </w:rPr>
              <w:t>，则解冻用水量约75</w:t>
            </w:r>
            <w:r>
              <w:rPr>
                <w:rFonts w:hint="default"/>
                <w:b w:val="0"/>
                <w:bCs w:val="0"/>
                <w:color w:val="auto"/>
                <w:lang w:eastAsia="zh-CN"/>
              </w:rPr>
              <w:t>m</w:t>
            </w:r>
            <w:r>
              <w:rPr>
                <w:rFonts w:hint="default"/>
                <w:b w:val="0"/>
                <w:bCs w:val="0"/>
                <w:color w:val="auto"/>
                <w:vertAlign w:val="superscript"/>
                <w:lang w:eastAsia="zh-CN"/>
              </w:rPr>
              <w:t>3</w:t>
            </w:r>
            <w:r>
              <w:rPr>
                <w:rFonts w:hint="default"/>
                <w:b w:val="0"/>
                <w:bCs w:val="0"/>
                <w:color w:val="auto"/>
                <w:lang w:eastAsia="zh-CN"/>
              </w:rPr>
              <w:t>/</w:t>
            </w:r>
            <w:r>
              <w:rPr>
                <w:rFonts w:hint="eastAsia"/>
                <w:b w:val="0"/>
                <w:bCs w:val="0"/>
                <w:color w:val="auto"/>
                <w:lang w:val="en-US" w:eastAsia="zh-CN"/>
              </w:rPr>
              <w:t>d</w:t>
            </w:r>
            <w:r>
              <w:rPr>
                <w:rFonts w:hint="eastAsia" w:ascii="Times New Roman" w:hAnsi="Times New Roman" w:eastAsia="宋体" w:cs="Times New Roman"/>
                <w:b w:val="0"/>
                <w:bCs w:val="0"/>
                <w:color w:val="auto"/>
                <w:lang w:val="en-US" w:eastAsia="zh-CN"/>
              </w:rPr>
              <w:t>（22500</w:t>
            </w:r>
            <w:r>
              <w:rPr>
                <w:rFonts w:hint="default" w:ascii="Times New Roman" w:hAnsi="Times New Roman" w:eastAsia="宋体" w:cs="Times New Roman"/>
                <w:b w:val="0"/>
                <w:bCs w:val="0"/>
                <w:color w:val="auto"/>
                <w:lang w:val="en-US" w:eastAsia="zh-CN"/>
              </w:rPr>
              <w:t>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/a</w:t>
            </w:r>
            <w:r>
              <w:rPr>
                <w:rFonts w:hint="eastAsia" w:ascii="Times New Roman" w:hAnsi="Times New Roman" w:eastAsia="宋体" w:cs="Times New Roman"/>
                <w:b w:val="0"/>
                <w:bCs w:val="0"/>
                <w:color w:val="auto"/>
                <w:lang w:val="en-US" w:eastAsia="zh-CN"/>
              </w:rPr>
              <w:t>），</w:t>
            </w:r>
            <w:r>
              <w:rPr>
                <w:rFonts w:hint="eastAsia"/>
                <w:b w:val="0"/>
                <w:bCs w:val="0"/>
                <w:color w:val="auto"/>
                <w:lang w:val="en-US" w:eastAsia="zh-CN"/>
              </w:rPr>
              <w:t>产污</w:t>
            </w:r>
            <w:r>
              <w:rPr>
                <w:rFonts w:hint="default"/>
                <w:b w:val="0"/>
                <w:bCs w:val="0"/>
                <w:color w:val="auto"/>
                <w:lang w:eastAsia="zh-CN"/>
              </w:rPr>
              <w:t>系数取0.</w:t>
            </w:r>
            <w:r>
              <w:rPr>
                <w:rFonts w:hint="eastAsia"/>
                <w:b w:val="0"/>
                <w:bCs w:val="0"/>
                <w:color w:val="auto"/>
                <w:lang w:val="en-US" w:eastAsia="zh-CN"/>
              </w:rPr>
              <w:t>9</w:t>
            </w:r>
            <w:r>
              <w:rPr>
                <w:rFonts w:hint="eastAsia" w:ascii="Times New Roman" w:hAnsi="Times New Roman" w:eastAsia="宋体" w:cs="Times New Roman"/>
                <w:b w:val="0"/>
                <w:bCs w:val="0"/>
                <w:color w:val="auto"/>
                <w:lang w:val="en-US" w:eastAsia="zh-CN"/>
              </w:rPr>
              <w:t>，则解冻废水产生量约67.5</w:t>
            </w:r>
            <w:r>
              <w:rPr>
                <w:rFonts w:hint="default"/>
                <w:b w:val="0"/>
                <w:bCs w:val="0"/>
                <w:color w:val="auto"/>
                <w:lang w:eastAsia="zh-CN"/>
              </w:rPr>
              <w:t>m</w:t>
            </w:r>
            <w:r>
              <w:rPr>
                <w:rFonts w:hint="default"/>
                <w:b w:val="0"/>
                <w:bCs w:val="0"/>
                <w:color w:val="auto"/>
                <w:vertAlign w:val="superscript"/>
                <w:lang w:eastAsia="zh-CN"/>
              </w:rPr>
              <w:t>3</w:t>
            </w:r>
            <w:r>
              <w:rPr>
                <w:rFonts w:hint="default"/>
                <w:b w:val="0"/>
                <w:bCs w:val="0"/>
                <w:color w:val="auto"/>
                <w:lang w:eastAsia="zh-CN"/>
              </w:rPr>
              <w:t>/</w:t>
            </w:r>
            <w:r>
              <w:rPr>
                <w:rFonts w:hint="eastAsia"/>
                <w:b w:val="0"/>
                <w:bCs w:val="0"/>
                <w:color w:val="auto"/>
                <w:lang w:val="en-US" w:eastAsia="zh-CN"/>
              </w:rPr>
              <w:t>d</w:t>
            </w:r>
            <w:r>
              <w:rPr>
                <w:rFonts w:hint="eastAsia" w:ascii="Times New Roman" w:hAnsi="Times New Roman" w:eastAsia="宋体" w:cs="Times New Roman"/>
                <w:b w:val="0"/>
                <w:bCs w:val="0"/>
                <w:color w:val="auto"/>
                <w:lang w:val="en-US" w:eastAsia="zh-CN"/>
              </w:rPr>
              <w:t>（20250</w:t>
            </w:r>
            <w:r>
              <w:rPr>
                <w:rFonts w:hint="default" w:ascii="Times New Roman" w:hAnsi="Times New Roman" w:eastAsia="宋体" w:cs="Times New Roman"/>
                <w:b w:val="0"/>
                <w:bCs w:val="0"/>
                <w:color w:val="auto"/>
                <w:lang w:val="en-US" w:eastAsia="zh-CN"/>
              </w:rPr>
              <w:t>m</w:t>
            </w:r>
            <w:r>
              <w:rPr>
                <w:rFonts w:hint="default" w:ascii="Times New Roman" w:hAnsi="Times New Roman" w:eastAsia="宋体" w:cs="Times New Roman"/>
                <w:b w:val="0"/>
                <w:bCs w:val="0"/>
                <w:color w:val="auto"/>
                <w:vertAlign w:val="superscript"/>
                <w:lang w:val="en-US" w:eastAsia="zh-CN"/>
              </w:rPr>
              <w:t>3</w:t>
            </w:r>
            <w:r>
              <w:rPr>
                <w:rFonts w:hint="default" w:ascii="Times New Roman" w:hAnsi="Times New Roman" w:eastAsia="宋体" w:cs="Times New Roman"/>
                <w:b w:val="0"/>
                <w:bCs w:val="0"/>
                <w:color w:val="auto"/>
                <w:lang w:val="en-US" w:eastAsia="zh-CN"/>
              </w:rPr>
              <w:t>/a</w:t>
            </w:r>
            <w:r>
              <w:rPr>
                <w:rFonts w:hint="eastAsia" w:ascii="Times New Roman" w:hAnsi="Times New Roman" w:eastAsia="宋体" w:cs="Times New Roman"/>
                <w:b w:val="0"/>
                <w:bCs w:val="0"/>
                <w:color w:val="auto"/>
                <w:lang w:val="en-US" w:eastAsia="zh-CN"/>
              </w:rPr>
              <w:t>）。</w:t>
            </w:r>
          </w:p>
          <w:p w14:paraId="657543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val="0"/>
                <w:sz w:val="24"/>
                <w:szCs w:val="24"/>
              </w:rPr>
            </w:pPr>
            <w:r>
              <w:rPr>
                <w:rFonts w:hint="eastAsia"/>
                <w:color w:val="auto"/>
                <w:sz w:val="24"/>
                <w:szCs w:val="24"/>
                <w:highlight w:val="none"/>
              </w:rPr>
              <w:t>②</w:t>
            </w:r>
            <w:r>
              <w:rPr>
                <w:rFonts w:hint="eastAsia" w:ascii="宋体" w:hAnsi="宋体" w:eastAsia="宋体" w:cs="宋体"/>
                <w:b w:val="0"/>
                <w:bCs w:val="0"/>
                <w:color w:val="000000"/>
                <w:kern w:val="0"/>
                <w:sz w:val="24"/>
                <w:szCs w:val="24"/>
                <w:lang w:val="en-US" w:eastAsia="zh-CN" w:bidi="ar"/>
              </w:rPr>
              <w:t>原料清洗</w:t>
            </w:r>
            <w:r>
              <w:rPr>
                <w:rFonts w:hint="eastAsia" w:ascii="宋体" w:hAnsi="宋体" w:cs="宋体"/>
                <w:b w:val="0"/>
                <w:bCs w:val="0"/>
                <w:color w:val="000000"/>
                <w:kern w:val="0"/>
                <w:sz w:val="24"/>
                <w:szCs w:val="24"/>
                <w:lang w:val="en-US" w:eastAsia="zh-CN" w:bidi="ar"/>
              </w:rPr>
              <w:t>废</w:t>
            </w:r>
            <w:r>
              <w:rPr>
                <w:rFonts w:hint="eastAsia" w:ascii="宋体" w:hAnsi="宋体" w:eastAsia="宋体" w:cs="宋体"/>
                <w:b w:val="0"/>
                <w:bCs w:val="0"/>
                <w:color w:val="000000"/>
                <w:kern w:val="0"/>
                <w:sz w:val="24"/>
                <w:szCs w:val="24"/>
                <w:lang w:val="en-US" w:eastAsia="zh-CN" w:bidi="ar"/>
              </w:rPr>
              <w:t xml:space="preserve">水 </w:t>
            </w:r>
          </w:p>
          <w:p w14:paraId="572770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sz w:val="24"/>
                <w:szCs w:val="24"/>
                <w:highlight w:val="none"/>
                <w:lang w:val="en-US" w:eastAsia="zh-CN"/>
              </w:rPr>
            </w:pPr>
            <w:r>
              <w:rPr>
                <w:rFonts w:hint="eastAsia" w:ascii="宋体" w:hAnsi="宋体" w:eastAsia="宋体" w:cs="宋体"/>
                <w:b w:val="0"/>
                <w:bCs w:val="0"/>
                <w:color w:val="000000"/>
                <w:kern w:val="0"/>
                <w:sz w:val="24"/>
                <w:szCs w:val="24"/>
                <w:lang w:val="en-US" w:eastAsia="zh-CN" w:bidi="ar"/>
              </w:rPr>
              <w:t>本项目需要</w:t>
            </w:r>
            <w:r>
              <w:rPr>
                <w:rFonts w:hint="eastAsia" w:ascii="宋体" w:hAnsi="宋体" w:cs="宋体"/>
                <w:b w:val="0"/>
                <w:bCs w:val="0"/>
                <w:color w:val="000000"/>
                <w:kern w:val="0"/>
                <w:sz w:val="24"/>
                <w:szCs w:val="24"/>
                <w:lang w:val="en-US" w:eastAsia="zh-CN" w:bidi="ar"/>
              </w:rPr>
              <w:t>用纯水</w:t>
            </w:r>
            <w:r>
              <w:rPr>
                <w:rFonts w:hint="eastAsia" w:ascii="宋体" w:hAnsi="宋体" w:eastAsia="宋体" w:cs="宋体"/>
                <w:b w:val="0"/>
                <w:bCs w:val="0"/>
                <w:color w:val="000000"/>
                <w:kern w:val="0"/>
                <w:sz w:val="24"/>
                <w:szCs w:val="24"/>
                <w:lang w:val="en-US" w:eastAsia="zh-CN" w:bidi="ar"/>
              </w:rPr>
              <w:t>对采购回来的蔬菜</w:t>
            </w:r>
            <w:r>
              <w:rPr>
                <w:rFonts w:hint="eastAsia" w:ascii="宋体" w:hAnsi="宋体" w:cs="宋体"/>
                <w:b w:val="0"/>
                <w:bCs w:val="0"/>
                <w:color w:val="000000"/>
                <w:kern w:val="0"/>
                <w:sz w:val="24"/>
                <w:szCs w:val="24"/>
                <w:lang w:val="en-US" w:eastAsia="zh-CN" w:bidi="ar"/>
              </w:rPr>
              <w:t>、肉类和</w:t>
            </w:r>
            <w:r>
              <w:rPr>
                <w:rFonts w:hint="eastAsia" w:ascii="宋体" w:hAnsi="宋体" w:eastAsia="宋体" w:cs="宋体"/>
                <w:b w:val="0"/>
                <w:bCs w:val="0"/>
                <w:color w:val="000000"/>
                <w:kern w:val="0"/>
                <w:sz w:val="24"/>
                <w:szCs w:val="24"/>
                <w:lang w:val="en-US" w:eastAsia="zh-CN" w:bidi="ar"/>
              </w:rPr>
              <w:t>大米等食材在加工前进行清洗。根据建设单位提供资料，原料清洗用水量以果蔬</w:t>
            </w:r>
            <w:r>
              <w:rPr>
                <w:rFonts w:hint="default" w:ascii="Times New Roman" w:hAnsi="Times New Roman" w:eastAsia="宋体" w:cs="Times New Roman"/>
                <w:b w:val="0"/>
                <w:bCs w:val="0"/>
                <w:color w:val="000000"/>
                <w:kern w:val="0"/>
                <w:sz w:val="24"/>
                <w:szCs w:val="24"/>
                <w:lang w:val="en-US" w:eastAsia="zh-CN" w:bidi="ar"/>
              </w:rPr>
              <w:t>1m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/t</w:t>
            </w:r>
            <w:r>
              <w:rPr>
                <w:rFonts w:hint="eastAsia" w:ascii="宋体" w:hAnsi="宋体" w:eastAsia="宋体" w:cs="宋体"/>
                <w:b w:val="0"/>
                <w:bCs w:val="0"/>
                <w:color w:val="000000"/>
                <w:kern w:val="0"/>
                <w:sz w:val="24"/>
                <w:szCs w:val="24"/>
                <w:lang w:val="en-US" w:eastAsia="zh-CN" w:bidi="ar"/>
              </w:rPr>
              <w:t>，肉类</w:t>
            </w:r>
            <w:r>
              <w:rPr>
                <w:rFonts w:hint="default" w:ascii="Times New Roman" w:hAnsi="Times New Roman" w:eastAsia="宋体" w:cs="Times New Roman"/>
                <w:b w:val="0"/>
                <w:bCs w:val="0"/>
                <w:color w:val="000000"/>
                <w:kern w:val="0"/>
                <w:sz w:val="24"/>
                <w:szCs w:val="24"/>
                <w:lang w:val="en-US" w:eastAsia="zh-CN" w:bidi="ar"/>
              </w:rPr>
              <w:t>1m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/t</w:t>
            </w:r>
            <w:r>
              <w:rPr>
                <w:rFonts w:hint="eastAsia" w:ascii="宋体" w:hAnsi="宋体" w:eastAsia="宋体" w:cs="宋体"/>
                <w:b w:val="0"/>
                <w:bCs w:val="0"/>
                <w:color w:val="000000"/>
                <w:kern w:val="0"/>
                <w:sz w:val="24"/>
                <w:szCs w:val="24"/>
                <w:lang w:val="en-US" w:eastAsia="zh-CN" w:bidi="ar"/>
              </w:rPr>
              <w:t>，大米</w:t>
            </w:r>
            <w:r>
              <w:rPr>
                <w:rFonts w:hint="default" w:ascii="Times New Roman" w:hAnsi="Times New Roman" w:eastAsia="宋体" w:cs="Times New Roman"/>
                <w:b w:val="0"/>
                <w:bCs w:val="0"/>
                <w:color w:val="000000"/>
                <w:kern w:val="0"/>
                <w:sz w:val="24"/>
                <w:szCs w:val="24"/>
                <w:lang w:val="en-US" w:eastAsia="zh-CN" w:bidi="ar"/>
              </w:rPr>
              <w:t>1.5m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 xml:space="preserve"> /t</w:t>
            </w:r>
            <w:r>
              <w:rPr>
                <w:rFonts w:hint="eastAsia" w:ascii="宋体" w:hAnsi="宋体" w:eastAsia="宋体" w:cs="宋体"/>
                <w:b w:val="0"/>
                <w:bCs w:val="0"/>
                <w:color w:val="000000"/>
                <w:kern w:val="0"/>
                <w:sz w:val="24"/>
                <w:szCs w:val="24"/>
                <w:lang w:val="en-US" w:eastAsia="zh-CN" w:bidi="ar"/>
              </w:rPr>
              <w:t>计算，本项目果蔬用量</w:t>
            </w:r>
            <w:r>
              <w:rPr>
                <w:rFonts w:hint="eastAsia" w:ascii="Times New Roman" w:hAnsi="Times New Roman" w:eastAsia="宋体" w:cs="Times New Roman"/>
                <w:b w:val="0"/>
                <w:bCs w:val="0"/>
                <w:color w:val="000000"/>
                <w:kern w:val="0"/>
                <w:sz w:val="24"/>
                <w:szCs w:val="24"/>
                <w:lang w:val="en-US" w:eastAsia="zh-CN" w:bidi="ar"/>
              </w:rPr>
              <w:t>40</w:t>
            </w:r>
            <w:r>
              <w:rPr>
                <w:rFonts w:hint="default" w:ascii="Times New Roman" w:hAnsi="Times New Roman" w:eastAsia="宋体" w:cs="Times New Roman"/>
                <w:b w:val="0"/>
                <w:bCs w:val="0"/>
                <w:color w:val="000000"/>
                <w:kern w:val="0"/>
                <w:sz w:val="24"/>
                <w:szCs w:val="24"/>
                <w:lang w:val="en-US" w:eastAsia="zh-CN" w:bidi="ar"/>
              </w:rPr>
              <w:t>000t/a</w:t>
            </w:r>
            <w:r>
              <w:rPr>
                <w:rFonts w:hint="eastAsia" w:ascii="宋体" w:hAnsi="宋体" w:eastAsia="宋体" w:cs="宋体"/>
                <w:b w:val="0"/>
                <w:bCs w:val="0"/>
                <w:color w:val="000000"/>
                <w:kern w:val="0"/>
                <w:sz w:val="24"/>
                <w:szCs w:val="24"/>
                <w:lang w:val="en-US" w:eastAsia="zh-CN" w:bidi="ar"/>
              </w:rPr>
              <w:t>，</w:t>
            </w:r>
            <w:r>
              <w:rPr>
                <w:rFonts w:hint="eastAsia" w:ascii="宋体" w:hAnsi="宋体" w:cs="宋体"/>
                <w:b w:val="0"/>
                <w:bCs w:val="0"/>
                <w:color w:val="000000"/>
                <w:kern w:val="0"/>
                <w:sz w:val="24"/>
                <w:szCs w:val="24"/>
                <w:lang w:val="en-US" w:eastAsia="zh-CN" w:bidi="ar"/>
              </w:rPr>
              <w:t>肉类用量</w:t>
            </w:r>
            <w:r>
              <w:rPr>
                <w:rFonts w:hint="eastAsia" w:ascii="Times New Roman" w:hAnsi="Times New Roman" w:eastAsia="宋体" w:cs="Times New Roman"/>
                <w:b w:val="0"/>
                <w:bCs w:val="0"/>
                <w:color w:val="000000"/>
                <w:kern w:val="0"/>
                <w:sz w:val="24"/>
                <w:szCs w:val="24"/>
                <w:lang w:val="en-US" w:eastAsia="zh-CN" w:bidi="ar"/>
              </w:rPr>
              <w:t>45</w:t>
            </w:r>
            <w:r>
              <w:rPr>
                <w:rFonts w:hint="default" w:ascii="Times New Roman" w:hAnsi="Times New Roman" w:eastAsia="宋体" w:cs="Times New Roman"/>
                <w:b w:val="0"/>
                <w:bCs w:val="0"/>
                <w:color w:val="000000"/>
                <w:kern w:val="0"/>
                <w:sz w:val="24"/>
                <w:szCs w:val="24"/>
                <w:lang w:val="en-US" w:eastAsia="zh-CN" w:bidi="ar"/>
              </w:rPr>
              <w:t>000t/a</w:t>
            </w:r>
            <w:r>
              <w:rPr>
                <w:rFonts w:hint="eastAsia" w:ascii="宋体" w:hAnsi="宋体" w:eastAsia="宋体" w:cs="宋体"/>
                <w:b w:val="0"/>
                <w:bCs w:val="0"/>
                <w:color w:val="000000"/>
                <w:kern w:val="0"/>
                <w:sz w:val="24"/>
                <w:szCs w:val="24"/>
                <w:lang w:val="en-US" w:eastAsia="zh-CN" w:bidi="ar"/>
              </w:rPr>
              <w:t>，大米用量</w:t>
            </w:r>
            <w:r>
              <w:rPr>
                <w:rFonts w:hint="eastAsia" w:ascii="Times New Roman" w:hAnsi="Times New Roman" w:eastAsia="宋体" w:cs="Times New Roman"/>
                <w:b w:val="0"/>
                <w:bCs w:val="0"/>
                <w:color w:val="000000"/>
                <w:kern w:val="0"/>
                <w:sz w:val="24"/>
                <w:szCs w:val="24"/>
                <w:lang w:val="en-US" w:eastAsia="zh-CN" w:bidi="ar"/>
              </w:rPr>
              <w:t>5000</w:t>
            </w:r>
            <w:r>
              <w:rPr>
                <w:rFonts w:hint="default" w:ascii="Times New Roman" w:hAnsi="Times New Roman" w:eastAsia="宋体" w:cs="Times New Roman"/>
                <w:b w:val="0"/>
                <w:bCs w:val="0"/>
                <w:color w:val="000000"/>
                <w:kern w:val="0"/>
                <w:sz w:val="24"/>
                <w:szCs w:val="24"/>
                <w:lang w:val="en-US" w:eastAsia="zh-CN" w:bidi="ar"/>
              </w:rPr>
              <w:t>t/a</w:t>
            </w:r>
            <w:r>
              <w:rPr>
                <w:rFonts w:hint="eastAsia" w:ascii="宋体" w:hAnsi="宋体" w:eastAsia="宋体" w:cs="宋体"/>
                <w:b w:val="0"/>
                <w:bCs w:val="0"/>
                <w:color w:val="000000"/>
                <w:kern w:val="0"/>
                <w:sz w:val="24"/>
                <w:szCs w:val="24"/>
                <w:lang w:val="en-US" w:eastAsia="zh-CN" w:bidi="ar"/>
              </w:rPr>
              <w:t>，则原料清洗用水量约</w:t>
            </w:r>
            <w:r>
              <w:rPr>
                <w:rFonts w:hint="eastAsia" w:cs="Times New Roman"/>
                <w:b w:val="0"/>
                <w:bCs w:val="0"/>
                <w:color w:val="auto"/>
                <w:sz w:val="24"/>
                <w:szCs w:val="24"/>
                <w:lang w:val="en-US" w:eastAsia="zh-CN"/>
              </w:rPr>
              <w:t>308.33</w:t>
            </w:r>
            <w:r>
              <w:rPr>
                <w:rFonts w:hint="default"/>
                <w:b w:val="0"/>
                <w:bCs w:val="0"/>
                <w:color w:val="auto"/>
                <w:sz w:val="24"/>
                <w:szCs w:val="24"/>
                <w:lang w:eastAsia="zh-CN"/>
              </w:rPr>
              <w:t>m</w:t>
            </w:r>
            <w:r>
              <w:rPr>
                <w:rFonts w:hint="default"/>
                <w:b w:val="0"/>
                <w:bCs w:val="0"/>
                <w:color w:val="auto"/>
                <w:sz w:val="24"/>
                <w:szCs w:val="24"/>
                <w:vertAlign w:val="superscript"/>
                <w:lang w:eastAsia="zh-CN"/>
              </w:rPr>
              <w:t>3</w:t>
            </w:r>
            <w:r>
              <w:rPr>
                <w:rFonts w:hint="default"/>
                <w:b w:val="0"/>
                <w:bCs w:val="0"/>
                <w:color w:val="auto"/>
                <w:sz w:val="24"/>
                <w:szCs w:val="24"/>
                <w:lang w:eastAsia="zh-CN"/>
              </w:rPr>
              <w:t>/</w:t>
            </w:r>
            <w:r>
              <w:rPr>
                <w:rFonts w:hint="eastAsia"/>
                <w:b w:val="0"/>
                <w:bCs w:val="0"/>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92500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r>
              <w:rPr>
                <w:rFonts w:hint="eastAsia" w:ascii="宋体" w:hAnsi="宋体" w:eastAsia="宋体" w:cs="宋体"/>
                <w:b w:val="0"/>
                <w:bCs w:val="0"/>
                <w:color w:val="000000"/>
                <w:kern w:val="0"/>
                <w:sz w:val="24"/>
                <w:szCs w:val="24"/>
                <w:lang w:val="en-US" w:eastAsia="zh-CN" w:bidi="ar"/>
              </w:rPr>
              <w:t>，</w:t>
            </w:r>
            <w:r>
              <w:rPr>
                <w:rFonts w:hint="eastAsia"/>
                <w:b w:val="0"/>
                <w:bCs w:val="0"/>
                <w:color w:val="auto"/>
                <w:sz w:val="24"/>
                <w:szCs w:val="24"/>
                <w:lang w:val="en-US" w:eastAsia="zh-CN"/>
              </w:rPr>
              <w:t>产污</w:t>
            </w:r>
            <w:r>
              <w:rPr>
                <w:rFonts w:hint="default"/>
                <w:b w:val="0"/>
                <w:bCs w:val="0"/>
                <w:color w:val="auto"/>
                <w:sz w:val="24"/>
                <w:szCs w:val="24"/>
                <w:lang w:eastAsia="zh-CN"/>
              </w:rPr>
              <w:t>系数取0.</w:t>
            </w:r>
            <w:r>
              <w:rPr>
                <w:rFonts w:hint="eastAsia"/>
                <w:b w:val="0"/>
                <w:bCs w:val="0"/>
                <w:color w:val="auto"/>
                <w:sz w:val="24"/>
                <w:szCs w:val="24"/>
                <w:lang w:val="en-US" w:eastAsia="zh-CN"/>
              </w:rPr>
              <w:t>8</w:t>
            </w:r>
            <w:r>
              <w:rPr>
                <w:rFonts w:hint="eastAsia" w:ascii="Times New Roman" w:hAnsi="Times New Roman" w:eastAsia="宋体" w:cs="Times New Roman"/>
                <w:b w:val="0"/>
                <w:bCs w:val="0"/>
                <w:color w:val="auto"/>
                <w:sz w:val="24"/>
                <w:szCs w:val="24"/>
                <w:lang w:val="en-US" w:eastAsia="zh-CN"/>
              </w:rPr>
              <w:t>，</w:t>
            </w:r>
            <w:r>
              <w:rPr>
                <w:rFonts w:hint="eastAsia" w:ascii="宋体" w:hAnsi="宋体" w:eastAsia="宋体" w:cs="宋体"/>
                <w:b w:val="0"/>
                <w:bCs w:val="0"/>
                <w:color w:val="000000"/>
                <w:kern w:val="0"/>
                <w:sz w:val="24"/>
                <w:szCs w:val="24"/>
                <w:lang w:val="en-US" w:eastAsia="zh-CN" w:bidi="ar"/>
              </w:rPr>
              <w:t>则原料清洗废水量约</w:t>
            </w:r>
            <w:r>
              <w:rPr>
                <w:rFonts w:hint="eastAsia" w:cs="Times New Roman"/>
                <w:b w:val="0"/>
                <w:bCs w:val="0"/>
                <w:color w:val="auto"/>
                <w:sz w:val="24"/>
                <w:szCs w:val="24"/>
                <w:lang w:val="en-US" w:eastAsia="zh-CN"/>
              </w:rPr>
              <w:t>246.67</w:t>
            </w:r>
            <w:r>
              <w:rPr>
                <w:rFonts w:hint="default"/>
                <w:b w:val="0"/>
                <w:bCs w:val="0"/>
                <w:color w:val="auto"/>
                <w:sz w:val="24"/>
                <w:szCs w:val="24"/>
                <w:lang w:eastAsia="zh-CN"/>
              </w:rPr>
              <w:t>m</w:t>
            </w:r>
            <w:r>
              <w:rPr>
                <w:rFonts w:hint="default"/>
                <w:b w:val="0"/>
                <w:bCs w:val="0"/>
                <w:color w:val="auto"/>
                <w:sz w:val="24"/>
                <w:szCs w:val="24"/>
                <w:vertAlign w:val="superscript"/>
                <w:lang w:eastAsia="zh-CN"/>
              </w:rPr>
              <w:t>3</w:t>
            </w:r>
            <w:r>
              <w:rPr>
                <w:rFonts w:hint="default"/>
                <w:b w:val="0"/>
                <w:bCs w:val="0"/>
                <w:color w:val="auto"/>
                <w:sz w:val="24"/>
                <w:szCs w:val="24"/>
                <w:lang w:eastAsia="zh-CN"/>
              </w:rPr>
              <w:t>/</w:t>
            </w:r>
            <w:r>
              <w:rPr>
                <w:rFonts w:hint="eastAsia"/>
                <w:b w:val="0"/>
                <w:bCs w:val="0"/>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74000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r>
              <w:rPr>
                <w:rFonts w:hint="eastAsia" w:ascii="宋体" w:hAnsi="宋体" w:eastAsia="宋体" w:cs="宋体"/>
                <w:b w:val="0"/>
                <w:bCs w:val="0"/>
                <w:color w:val="000000"/>
                <w:kern w:val="0"/>
                <w:sz w:val="24"/>
                <w:szCs w:val="24"/>
                <w:lang w:val="en-US" w:eastAsia="zh-CN" w:bidi="ar"/>
              </w:rPr>
              <w:t>。</w:t>
            </w:r>
          </w:p>
          <w:p w14:paraId="7877D1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szCs w:val="24"/>
                <w:lang w:val="en-US" w:eastAsia="zh-CN"/>
              </w:rPr>
            </w:pPr>
            <w:r>
              <w:rPr>
                <w:rFonts w:hint="eastAsia"/>
                <w:color w:val="auto"/>
                <w:sz w:val="24"/>
                <w:szCs w:val="24"/>
                <w:highlight w:val="none"/>
              </w:rPr>
              <w:t>③</w:t>
            </w:r>
            <w:r>
              <w:rPr>
                <w:rFonts w:hint="eastAsia"/>
                <w:color w:val="auto"/>
                <w:sz w:val="24"/>
                <w:szCs w:val="24"/>
                <w:highlight w:val="none"/>
                <w:lang w:val="en-US" w:eastAsia="zh-CN"/>
              </w:rPr>
              <w:t>食品制作废水（</w:t>
            </w:r>
            <w:r>
              <w:rPr>
                <w:rFonts w:hint="eastAsia" w:cs="Times New Roman"/>
                <w:b w:val="0"/>
                <w:bCs w:val="0"/>
                <w:color w:val="auto"/>
                <w:sz w:val="24"/>
                <w:szCs w:val="24"/>
                <w:lang w:val="en-US" w:eastAsia="zh-CN"/>
              </w:rPr>
              <w:t>焯水废水</w:t>
            </w:r>
            <w:r>
              <w:rPr>
                <w:rFonts w:hint="eastAsia"/>
                <w:color w:val="auto"/>
                <w:sz w:val="24"/>
                <w:szCs w:val="24"/>
                <w:highlight w:val="none"/>
                <w:lang w:val="en-US" w:eastAsia="zh-CN"/>
              </w:rPr>
              <w:t>）</w:t>
            </w:r>
            <w:r>
              <w:rPr>
                <w:rFonts w:hint="eastAsia" w:ascii="Times New Roman" w:hAnsi="Times New Roman" w:eastAsia="宋体" w:cs="Times New Roman"/>
                <w:b w:val="0"/>
                <w:bCs w:val="0"/>
                <w:color w:val="auto"/>
                <w:sz w:val="24"/>
                <w:szCs w:val="24"/>
                <w:lang w:val="en-US" w:eastAsia="zh-CN"/>
              </w:rPr>
              <w:t xml:space="preserve"> </w:t>
            </w:r>
          </w:p>
          <w:p w14:paraId="50547F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b/>
                <w:bCs/>
                <w:color w:val="auto"/>
                <w:sz w:val="24"/>
                <w:highlight w:val="none"/>
                <w:lang w:val="en-US" w:eastAsia="zh-CN"/>
              </w:rPr>
            </w:pPr>
            <w:r>
              <w:rPr>
                <w:rFonts w:hint="eastAsia" w:ascii="Times New Roman" w:hAnsi="Times New Roman" w:eastAsia="宋体" w:cs="Times New Roman"/>
                <w:b w:val="0"/>
                <w:bCs w:val="0"/>
                <w:color w:val="auto"/>
                <w:sz w:val="24"/>
                <w:szCs w:val="24"/>
                <w:lang w:val="en-US" w:eastAsia="zh-CN"/>
              </w:rPr>
              <w:t>本项目食品制作用水主要包括米饭蒸煮以及果蔬肉类烹饪过程中</w:t>
            </w:r>
            <w:r>
              <w:rPr>
                <w:rFonts w:hint="eastAsia" w:cs="Times New Roman"/>
                <w:b w:val="0"/>
                <w:bCs w:val="0"/>
                <w:color w:val="auto"/>
                <w:sz w:val="24"/>
                <w:szCs w:val="24"/>
                <w:lang w:val="en-US" w:eastAsia="zh-CN"/>
              </w:rPr>
              <w:t>用的纯</w:t>
            </w:r>
            <w:r>
              <w:rPr>
                <w:rFonts w:hint="eastAsia" w:ascii="Times New Roman" w:hAnsi="Times New Roman" w:eastAsia="宋体" w:cs="Times New Roman"/>
                <w:b w:val="0"/>
                <w:bCs w:val="0"/>
                <w:color w:val="auto"/>
                <w:sz w:val="24"/>
                <w:szCs w:val="24"/>
                <w:lang w:val="en-US" w:eastAsia="zh-CN"/>
              </w:rPr>
              <w:t>水。根据建设单位提供资料，米饭的米：水比例约为</w:t>
            </w:r>
            <w:r>
              <w:rPr>
                <w:rFonts w:hint="default" w:ascii="Times New Roman" w:hAnsi="Times New Roman" w:eastAsia="宋体" w:cs="Times New Roman"/>
                <w:b w:val="0"/>
                <w:bCs w:val="0"/>
                <w:color w:val="auto"/>
                <w:sz w:val="24"/>
                <w:szCs w:val="24"/>
                <w:lang w:val="en-US" w:eastAsia="zh-CN"/>
              </w:rPr>
              <w:t>1:1.3</w:t>
            </w:r>
            <w:r>
              <w:rPr>
                <w:rFonts w:hint="eastAsia" w:ascii="Times New Roman" w:hAnsi="Times New Roman" w:eastAsia="宋体" w:cs="Times New Roman"/>
                <w:b w:val="0"/>
                <w:bCs w:val="0"/>
                <w:color w:val="auto"/>
                <w:sz w:val="24"/>
                <w:szCs w:val="24"/>
                <w:lang w:val="en-US" w:eastAsia="zh-CN"/>
              </w:rPr>
              <w:t>，果蔬肉类烹饪过程中用水量按照</w:t>
            </w:r>
            <w:r>
              <w:rPr>
                <w:rFonts w:hint="default" w:ascii="Times New Roman" w:hAnsi="Times New Roman" w:eastAsia="宋体" w:cs="Times New Roman"/>
                <w:b w:val="0"/>
                <w:bCs w:val="0"/>
                <w:color w:val="auto"/>
                <w:sz w:val="24"/>
                <w:szCs w:val="24"/>
                <w:lang w:val="en-US" w:eastAsia="zh-CN"/>
              </w:rPr>
              <w:t>1.2m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/t</w:t>
            </w:r>
            <w:r>
              <w:rPr>
                <w:rFonts w:hint="eastAsia" w:ascii="Times New Roman" w:hAnsi="Times New Roman" w:eastAsia="宋体" w:cs="Times New Roman"/>
                <w:b w:val="0"/>
                <w:bCs w:val="0"/>
                <w:color w:val="auto"/>
                <w:sz w:val="24"/>
                <w:szCs w:val="24"/>
                <w:lang w:val="en-US" w:eastAsia="zh-CN"/>
              </w:rPr>
              <w:t>（其中焯水用量</w:t>
            </w:r>
            <w:r>
              <w:rPr>
                <w:rFonts w:hint="default" w:ascii="Times New Roman" w:hAnsi="Times New Roman" w:eastAsia="宋体" w:cs="Times New Roman"/>
                <w:b w:val="0"/>
                <w:bCs w:val="0"/>
                <w:color w:val="auto"/>
                <w:sz w:val="24"/>
                <w:szCs w:val="24"/>
                <w:lang w:val="en-US" w:eastAsia="zh-CN"/>
              </w:rPr>
              <w:t>0.2m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/t</w:t>
            </w:r>
            <w:r>
              <w:rPr>
                <w:rFonts w:hint="eastAsia" w:ascii="Times New Roman" w:hAnsi="Times New Roman" w:eastAsia="宋体" w:cs="Times New Roman"/>
                <w:b w:val="0"/>
                <w:bCs w:val="0"/>
                <w:color w:val="auto"/>
                <w:sz w:val="24"/>
                <w:szCs w:val="24"/>
                <w:lang w:val="en-US" w:eastAsia="zh-CN"/>
              </w:rPr>
              <w:t>）计算，本项目大米用量5</w:t>
            </w:r>
            <w:r>
              <w:rPr>
                <w:rFonts w:hint="default" w:ascii="Times New Roman" w:hAnsi="Times New Roman" w:eastAsia="宋体" w:cs="Times New Roman"/>
                <w:b w:val="0"/>
                <w:bCs w:val="0"/>
                <w:color w:val="auto"/>
                <w:sz w:val="24"/>
                <w:szCs w:val="24"/>
                <w:lang w:val="en-US" w:eastAsia="zh-CN"/>
              </w:rPr>
              <w:t>000t/a</w:t>
            </w:r>
            <w:r>
              <w:rPr>
                <w:rFonts w:hint="eastAsia" w:ascii="Times New Roman" w:hAnsi="Times New Roman" w:eastAsia="宋体" w:cs="Times New Roman"/>
                <w:b w:val="0"/>
                <w:bCs w:val="0"/>
                <w:color w:val="auto"/>
                <w:sz w:val="24"/>
                <w:szCs w:val="24"/>
                <w:lang w:val="en-US" w:eastAsia="zh-CN"/>
              </w:rPr>
              <w:t>，需要烹饪的果蔬肉类用量5</w:t>
            </w:r>
            <w:r>
              <w:rPr>
                <w:rFonts w:hint="eastAsia" w:cs="Times New Roman"/>
                <w:b w:val="0"/>
                <w:bCs w:val="0"/>
                <w:color w:val="auto"/>
                <w:sz w:val="24"/>
                <w:szCs w:val="24"/>
                <w:lang w:val="en-US" w:eastAsia="zh-CN"/>
              </w:rPr>
              <w:t>4800</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，则本项目食品制作用水量约</w:t>
            </w:r>
            <w:r>
              <w:rPr>
                <w:rFonts w:hint="eastAsia"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40.87</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w:t>
            </w:r>
            <w:r>
              <w:rPr>
                <w:rFonts w:hint="eastAsia"/>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（7</w:t>
            </w:r>
            <w:r>
              <w:rPr>
                <w:rFonts w:hint="eastAsia" w:cs="Times New Roman"/>
                <w:b w:val="0"/>
                <w:bCs w:val="0"/>
                <w:color w:val="auto"/>
                <w:sz w:val="24"/>
                <w:szCs w:val="24"/>
                <w:lang w:val="en-US" w:eastAsia="zh-CN"/>
              </w:rPr>
              <w:t>2260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），其中米饭蒸煮过程约</w:t>
            </w:r>
            <w:r>
              <w:rPr>
                <w:rFonts w:hint="default" w:ascii="Times New Roman" w:hAnsi="Times New Roman" w:eastAsia="宋体" w:cs="Times New Roman"/>
                <w:b w:val="0"/>
                <w:bCs w:val="0"/>
                <w:color w:val="auto"/>
                <w:sz w:val="24"/>
                <w:szCs w:val="24"/>
                <w:lang w:val="en-US" w:eastAsia="zh-CN"/>
              </w:rPr>
              <w:t>80%</w:t>
            </w:r>
            <w:r>
              <w:rPr>
                <w:rFonts w:hint="eastAsia" w:ascii="Times New Roman" w:hAnsi="Times New Roman" w:eastAsia="宋体" w:cs="Times New Roman"/>
                <w:b w:val="0"/>
                <w:bCs w:val="0"/>
                <w:color w:val="auto"/>
                <w:sz w:val="24"/>
                <w:szCs w:val="24"/>
                <w:lang w:val="en-US" w:eastAsia="zh-CN"/>
              </w:rPr>
              <w:t>蒸发损耗，损耗量约17.33</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w:t>
            </w:r>
            <w:r>
              <w:rPr>
                <w:rFonts w:hint="eastAsia"/>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（5200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），其余均进入产品；果蔬肉类烹饪过程焯水废水产生量按用水量的</w:t>
            </w:r>
            <w:r>
              <w:rPr>
                <w:rFonts w:hint="default" w:ascii="Times New Roman" w:hAnsi="Times New Roman" w:eastAsia="宋体" w:cs="Times New Roman"/>
                <w:b w:val="0"/>
                <w:bCs w:val="0"/>
                <w:color w:val="auto"/>
                <w:sz w:val="24"/>
                <w:szCs w:val="24"/>
                <w:lang w:val="en-US" w:eastAsia="zh-CN"/>
              </w:rPr>
              <w:t>0.5</w:t>
            </w:r>
            <w:r>
              <w:rPr>
                <w:rFonts w:hint="eastAsia" w:ascii="Times New Roman" w:hAnsi="Times New Roman" w:eastAsia="宋体" w:cs="Times New Roman"/>
                <w:b w:val="0"/>
                <w:bCs w:val="0"/>
                <w:color w:val="auto"/>
                <w:sz w:val="24"/>
                <w:szCs w:val="24"/>
                <w:lang w:val="en-US" w:eastAsia="zh-CN"/>
              </w:rPr>
              <w:t>计，则焯水废水量约</w:t>
            </w:r>
            <w:r>
              <w:rPr>
                <w:rFonts w:hint="eastAsia" w:cs="Times New Roman"/>
                <w:color w:val="auto"/>
                <w:sz w:val="24"/>
                <w:szCs w:val="24"/>
                <w:lang w:val="en-US" w:eastAsia="zh-CN"/>
              </w:rPr>
              <w:t>18.27</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w:t>
            </w:r>
            <w:r>
              <w:rPr>
                <w:rFonts w:hint="eastAsia"/>
                <w:color w:val="auto"/>
                <w:sz w:val="24"/>
                <w:szCs w:val="24"/>
                <w:lang w:val="en-US" w:eastAsia="zh-CN"/>
              </w:rPr>
              <w:t>d</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5</w:t>
            </w:r>
            <w:r>
              <w:rPr>
                <w:rFonts w:hint="eastAsia" w:cs="Times New Roman"/>
                <w:b w:val="0"/>
                <w:bCs w:val="0"/>
                <w:color w:val="auto"/>
                <w:sz w:val="24"/>
                <w:szCs w:val="24"/>
                <w:lang w:val="en-US" w:eastAsia="zh-CN"/>
              </w:rPr>
              <w:t>480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，其余烹饪用水</w:t>
            </w:r>
            <w:r>
              <w:rPr>
                <w:rFonts w:hint="default" w:ascii="Times New Roman" w:hAnsi="Times New Roman" w:eastAsia="宋体" w:cs="Times New Roman"/>
                <w:b w:val="0"/>
                <w:bCs w:val="0"/>
                <w:color w:val="auto"/>
                <w:sz w:val="24"/>
                <w:szCs w:val="24"/>
                <w:lang w:val="en-US" w:eastAsia="zh-CN"/>
              </w:rPr>
              <w:t>80%</w:t>
            </w:r>
            <w:r>
              <w:rPr>
                <w:rFonts w:hint="eastAsia" w:ascii="Times New Roman" w:hAnsi="Times New Roman" w:eastAsia="宋体" w:cs="Times New Roman"/>
                <w:b w:val="0"/>
                <w:bCs w:val="0"/>
                <w:color w:val="auto"/>
                <w:sz w:val="24"/>
                <w:szCs w:val="24"/>
                <w:lang w:val="en-US" w:eastAsia="zh-CN"/>
              </w:rPr>
              <w:t>蒸发损耗，损耗量约</w:t>
            </w:r>
            <w:r>
              <w:rPr>
                <w:rFonts w:hint="eastAsia" w:cs="Times New Roman"/>
                <w:color w:val="auto"/>
                <w:sz w:val="24"/>
                <w:szCs w:val="24"/>
                <w:lang w:val="en-US" w:eastAsia="zh-CN"/>
              </w:rPr>
              <w:t>146.13</w:t>
            </w:r>
            <w:r>
              <w:rPr>
                <w:rFonts w:hint="default"/>
                <w:color w:val="auto"/>
                <w:sz w:val="24"/>
                <w:szCs w:val="24"/>
                <w:lang w:eastAsia="zh-CN"/>
              </w:rPr>
              <w:t>m</w:t>
            </w:r>
            <w:r>
              <w:rPr>
                <w:rFonts w:hint="default"/>
                <w:color w:val="auto"/>
                <w:sz w:val="24"/>
                <w:szCs w:val="24"/>
                <w:vertAlign w:val="superscript"/>
                <w:lang w:eastAsia="zh-CN"/>
              </w:rPr>
              <w:t>3</w:t>
            </w:r>
            <w:r>
              <w:rPr>
                <w:rFonts w:hint="default"/>
                <w:color w:val="auto"/>
                <w:sz w:val="24"/>
                <w:szCs w:val="24"/>
                <w:lang w:eastAsia="zh-CN"/>
              </w:rPr>
              <w:t>/</w:t>
            </w:r>
            <w:r>
              <w:rPr>
                <w:rFonts w:hint="eastAsia"/>
                <w:color w:val="auto"/>
                <w:sz w:val="24"/>
                <w:szCs w:val="24"/>
                <w:lang w:val="en-US" w:eastAsia="zh-CN"/>
              </w:rPr>
              <w:t>d</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4</w:t>
            </w:r>
            <w:r>
              <w:rPr>
                <w:rFonts w:hint="eastAsia" w:cs="Times New Roman"/>
                <w:b w:val="0"/>
                <w:bCs w:val="0"/>
                <w:color w:val="auto"/>
                <w:sz w:val="24"/>
                <w:szCs w:val="24"/>
                <w:lang w:val="en-US" w:eastAsia="zh-CN"/>
              </w:rPr>
              <w:t>3840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，其余均进入产品。</w:t>
            </w:r>
          </w:p>
          <w:p w14:paraId="355E85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szCs w:val="24"/>
                <w:lang w:val="en-US" w:eastAsia="zh-CN"/>
              </w:rPr>
            </w:pPr>
            <w:r>
              <w:rPr>
                <w:rFonts w:hint="eastAsia"/>
                <w:color w:val="auto"/>
                <w:sz w:val="24"/>
                <w:szCs w:val="24"/>
                <w:highlight w:val="none"/>
              </w:rPr>
              <w:t>④</w:t>
            </w:r>
            <w:r>
              <w:rPr>
                <w:rFonts w:hint="eastAsia" w:ascii="Times New Roman" w:hAnsi="Times New Roman" w:eastAsia="宋体" w:cs="Times New Roman"/>
                <w:b w:val="0"/>
                <w:bCs w:val="0"/>
                <w:color w:val="auto"/>
                <w:sz w:val="24"/>
                <w:szCs w:val="24"/>
                <w:lang w:val="en-US" w:eastAsia="zh-CN"/>
              </w:rPr>
              <w:t>设备清洗</w:t>
            </w:r>
            <w:r>
              <w:rPr>
                <w:rFonts w:hint="eastAsia" w:cs="Times New Roman"/>
                <w:b w:val="0"/>
                <w:bCs w:val="0"/>
                <w:color w:val="auto"/>
                <w:sz w:val="24"/>
                <w:szCs w:val="24"/>
                <w:lang w:val="en-US" w:eastAsia="zh-CN"/>
              </w:rPr>
              <w:t>废</w:t>
            </w:r>
            <w:r>
              <w:rPr>
                <w:rFonts w:hint="eastAsia" w:ascii="Times New Roman" w:hAnsi="Times New Roman" w:eastAsia="宋体" w:cs="Times New Roman"/>
                <w:b w:val="0"/>
                <w:bCs w:val="0"/>
                <w:color w:val="auto"/>
                <w:sz w:val="24"/>
                <w:szCs w:val="24"/>
                <w:lang w:val="en-US" w:eastAsia="zh-CN"/>
              </w:rPr>
              <w:t xml:space="preserve">水 </w:t>
            </w:r>
          </w:p>
          <w:p w14:paraId="59BDFE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bCs/>
                <w:color w:val="auto"/>
                <w:sz w:val="24"/>
                <w:lang w:val="en-US" w:eastAsia="zh-CN"/>
              </w:rPr>
            </w:pPr>
            <w:r>
              <w:rPr>
                <w:rFonts w:hint="eastAsia" w:ascii="Times New Roman" w:hAnsi="Times New Roman" w:eastAsia="宋体" w:cs="Times New Roman"/>
                <w:b w:val="0"/>
                <w:bCs w:val="0"/>
                <w:color w:val="auto"/>
                <w:sz w:val="24"/>
                <w:szCs w:val="24"/>
                <w:lang w:val="en-US" w:eastAsia="zh-CN"/>
              </w:rPr>
              <w:t>本项目生产设备</w:t>
            </w:r>
            <w:r>
              <w:rPr>
                <w:rFonts w:hint="eastAsia" w:cs="Times New Roman"/>
                <w:b w:val="0"/>
                <w:bCs w:val="0"/>
                <w:color w:val="auto"/>
                <w:sz w:val="24"/>
                <w:szCs w:val="24"/>
                <w:lang w:val="en-US" w:eastAsia="zh-CN"/>
              </w:rPr>
              <w:t>如炒锅、切菜机、切肉机、刀具、餐具等</w:t>
            </w:r>
            <w:r>
              <w:rPr>
                <w:rFonts w:hint="eastAsia" w:ascii="Times New Roman" w:hAnsi="Times New Roman" w:eastAsia="宋体" w:cs="Times New Roman"/>
                <w:b w:val="0"/>
                <w:bCs w:val="0"/>
                <w:color w:val="auto"/>
                <w:sz w:val="24"/>
                <w:szCs w:val="24"/>
                <w:lang w:val="en-US" w:eastAsia="zh-CN"/>
              </w:rPr>
              <w:t>需要清洗，根据建设单位提供资料，设备清洗用水量约</w:t>
            </w:r>
            <w:r>
              <w:rPr>
                <w:rFonts w:hint="default" w:ascii="Times New Roman" w:hAnsi="Times New Roman" w:eastAsia="宋体" w:cs="Times New Roman"/>
                <w:b w:val="0"/>
                <w:bCs w:val="0"/>
                <w:color w:val="auto"/>
                <w:sz w:val="24"/>
                <w:szCs w:val="24"/>
                <w:lang w:val="en-US" w:eastAsia="zh-CN"/>
              </w:rPr>
              <w:t>40m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12000m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），废水产生量按用水量的</w:t>
            </w:r>
            <w:r>
              <w:rPr>
                <w:rFonts w:hint="default" w:ascii="Times New Roman" w:hAnsi="Times New Roman" w:eastAsia="宋体" w:cs="Times New Roman"/>
                <w:b w:val="0"/>
                <w:bCs w:val="0"/>
                <w:color w:val="auto"/>
                <w:sz w:val="24"/>
                <w:szCs w:val="24"/>
                <w:lang w:val="en-US" w:eastAsia="zh-CN"/>
              </w:rPr>
              <w:t>0.8</w:t>
            </w:r>
            <w:r>
              <w:rPr>
                <w:rFonts w:hint="eastAsia" w:ascii="Times New Roman" w:hAnsi="Times New Roman" w:eastAsia="宋体" w:cs="Times New Roman"/>
                <w:b w:val="0"/>
                <w:bCs w:val="0"/>
                <w:color w:val="auto"/>
                <w:sz w:val="24"/>
                <w:szCs w:val="24"/>
                <w:lang w:val="en-US" w:eastAsia="zh-CN"/>
              </w:rPr>
              <w:t>计，则设备清洗废水量约32</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r>
              <w:rPr>
                <w:rFonts w:hint="eastAsia" w:ascii="Times New Roman" w:hAnsi="Times New Roman" w:eastAsia="宋体" w:cs="Times New Roman"/>
                <w:b w:val="0"/>
                <w:bCs w:val="0"/>
                <w:color w:val="auto"/>
                <w:sz w:val="24"/>
                <w:szCs w:val="24"/>
                <w:lang w:val="en-US" w:eastAsia="zh-CN"/>
              </w:rPr>
              <w:t>（96</w:t>
            </w:r>
            <w:r>
              <w:rPr>
                <w:rFonts w:hint="default" w:ascii="Times New Roman" w:hAnsi="Times New Roman" w:eastAsia="宋体" w:cs="Times New Roman"/>
                <w:b w:val="0"/>
                <w:bCs w:val="0"/>
                <w:color w:val="auto"/>
                <w:sz w:val="24"/>
                <w:szCs w:val="24"/>
                <w:lang w:val="en-US" w:eastAsia="zh-CN"/>
              </w:rPr>
              <w:t>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p>
          <w:p w14:paraId="5B625FF5">
            <w:pPr>
              <w:pStyle w:val="10"/>
              <w:bidi w:val="0"/>
              <w:rPr>
                <w:rFonts w:hint="eastAsia"/>
                <w:b w:val="0"/>
                <w:bCs w:val="0"/>
                <w:color w:val="auto"/>
                <w:sz w:val="24"/>
                <w:highlight w:val="none"/>
                <w:lang w:val="en-US" w:eastAsia="zh-CN"/>
              </w:rPr>
            </w:pPr>
            <w:r>
              <w:rPr>
                <w:rFonts w:hint="eastAsia"/>
                <w:color w:val="auto"/>
                <w:sz w:val="24"/>
                <w:szCs w:val="24"/>
                <w:highlight w:val="none"/>
              </w:rPr>
              <w:t>⑤</w:t>
            </w:r>
            <w:r>
              <w:rPr>
                <w:rFonts w:hint="eastAsia"/>
                <w:b w:val="0"/>
                <w:bCs w:val="0"/>
                <w:color w:val="auto"/>
                <w:sz w:val="24"/>
                <w:szCs w:val="24"/>
                <w:highlight w:val="none"/>
                <w:lang w:val="en-US" w:eastAsia="zh-CN"/>
              </w:rPr>
              <w:t>地</w:t>
            </w:r>
            <w:r>
              <w:rPr>
                <w:rFonts w:hint="eastAsia"/>
                <w:b w:val="0"/>
                <w:bCs w:val="0"/>
                <w:color w:val="auto"/>
                <w:sz w:val="24"/>
                <w:highlight w:val="none"/>
                <w:lang w:val="en-US" w:eastAsia="zh-CN"/>
              </w:rPr>
              <w:t>面清洗废水</w:t>
            </w:r>
          </w:p>
          <w:p w14:paraId="3B507D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sz w:val="24"/>
                <w:lang w:val="en-US" w:eastAsia="zh-CN"/>
              </w:rPr>
            </w:pPr>
            <w:r>
              <w:rPr>
                <w:rFonts w:hint="eastAsia"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lang w:val="en-US" w:eastAsia="zh-CN"/>
              </w:rPr>
              <w:t>项目</w:t>
            </w:r>
            <w:r>
              <w:rPr>
                <w:rFonts w:hint="eastAsia" w:cs="Times New Roman"/>
                <w:b w:val="0"/>
                <w:bCs w:val="0"/>
                <w:color w:val="auto"/>
                <w:sz w:val="24"/>
                <w:szCs w:val="24"/>
                <w:highlight w:val="none"/>
                <w:lang w:val="en-US" w:eastAsia="zh-CN"/>
              </w:rPr>
              <w:t>生产车间需要每日清洗，需要清洗的</w:t>
            </w:r>
            <w:r>
              <w:rPr>
                <w:rFonts w:hint="default" w:ascii="Times New Roman" w:hAnsi="Times New Roman" w:eastAsia="宋体" w:cs="Times New Roman"/>
                <w:b w:val="0"/>
                <w:bCs w:val="0"/>
                <w:color w:val="auto"/>
                <w:sz w:val="24"/>
                <w:szCs w:val="24"/>
                <w:highlight w:val="none"/>
                <w:lang w:val="en-US" w:eastAsia="zh-CN"/>
              </w:rPr>
              <w:t>面积约</w:t>
            </w:r>
            <w:r>
              <w:rPr>
                <w:rFonts w:hint="eastAsia" w:cs="Times New Roman"/>
                <w:b w:val="0"/>
                <w:bCs w:val="0"/>
                <w:color w:val="auto"/>
                <w:sz w:val="24"/>
                <w:szCs w:val="24"/>
                <w:highlight w:val="none"/>
                <w:lang w:val="en-US" w:eastAsia="zh-CN"/>
              </w:rPr>
              <w:t>为41725</w:t>
            </w:r>
            <w:r>
              <w:rPr>
                <w:rFonts w:hint="default"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。设计采取拖洗的方式，地面清洗水用量按照每次</w:t>
            </w:r>
            <w:r>
              <w:rPr>
                <w:rFonts w:hint="eastAsia" w:cs="Times New Roman"/>
                <w:b w:val="0"/>
                <w:bCs w:val="0"/>
                <w:color w:val="auto"/>
                <w:sz w:val="24"/>
                <w:szCs w:val="24"/>
                <w:highlight w:val="none"/>
                <w:lang w:val="en-US" w:eastAsia="zh-CN"/>
              </w:rPr>
              <w:t>1.5</w:t>
            </w:r>
            <w:r>
              <w:rPr>
                <w:rFonts w:hint="default" w:ascii="Times New Roman" w:hAnsi="Times New Roman" w:eastAsia="宋体" w:cs="Times New Roman"/>
                <w:b w:val="0"/>
                <w:bCs w:val="0"/>
                <w:color w:val="auto"/>
                <w:sz w:val="24"/>
                <w:szCs w:val="24"/>
                <w:highlight w:val="none"/>
                <w:lang w:val="en-US" w:eastAsia="zh-CN"/>
              </w:rPr>
              <w:t>L/m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计算，</w:t>
            </w:r>
            <w:r>
              <w:rPr>
                <w:rFonts w:hint="eastAsia" w:cs="Times New Roman"/>
                <w:b w:val="0"/>
                <w:bCs w:val="0"/>
                <w:color w:val="auto"/>
                <w:sz w:val="24"/>
                <w:szCs w:val="24"/>
                <w:highlight w:val="none"/>
                <w:lang w:val="en-US" w:eastAsia="zh-CN"/>
              </w:rPr>
              <w:t>则</w:t>
            </w:r>
            <w:r>
              <w:rPr>
                <w:rFonts w:hint="eastAsia" w:ascii="Times New Roman" w:hAnsi="Times New Roman" w:cs="Times New Roman"/>
                <w:b w:val="0"/>
                <w:bCs w:val="0"/>
                <w:color w:val="auto"/>
                <w:sz w:val="24"/>
                <w:szCs w:val="24"/>
                <w:highlight w:val="none"/>
                <w:lang w:val="en-US" w:eastAsia="zh-CN"/>
              </w:rPr>
              <w:t>地面清洗</w:t>
            </w:r>
            <w:r>
              <w:rPr>
                <w:rFonts w:hint="default" w:ascii="Times New Roman" w:hAnsi="Times New Roman" w:eastAsia="宋体" w:cs="Times New Roman"/>
                <w:b w:val="0"/>
                <w:bCs w:val="0"/>
                <w:color w:val="auto"/>
                <w:sz w:val="24"/>
                <w:szCs w:val="24"/>
                <w:highlight w:val="none"/>
                <w:lang w:val="en-US" w:eastAsia="zh-CN"/>
              </w:rPr>
              <w:t>用水量</w:t>
            </w:r>
            <w:r>
              <w:rPr>
                <w:rFonts w:hint="default" w:ascii="Times New Roman" w:hAnsi="Times New Roman" w:cs="Times New Roman"/>
                <w:b w:val="0"/>
                <w:bCs w:val="0"/>
                <w:color w:val="auto"/>
                <w:sz w:val="24"/>
                <w:szCs w:val="24"/>
                <w:highlight w:val="none"/>
              </w:rPr>
              <w:t>为</w:t>
            </w:r>
            <w:r>
              <w:rPr>
                <w:rFonts w:hint="eastAsia" w:cs="Times New Roman"/>
                <w:b w:val="0"/>
                <w:bCs w:val="0"/>
                <w:color w:val="auto"/>
                <w:sz w:val="24"/>
                <w:szCs w:val="24"/>
                <w:highlight w:val="none"/>
                <w:lang w:val="en-US" w:eastAsia="zh-CN"/>
              </w:rPr>
              <w:t>62.59</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default" w:ascii="Times New Roman" w:hAnsi="Times New Roman"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8776.25</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/a）</w:t>
            </w:r>
            <w:r>
              <w:rPr>
                <w:rFonts w:hint="default"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产</w:t>
            </w:r>
            <w:r>
              <w:rPr>
                <w:rFonts w:hint="eastAsia" w:ascii="Times New Roman" w:hAnsi="Times New Roman" w:cs="Times New Roman"/>
                <w:color w:val="auto"/>
                <w:sz w:val="24"/>
                <w:szCs w:val="24"/>
                <w:highlight w:val="none"/>
                <w:lang w:val="en-US" w:eastAsia="zh-CN"/>
              </w:rPr>
              <w:t>污</w:t>
            </w:r>
            <w:r>
              <w:rPr>
                <w:rFonts w:hint="default" w:ascii="Times New Roman" w:hAnsi="Times New Roman" w:eastAsia="宋体" w:cs="Times New Roman"/>
                <w:color w:val="auto"/>
                <w:sz w:val="24"/>
                <w:szCs w:val="24"/>
                <w:highlight w:val="none"/>
              </w:rPr>
              <w:t>系数</w:t>
            </w:r>
            <w:r>
              <w:rPr>
                <w:rFonts w:hint="eastAsia" w:ascii="Times New Roman" w:hAnsi="Times New Roman" w:cs="Times New Roman"/>
                <w:b w:val="0"/>
                <w:bCs w:val="0"/>
                <w:color w:val="auto"/>
                <w:sz w:val="24"/>
                <w:szCs w:val="24"/>
                <w:highlight w:val="none"/>
                <w:lang w:val="en-US" w:eastAsia="zh-CN"/>
              </w:rPr>
              <w:t>取0.</w:t>
            </w:r>
            <w:r>
              <w:rPr>
                <w:rFonts w:hint="eastAsia"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地面清洗废水量</w:t>
            </w:r>
            <w:r>
              <w:rPr>
                <w:rFonts w:hint="default" w:ascii="Times New Roman" w:hAnsi="Times New Roman" w:cs="Times New Roman"/>
                <w:b w:val="0"/>
                <w:bCs w:val="0"/>
                <w:color w:val="auto"/>
                <w:sz w:val="24"/>
                <w:szCs w:val="24"/>
                <w:highlight w:val="none"/>
              </w:rPr>
              <w:t>为</w:t>
            </w:r>
            <w:r>
              <w:rPr>
                <w:rFonts w:hint="eastAsia" w:cs="Times New Roman"/>
                <w:b w:val="0"/>
                <w:bCs w:val="0"/>
                <w:color w:val="auto"/>
                <w:sz w:val="24"/>
                <w:szCs w:val="24"/>
                <w:highlight w:val="none"/>
                <w:lang w:val="en-US" w:eastAsia="zh-CN"/>
              </w:rPr>
              <w:t>50.07</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eastAsia" w:cs="Times New Roman"/>
                <w:b w:val="0"/>
                <w:bCs w:val="0"/>
                <w:color w:val="auto"/>
                <w:sz w:val="24"/>
                <w:szCs w:val="24"/>
                <w:highlight w:val="none"/>
                <w:lang w:val="en-US" w:eastAsia="zh-CN"/>
              </w:rPr>
              <w:t>15021</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/a）</w:t>
            </w:r>
            <w:r>
              <w:rPr>
                <w:rFonts w:hint="default" w:ascii="Times New Roman" w:hAnsi="Times New Roman" w:eastAsia="宋体" w:cs="Times New Roman"/>
                <w:b w:val="0"/>
                <w:bCs w:val="0"/>
                <w:color w:val="auto"/>
                <w:sz w:val="24"/>
                <w:szCs w:val="24"/>
                <w:highlight w:val="none"/>
                <w:lang w:val="en-US" w:eastAsia="zh-CN"/>
              </w:rPr>
              <w:t>。</w:t>
            </w:r>
          </w:p>
          <w:p w14:paraId="764F48FA">
            <w:pPr>
              <w:pStyle w:val="10"/>
              <w:bidi w:val="0"/>
              <w:rPr>
                <w:rFonts w:hint="eastAsia" w:ascii="Times New Roman" w:hAnsi="Times New Roman" w:eastAsia="宋体" w:cs="Times New Roman"/>
                <w:b w:val="0"/>
                <w:bCs w:val="0"/>
                <w:color w:val="auto"/>
                <w:sz w:val="24"/>
                <w:szCs w:val="24"/>
                <w:highlight w:val="none"/>
                <w:lang w:val="en-US" w:eastAsia="zh-CN"/>
              </w:rPr>
            </w:pPr>
            <w:r>
              <w:rPr>
                <w:rFonts w:hint="eastAsia"/>
                <w:color w:val="auto"/>
                <w:sz w:val="24"/>
                <w:szCs w:val="24"/>
                <w:highlight w:val="none"/>
              </w:rPr>
              <w:t>⑥</w:t>
            </w:r>
            <w:r>
              <w:rPr>
                <w:rFonts w:hint="eastAsia" w:cs="Times New Roman"/>
                <w:b w:val="0"/>
                <w:bCs w:val="0"/>
                <w:color w:val="auto"/>
                <w:sz w:val="24"/>
                <w:szCs w:val="24"/>
                <w:highlight w:val="none"/>
                <w:lang w:val="en-US" w:eastAsia="zh-CN"/>
              </w:rPr>
              <w:t>锅炉废水</w:t>
            </w:r>
            <w:r>
              <w:rPr>
                <w:rFonts w:hint="eastAsia" w:ascii="Times New Roman" w:hAnsi="Times New Roman" w:eastAsia="宋体" w:cs="Times New Roman"/>
                <w:b w:val="0"/>
                <w:bCs w:val="0"/>
                <w:color w:val="auto"/>
                <w:sz w:val="24"/>
                <w:szCs w:val="24"/>
                <w:highlight w:val="none"/>
                <w:lang w:val="en-US" w:eastAsia="zh-CN"/>
              </w:rPr>
              <w:t xml:space="preserve"> </w:t>
            </w:r>
          </w:p>
          <w:p w14:paraId="4E3B45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耗</w:t>
            </w:r>
            <w:r>
              <w:rPr>
                <w:rFonts w:hint="default" w:ascii="Times New Roman" w:hAnsi="Times New Roman" w:eastAsia="宋体" w:cs="Times New Roman"/>
                <w:color w:val="000000"/>
                <w:kern w:val="0"/>
                <w:sz w:val="24"/>
                <w:szCs w:val="24"/>
                <w:lang w:val="en-US" w:eastAsia="zh-CN" w:bidi="ar"/>
              </w:rPr>
              <w:t xml:space="preserve">水量 </w:t>
            </w:r>
          </w:p>
          <w:p w14:paraId="20006E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本项目本项目的热源主要为2台0.5t/h</w:t>
            </w:r>
            <w:r>
              <w:rPr>
                <w:rFonts w:hint="default" w:ascii="Times New Roman" w:hAnsi="Times New Roman" w:cs="Times New Roman"/>
                <w:color w:val="000000"/>
                <w:kern w:val="0"/>
                <w:sz w:val="24"/>
                <w:szCs w:val="24"/>
                <w:lang w:val="en-US" w:eastAsia="zh-CN" w:bidi="ar"/>
              </w:rPr>
              <w:t>燃气锅炉</w:t>
            </w:r>
            <w:r>
              <w:rPr>
                <w:rFonts w:hint="default" w:ascii="Times New Roman" w:hAnsi="Times New Roman" w:eastAsia="宋体" w:cs="Times New Roman"/>
                <w:color w:val="000000"/>
                <w:kern w:val="0"/>
                <w:sz w:val="24"/>
                <w:szCs w:val="24"/>
                <w:lang w:val="en-US" w:eastAsia="zh-CN" w:bidi="ar"/>
              </w:rPr>
              <w:t>，1台6t/h的</w:t>
            </w:r>
            <w:r>
              <w:rPr>
                <w:rFonts w:hint="default" w:ascii="Times New Roman" w:hAnsi="Times New Roman" w:cs="Times New Roman"/>
                <w:color w:val="000000"/>
                <w:kern w:val="0"/>
                <w:sz w:val="24"/>
                <w:szCs w:val="24"/>
                <w:lang w:val="en-US" w:eastAsia="zh-CN" w:bidi="ar"/>
              </w:rPr>
              <w:t>燃气锅炉</w:t>
            </w:r>
            <w:r>
              <w:rPr>
                <w:rFonts w:hint="default" w:ascii="Times New Roman" w:hAnsi="Times New Roman" w:eastAsia="宋体" w:cs="Times New Roman"/>
                <w:color w:val="000000"/>
                <w:kern w:val="0"/>
                <w:sz w:val="24"/>
                <w:szCs w:val="24"/>
                <w:lang w:val="en-US" w:eastAsia="zh-CN" w:bidi="ar"/>
              </w:rPr>
              <w:t>和1台4t/h</w:t>
            </w:r>
            <w:r>
              <w:rPr>
                <w:rFonts w:hint="default" w:ascii="Times New Roman" w:hAnsi="Times New Roman" w:cs="Times New Roman"/>
                <w:color w:val="000000"/>
                <w:kern w:val="0"/>
                <w:sz w:val="24"/>
                <w:szCs w:val="24"/>
                <w:lang w:val="en-US" w:eastAsia="zh-CN" w:bidi="ar"/>
              </w:rPr>
              <w:t>燃气锅炉</w:t>
            </w:r>
            <w:r>
              <w:rPr>
                <w:rFonts w:hint="default" w:ascii="Times New Roman" w:hAnsi="Times New Roman" w:eastAsia="宋体" w:cs="Times New Roman"/>
                <w:color w:val="000000"/>
                <w:kern w:val="0"/>
                <w:sz w:val="24"/>
                <w:szCs w:val="24"/>
                <w:lang w:val="en-US" w:eastAsia="zh-CN" w:bidi="ar"/>
              </w:rPr>
              <w:t xml:space="preserve">项目锅炉使用天然气为燃料，锅炉烟气无需进行喷淋脱硫，故项目无喷淋水产生。项目管道水汽损失按 3%计，项目锅炉利用后冷凝水回收率 60~70%（本项目取 65%），锅炉耗水量计算如下： </w:t>
            </w:r>
          </w:p>
          <w:p w14:paraId="56C091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eastAsia" w:ascii="Times New Roman" w:hAnsi="Times New Roman" w:cs="Times New Roman"/>
                <w:color w:val="auto"/>
                <w:sz w:val="24"/>
                <w:szCs w:val="24"/>
                <w:highlight w:val="none"/>
                <w:lang w:val="en-US" w:eastAsia="zh-CN"/>
              </w:rPr>
              <w:t>耗</w:t>
            </w:r>
            <w:r>
              <w:rPr>
                <w:rFonts w:hint="default" w:ascii="Times New Roman" w:hAnsi="Times New Roman" w:eastAsia="宋体" w:cs="Times New Roman"/>
                <w:color w:val="000000"/>
                <w:kern w:val="0"/>
                <w:sz w:val="24"/>
                <w:szCs w:val="24"/>
                <w:lang w:val="en-US" w:eastAsia="zh-CN" w:bidi="ar"/>
              </w:rPr>
              <w:t xml:space="preserve">水量=锅炉蒸发量+汽水损失量-冷凝水回收量（公式 1） </w:t>
            </w:r>
          </w:p>
          <w:p w14:paraId="5226E9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汽水损失量=锅炉排污损失+管道汽水损失（公式 2） </w:t>
            </w:r>
          </w:p>
          <w:p w14:paraId="329A6E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项目所用燃气锅炉耗水量=（0.5×2+6+4）×8+9.11+（0.5×2+6+4）×8×3%-（0.5×2+6+4）×8×65%=42.55t/d（12765t/a）</w:t>
            </w:r>
          </w:p>
          <w:p w14:paraId="2B3201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000000"/>
                <w:kern w:val="0"/>
                <w:sz w:val="24"/>
                <w:szCs w:val="24"/>
                <w:lang w:val="en-US" w:eastAsia="zh-CN" w:bidi="ar"/>
              </w:rPr>
              <w:t xml:space="preserve">排水量 </w:t>
            </w:r>
          </w:p>
          <w:p w14:paraId="0EFCB6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锅炉内外污水具体包括锅炉外污水及锅炉内污水。锅炉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 </w:t>
            </w:r>
          </w:p>
          <w:p w14:paraId="3751A8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同时锅炉运行过程中同样会产生锅炉排污水，是指通过向锅炉内投入一定数量的软水剂，使锅炉给水中的结垢物质转变成泥垢，然后通过锅炉排污将沉渣排出锅炉，从而达到减缓或防止水垢结生的目的。</w:t>
            </w:r>
          </w:p>
          <w:p w14:paraId="347330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000000"/>
                <w:kern w:val="0"/>
                <w:sz w:val="24"/>
                <w:szCs w:val="24"/>
                <w:lang w:val="en-US" w:eastAsia="zh-CN" w:bidi="ar"/>
              </w:rPr>
              <w:t>根据《排放源统计调查产排污核算方法和系数手册》（公告 2021 年第 24号）中“4430 工业锅炉（热力生产和供应行业）产污系数表-工业废水量和化学需氧量”，燃气锅炉工业废水量（锅炉排污水+软化处理废水）产污系数为 13.56吨/万立方米-原料，COD</w:t>
            </w:r>
            <w:r>
              <w:rPr>
                <w:rFonts w:hint="default" w:ascii="Times New Roman" w:hAnsi="Times New Roman" w:eastAsia="宋体" w:cs="Times New Roman"/>
                <w:color w:val="000000"/>
                <w:kern w:val="0"/>
                <w:sz w:val="24"/>
                <w:szCs w:val="24"/>
                <w:vertAlign w:val="subscript"/>
                <w:lang w:val="en-US" w:eastAsia="zh-CN" w:bidi="ar"/>
              </w:rPr>
              <w:t>Cr</w:t>
            </w:r>
            <w:r>
              <w:rPr>
                <w:rFonts w:hint="default" w:ascii="Times New Roman" w:hAnsi="Times New Roman" w:eastAsia="宋体" w:cs="Times New Roman"/>
                <w:color w:val="000000"/>
                <w:kern w:val="0"/>
                <w:sz w:val="24"/>
                <w:szCs w:val="24"/>
                <w:lang w:val="en-US" w:eastAsia="zh-CN" w:bidi="ar"/>
              </w:rPr>
              <w:t>产污系数为1080克/万立方米-原料，项目</w:t>
            </w:r>
            <w:r>
              <w:rPr>
                <w:rFonts w:hint="default" w:ascii="Times New Roman" w:hAnsi="Times New Roman" w:cs="Times New Roman"/>
                <w:b w:val="0"/>
                <w:bCs w:val="0"/>
                <w:color w:val="auto"/>
                <w:sz w:val="24"/>
                <w:szCs w:val="24"/>
                <w:highlight w:val="none"/>
                <w:lang w:val="en-US" w:eastAsia="zh-CN"/>
              </w:rPr>
              <w:t>燃气锅炉</w:t>
            </w:r>
            <w:r>
              <w:rPr>
                <w:rFonts w:hint="default" w:ascii="Times New Roman" w:hAnsi="Times New Roman" w:eastAsia="宋体" w:cs="Times New Roman"/>
                <w:b w:val="0"/>
                <w:bCs w:val="0"/>
                <w:color w:val="auto"/>
                <w:sz w:val="24"/>
                <w:szCs w:val="24"/>
                <w:highlight w:val="none"/>
                <w:lang w:val="en-US" w:eastAsia="zh-CN"/>
              </w:rPr>
              <w:t>天然气用量</w:t>
            </w:r>
            <w:r>
              <w:rPr>
                <w:rFonts w:hint="default" w:ascii="Times New Roman" w:hAnsi="Times New Roman" w:cs="Times New Roman"/>
                <w:b w:val="0"/>
                <w:bCs w:val="0"/>
                <w:color w:val="auto"/>
                <w:sz w:val="24"/>
                <w:szCs w:val="24"/>
                <w:highlight w:val="none"/>
                <w:lang w:val="en-US" w:eastAsia="zh-CN"/>
              </w:rPr>
              <w:t>201.6</w:t>
            </w:r>
            <w:r>
              <w:rPr>
                <w:rFonts w:hint="default" w:ascii="Times New Roman" w:hAnsi="Times New Roman" w:eastAsia="宋体" w:cs="Times New Roman"/>
                <w:b w:val="0"/>
                <w:bCs w:val="0"/>
                <w:color w:val="auto"/>
                <w:sz w:val="24"/>
                <w:szCs w:val="24"/>
                <w:highlight w:val="none"/>
                <w:lang w:val="en-US" w:eastAsia="zh-CN"/>
              </w:rPr>
              <w:t>万m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color w:val="000000"/>
                <w:kern w:val="0"/>
                <w:sz w:val="24"/>
                <w:szCs w:val="24"/>
                <w:lang w:val="en-US" w:eastAsia="zh-CN" w:bidi="ar"/>
              </w:rPr>
              <w:t>，则</w:t>
            </w:r>
            <w:r>
              <w:rPr>
                <w:rFonts w:hint="eastAsia" w:cs="Times New Roman"/>
                <w:color w:val="000000"/>
                <w:kern w:val="0"/>
                <w:sz w:val="24"/>
                <w:szCs w:val="24"/>
                <w:lang w:val="en-US" w:eastAsia="zh-CN" w:bidi="ar"/>
              </w:rPr>
              <w:t>锅炉废水（</w:t>
            </w:r>
            <w:r>
              <w:rPr>
                <w:rFonts w:hint="default" w:ascii="Times New Roman" w:hAnsi="Times New Roman" w:eastAsia="宋体" w:cs="Times New Roman"/>
                <w:color w:val="000000"/>
                <w:kern w:val="0"/>
                <w:sz w:val="24"/>
                <w:szCs w:val="24"/>
                <w:lang w:val="en-US" w:eastAsia="zh-CN" w:bidi="ar"/>
              </w:rPr>
              <w:t>锅炉排产水+软化处理废水</w:t>
            </w:r>
            <w:r>
              <w:rPr>
                <w:rFonts w:hint="eastAsia" w:cs="Times New Roman"/>
                <w:color w:val="000000"/>
                <w:kern w:val="0"/>
                <w:sz w:val="24"/>
                <w:szCs w:val="24"/>
                <w:lang w:val="en-US" w:eastAsia="zh-CN" w:bidi="ar"/>
              </w:rPr>
              <w:t>）排放</w:t>
            </w:r>
            <w:r>
              <w:rPr>
                <w:rFonts w:hint="default" w:ascii="Times New Roman" w:hAnsi="Times New Roman" w:eastAsia="宋体" w:cs="Times New Roman"/>
                <w:color w:val="000000"/>
                <w:kern w:val="0"/>
                <w:sz w:val="24"/>
                <w:szCs w:val="24"/>
                <w:lang w:val="en-US" w:eastAsia="zh-CN" w:bidi="ar"/>
              </w:rPr>
              <w:t xml:space="preserve">量为 </w:t>
            </w:r>
            <w:r>
              <w:rPr>
                <w:rFonts w:hint="default" w:ascii="Times New Roman" w:hAnsi="Times New Roman" w:cs="Times New Roman"/>
                <w:b w:val="0"/>
                <w:bCs w:val="0"/>
                <w:color w:val="auto"/>
                <w:sz w:val="24"/>
                <w:szCs w:val="24"/>
                <w:highlight w:val="none"/>
                <w:lang w:val="en-US" w:eastAsia="zh-CN"/>
              </w:rPr>
              <w:t>9.11</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2733.70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其中</w:t>
            </w:r>
            <w:r>
              <w:rPr>
                <w:rFonts w:hint="default" w:ascii="Times New Roman" w:hAnsi="Times New Roman" w:eastAsia="宋体" w:cs="Times New Roman"/>
                <w:color w:val="000000"/>
                <w:kern w:val="0"/>
                <w:sz w:val="24"/>
                <w:szCs w:val="24"/>
                <w:lang w:val="en-US" w:eastAsia="zh-CN" w:bidi="ar"/>
              </w:rPr>
              <w:t>COD</w:t>
            </w:r>
            <w:r>
              <w:rPr>
                <w:rFonts w:hint="default" w:ascii="Times New Roman" w:hAnsi="Times New Roman" w:eastAsia="宋体" w:cs="Times New Roman"/>
                <w:color w:val="000000"/>
                <w:kern w:val="0"/>
                <w:sz w:val="24"/>
                <w:szCs w:val="24"/>
                <w:vertAlign w:val="subscript"/>
                <w:lang w:val="en-US" w:eastAsia="zh-CN" w:bidi="ar"/>
              </w:rPr>
              <w:t>Cr</w:t>
            </w:r>
            <w:r>
              <w:rPr>
                <w:rFonts w:hint="eastAsia" w:ascii="Times New Roman" w:hAnsi="Times New Roman" w:eastAsia="宋体" w:cs="Times New Roman"/>
                <w:color w:val="000000"/>
                <w:kern w:val="0"/>
                <w:sz w:val="24"/>
                <w:szCs w:val="24"/>
                <w:vertAlign w:val="baseline"/>
                <w:lang w:val="en-US" w:eastAsia="zh-CN" w:bidi="ar"/>
              </w:rPr>
              <w:t>产生量为0.2177t/a</w:t>
            </w:r>
            <w:r>
              <w:rPr>
                <w:rFonts w:hint="default" w:ascii="Times New Roman" w:hAnsi="Times New Roman" w:cs="Times New Roman"/>
                <w:b w:val="0"/>
                <w:bCs w:val="0"/>
                <w:color w:val="auto"/>
                <w:sz w:val="24"/>
                <w:szCs w:val="24"/>
                <w:highlight w:val="none"/>
                <w:lang w:eastAsia="zh-CN"/>
              </w:rPr>
              <w:t>。</w:t>
            </w:r>
          </w:p>
          <w:p w14:paraId="125B7413">
            <w:pPr>
              <w:spacing w:line="360" w:lineRule="auto"/>
              <w:ind w:firstLine="480" w:firstLineChars="200"/>
              <w:jc w:val="left"/>
              <w:rPr>
                <w:rFonts w:hint="default" w:cs="Times New Roman"/>
                <w:b w:val="0"/>
                <w:bCs w:val="0"/>
                <w:color w:val="auto"/>
                <w:sz w:val="24"/>
                <w:szCs w:val="24"/>
                <w:highlight w:val="none"/>
                <w:lang w:val="en-US" w:eastAsia="zh-CN"/>
              </w:rPr>
            </w:pPr>
            <w:r>
              <w:rPr>
                <w:rFonts w:hint="eastAsia"/>
                <w:color w:val="auto"/>
                <w:sz w:val="24"/>
                <w:szCs w:val="24"/>
                <w:highlight w:val="none"/>
              </w:rPr>
              <w:t>⑦</w:t>
            </w:r>
            <w:r>
              <w:rPr>
                <w:rFonts w:hint="eastAsia" w:ascii="Times New Roman" w:hAnsi="Times New Roman" w:eastAsia="宋体" w:cs="Times New Roman"/>
                <w:b w:val="0"/>
                <w:bCs w:val="0"/>
                <w:color w:val="auto"/>
                <w:sz w:val="24"/>
                <w:szCs w:val="24"/>
                <w:highlight w:val="none"/>
                <w:lang w:val="en-US" w:eastAsia="zh-CN"/>
              </w:rPr>
              <w:t>冷库除霜</w:t>
            </w:r>
            <w:r>
              <w:rPr>
                <w:rFonts w:hint="eastAsia" w:eastAsia="宋体" w:cs="Times New Roman"/>
                <w:b w:val="0"/>
                <w:bCs w:val="0"/>
                <w:color w:val="auto"/>
                <w:sz w:val="24"/>
                <w:szCs w:val="24"/>
                <w:highlight w:val="none"/>
                <w:lang w:val="en-US" w:eastAsia="zh-CN"/>
              </w:rPr>
              <w:t>废</w:t>
            </w:r>
            <w:r>
              <w:rPr>
                <w:rFonts w:hint="eastAsia" w:ascii="Times New Roman" w:hAnsi="Times New Roman" w:eastAsia="宋体" w:cs="Times New Roman"/>
                <w:b w:val="0"/>
                <w:bCs w:val="0"/>
                <w:color w:val="auto"/>
                <w:sz w:val="24"/>
                <w:szCs w:val="24"/>
                <w:highlight w:val="none"/>
                <w:lang w:val="en-US" w:eastAsia="zh-CN"/>
              </w:rPr>
              <w:t>水</w:t>
            </w:r>
          </w:p>
          <w:p w14:paraId="4F50408D">
            <w:pPr>
              <w:spacing w:line="360" w:lineRule="auto"/>
              <w:ind w:firstLine="480" w:firstLineChars="200"/>
              <w:jc w:val="left"/>
              <w:rPr>
                <w:rFonts w:hint="eastAsia" w:cs="Times New Roman"/>
                <w:b/>
                <w:bCs/>
                <w:color w:val="auto"/>
                <w:sz w:val="24"/>
                <w:szCs w:val="24"/>
                <w:highlight w:val="none"/>
                <w:lang w:val="en-US" w:eastAsia="zh-CN"/>
              </w:rPr>
            </w:pPr>
            <w:r>
              <w:rPr>
                <w:rFonts w:hint="eastAsia" w:cs="Times New Roman"/>
                <w:b w:val="0"/>
                <w:bCs w:val="0"/>
                <w:color w:val="auto"/>
                <w:sz w:val="24"/>
                <w:szCs w:val="24"/>
                <w:highlight w:val="none"/>
                <w:lang w:val="en-US" w:eastAsia="zh-CN"/>
              </w:rPr>
              <w:t>项目果蔬车间，肉类车间，预制菜车间均设有冷库，用于储存原料，根据业主提供资料，冷库每年大约需要除霜4次，每次产生的冷库除霜废水约为10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，则</w:t>
            </w:r>
            <w:r>
              <w:rPr>
                <w:rFonts w:hint="eastAsia" w:cs="Times New Roman"/>
                <w:b w:val="0"/>
                <w:bCs w:val="0"/>
                <w:color w:val="auto"/>
                <w:sz w:val="24"/>
                <w:szCs w:val="24"/>
                <w:highlight w:val="none"/>
                <w:lang w:val="en-US" w:eastAsia="zh-CN"/>
              </w:rPr>
              <w:t>冷库除霜废水</w:t>
            </w:r>
            <w:r>
              <w:rPr>
                <w:rFonts w:hint="eastAsia" w:ascii="Times New Roman" w:hAnsi="Times New Roman" w:cs="Times New Roman"/>
                <w:b w:val="0"/>
                <w:bCs w:val="0"/>
                <w:color w:val="auto"/>
                <w:sz w:val="24"/>
                <w:szCs w:val="24"/>
                <w:highlight w:val="none"/>
                <w:lang w:val="en-US" w:eastAsia="zh-CN"/>
              </w:rPr>
              <w:t>量为0.133</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default"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40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cs="Times New Roman"/>
                <w:b w:val="0"/>
                <w:bCs w:val="0"/>
                <w:color w:val="auto"/>
                <w:sz w:val="24"/>
                <w:szCs w:val="24"/>
                <w:highlight w:val="none"/>
                <w:lang w:eastAsia="zh-CN"/>
              </w:rPr>
              <w:t>）</w:t>
            </w:r>
            <w:r>
              <w:rPr>
                <w:rFonts w:hint="eastAsia" w:cs="Times New Roman"/>
                <w:b w:val="0"/>
                <w:bCs w:val="0"/>
                <w:color w:val="auto"/>
                <w:sz w:val="24"/>
                <w:szCs w:val="24"/>
                <w:highlight w:val="none"/>
                <w:lang w:eastAsia="zh-CN"/>
              </w:rPr>
              <w:t>。</w:t>
            </w:r>
          </w:p>
          <w:p w14:paraId="6626E4D3">
            <w:pPr>
              <w:spacing w:line="360" w:lineRule="auto"/>
              <w:ind w:firstLine="482" w:firstLineChars="200"/>
              <w:jc w:val="left"/>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3、纯水制备浓水</w:t>
            </w:r>
          </w:p>
          <w:p w14:paraId="61C8C3D7">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color w:val="auto"/>
                <w:sz w:val="24"/>
                <w:szCs w:val="24"/>
                <w:highlight w:val="none"/>
                <w:lang w:val="en-US" w:eastAsia="zh-CN"/>
              </w:rPr>
              <w:t>本项目纯水机制备的纯水</w:t>
            </w:r>
            <w:r>
              <w:rPr>
                <w:rFonts w:ascii="宋体" w:hAnsi="宋体" w:cs="宋体"/>
                <w:color w:val="auto"/>
                <w:sz w:val="24"/>
                <w:szCs w:val="24"/>
                <w:highlight w:val="none"/>
              </w:rPr>
              <w:t>主要</w:t>
            </w:r>
            <w:r>
              <w:rPr>
                <w:rFonts w:hint="eastAsia" w:ascii="宋体" w:hAnsi="宋体" w:cs="宋体"/>
                <w:color w:val="auto"/>
                <w:sz w:val="24"/>
                <w:szCs w:val="24"/>
                <w:highlight w:val="none"/>
                <w:lang w:val="en-US" w:eastAsia="zh-CN"/>
              </w:rPr>
              <w:t>为原料清洗用水和食品制作用水</w:t>
            </w:r>
            <w:r>
              <w:rPr>
                <w:rFonts w:hint="default" w:ascii="Times New Roman" w:hAnsi="Times New Roman" w:eastAsia="宋体" w:cs="Times New Roman"/>
                <w:color w:val="auto"/>
                <w:sz w:val="24"/>
                <w:highlight w:val="none"/>
              </w:rPr>
              <w:t>，纯水由自备的纯水机以自来水原水制得。纯水机采用二级反渗透处理系统，即利用压力表差为动力的膜分离过滤技术，过滤掉原水中无机盐、其他矿物质等杂质</w:t>
            </w:r>
            <w:r>
              <w:rPr>
                <w:rFonts w:hint="default" w:ascii="Times New Roman" w:hAnsi="Times New Roman" w:eastAsia="宋体" w:cs="Times New Roman"/>
                <w:color w:val="auto"/>
                <w:sz w:val="24"/>
                <w:highlight w:val="none"/>
                <w:lang w:eastAsia="zh-CN"/>
              </w:rPr>
              <w:t>。</w:t>
            </w:r>
          </w:p>
          <w:p w14:paraId="2C4CFD56">
            <w:pPr>
              <w:pStyle w:val="132"/>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textAlignment w:val="auto"/>
              <w:rPr>
                <w:rFonts w:hint="eastAsia"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本项目纯水制备</w:t>
            </w:r>
            <w:r>
              <w:rPr>
                <w:rFonts w:hint="default" w:ascii="Times New Roman" w:hAnsi="Times New Roman" w:eastAsia="宋体" w:cs="Times New Roman"/>
                <w:color w:val="auto"/>
                <w:sz w:val="24"/>
                <w:szCs w:val="24"/>
                <w:highlight w:val="none"/>
                <w:lang w:val="en-US" w:eastAsia="zh-CN"/>
              </w:rPr>
              <w:t>浓水</w:t>
            </w:r>
            <w:r>
              <w:rPr>
                <w:rFonts w:hint="default" w:ascii="Times New Roman" w:hAnsi="Times New Roman" w:eastAsia="宋体" w:cs="Times New Roman"/>
                <w:color w:val="auto"/>
                <w:sz w:val="24"/>
                <w:szCs w:val="24"/>
                <w:highlight w:val="none"/>
              </w:rPr>
              <w:t>的产生量约占原水的30%</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综上所述，</w:t>
            </w:r>
            <w:r>
              <w:rPr>
                <w:rFonts w:hint="default" w:ascii="Times New Roman" w:hAnsi="Times New Roman" w:eastAsia="宋体" w:cs="Times New Roman"/>
                <w:color w:val="auto"/>
                <w:sz w:val="24"/>
                <w:szCs w:val="24"/>
                <w:highlight w:val="none"/>
              </w:rPr>
              <w:t>项目总需纯水量约为</w:t>
            </w:r>
            <w:r>
              <w:rPr>
                <w:rFonts w:hint="eastAsia" w:ascii="Times New Roman" w:hAnsi="Times New Roman" w:cs="Times New Roman"/>
                <w:color w:val="auto"/>
                <w:sz w:val="24"/>
                <w:szCs w:val="24"/>
                <w:highlight w:val="none"/>
                <w:lang w:val="en-US" w:eastAsia="zh-CN"/>
              </w:rPr>
              <w:t>164760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549.2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lang w:val="zh-CN" w:eastAsia="zh-CN"/>
              </w:rPr>
              <w:t>制备纯水所需自来水量为</w:t>
            </w:r>
            <w:r>
              <w:rPr>
                <w:rFonts w:hint="default" w:ascii="Times New Roman" w:hAnsi="Times New Roman" w:cs="Times New Roman"/>
                <w:color w:val="auto"/>
                <w:sz w:val="24"/>
                <w:szCs w:val="24"/>
                <w:lang w:val="en-US" w:eastAsia="zh-CN"/>
              </w:rPr>
              <w:t>235371.43</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val="zh-CN" w:eastAsia="zh-CN"/>
              </w:rPr>
              <w:t>（</w:t>
            </w:r>
            <w:r>
              <w:rPr>
                <w:rFonts w:hint="default" w:ascii="Times New Roman" w:hAnsi="Times New Roman" w:cs="Times New Roman"/>
                <w:color w:val="auto"/>
                <w:sz w:val="24"/>
                <w:szCs w:val="24"/>
                <w:lang w:val="en-US" w:eastAsia="zh-CN"/>
              </w:rPr>
              <w:t>784.57</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highlight w:val="none"/>
              </w:rPr>
              <w:t>纯水制备</w:t>
            </w:r>
            <w:r>
              <w:rPr>
                <w:rFonts w:hint="default" w:ascii="Times New Roman" w:hAnsi="Times New Roman" w:eastAsia="宋体" w:cs="Times New Roman"/>
                <w:color w:val="auto"/>
                <w:sz w:val="24"/>
                <w:szCs w:val="24"/>
                <w:highlight w:val="none"/>
                <w:lang w:val="en-US" w:eastAsia="zh-CN"/>
              </w:rPr>
              <w:t>浓水</w:t>
            </w:r>
            <w:r>
              <w:rPr>
                <w:rFonts w:hint="default" w:ascii="Times New Roman" w:hAnsi="Times New Roman" w:eastAsia="宋体" w:cs="Times New Roman"/>
                <w:color w:val="auto"/>
                <w:sz w:val="24"/>
                <w:szCs w:val="24"/>
                <w:highlight w:val="none"/>
              </w:rPr>
              <w:t>产生量为</w:t>
            </w:r>
            <w:r>
              <w:rPr>
                <w:rFonts w:hint="default" w:ascii="Times New Roman" w:hAnsi="Times New Roman" w:cs="Times New Roman"/>
                <w:color w:val="auto"/>
                <w:sz w:val="24"/>
                <w:szCs w:val="24"/>
                <w:highlight w:val="none"/>
                <w:lang w:val="en-US" w:eastAsia="zh-CN"/>
              </w:rPr>
              <w:t>70611.43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val="en-US" w:eastAsia="zh-CN"/>
              </w:rPr>
              <w:t>235.37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Hans"/>
              </w:rPr>
              <w:t>通过反渗透制备纯水产生的浓水主要</w:t>
            </w:r>
            <w:r>
              <w:rPr>
                <w:rFonts w:hint="default" w:ascii="Times New Roman" w:hAnsi="Times New Roman" w:cs="Times New Roman"/>
                <w:color w:val="auto"/>
                <w:sz w:val="24"/>
                <w:szCs w:val="24"/>
                <w:highlight w:val="none"/>
                <w:lang w:val="en-US" w:eastAsia="zh-CN"/>
              </w:rPr>
              <w:t>污染物为</w:t>
            </w:r>
            <w:r>
              <w:rPr>
                <w:rFonts w:hint="default" w:ascii="Times New Roman" w:hAnsi="Times New Roman" w:eastAsia="宋体" w:cs="Times New Roman"/>
                <w:color w:val="auto"/>
                <w:sz w:val="24"/>
                <w:szCs w:val="24"/>
                <w:highlight w:val="none"/>
                <w:lang w:val="en-US" w:eastAsia="zh-Hans"/>
              </w:rPr>
              <w:t>盐分</w:t>
            </w:r>
            <w:r>
              <w:rPr>
                <w:rFonts w:hint="default" w:ascii="Times New Roman" w:hAnsi="Times New Roman" w:cs="Times New Roman"/>
                <w:color w:val="auto"/>
                <w:sz w:val="24"/>
                <w:szCs w:val="24"/>
                <w:highlight w:val="none"/>
                <w:lang w:val="en-US" w:eastAsia="zh-CN"/>
              </w:rPr>
              <w:t>（全盐量约为500mg/L）和硬度</w:t>
            </w:r>
            <w:r>
              <w:rPr>
                <w:rFonts w:hint="default" w:ascii="Times New Roman" w:hAnsi="Times New Roman" w:eastAsia="宋体" w:cs="Times New Roman"/>
                <w:color w:val="auto"/>
                <w:sz w:val="24"/>
                <w:szCs w:val="24"/>
                <w:highlight w:val="none"/>
                <w:lang w:eastAsia="zh-Hans"/>
              </w:rPr>
              <w:t>，</w:t>
            </w:r>
            <w:r>
              <w:rPr>
                <w:rFonts w:hint="default" w:ascii="Times New Roman" w:hAnsi="Times New Roman" w:eastAsia="宋体" w:cs="Times New Roman"/>
                <w:color w:val="auto"/>
                <w:sz w:val="24"/>
                <w:szCs w:val="24"/>
                <w:highlight w:val="none"/>
                <w:lang w:val="en-US" w:eastAsia="zh-Hans"/>
              </w:rPr>
              <w:t>其水中杂质均附着在反渗透膜上</w:t>
            </w:r>
            <w:r>
              <w:rPr>
                <w:rFonts w:hint="default" w:ascii="Times New Roman" w:hAnsi="Times New Roman" w:eastAsia="宋体" w:cs="Times New Roman"/>
                <w:color w:val="auto"/>
                <w:sz w:val="24"/>
                <w:szCs w:val="24"/>
                <w:highlight w:val="none"/>
                <w:lang w:eastAsia="zh-Hans"/>
              </w:rPr>
              <w:t>，</w:t>
            </w:r>
            <w:r>
              <w:rPr>
                <w:rFonts w:hint="default" w:ascii="Times New Roman" w:hAnsi="Times New Roman" w:eastAsia="宋体" w:cs="Times New Roman"/>
                <w:color w:val="auto"/>
                <w:sz w:val="24"/>
                <w:szCs w:val="24"/>
                <w:highlight w:val="none"/>
                <w:lang w:val="en-US" w:eastAsia="zh-Hans"/>
              </w:rPr>
              <w:t>无其他污染物产生</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纯水制备浓水部分</w:t>
            </w:r>
            <w:r>
              <w:rPr>
                <w:rFonts w:hint="default" w:ascii="Times New Roman" w:hAnsi="Times New Roman" w:cs="Times New Roman"/>
                <w:b w:val="0"/>
                <w:bCs w:val="0"/>
                <w:color w:val="auto"/>
                <w:sz w:val="24"/>
                <w:szCs w:val="24"/>
                <w:highlight w:val="none"/>
                <w:lang w:val="en-US" w:eastAsia="zh-CN"/>
              </w:rPr>
              <w:t>18776.25</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/a（</w:t>
            </w:r>
            <w:r>
              <w:rPr>
                <w:rFonts w:hint="default" w:ascii="Times New Roman" w:hAnsi="Times New Roman" w:cs="Times New Roman"/>
                <w:b w:val="0"/>
                <w:bCs w:val="0"/>
                <w:color w:val="auto"/>
                <w:sz w:val="24"/>
                <w:szCs w:val="24"/>
                <w:highlight w:val="none"/>
                <w:lang w:val="en-US" w:eastAsia="zh-CN"/>
              </w:rPr>
              <w:t>62.59</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b w:val="0"/>
                <w:bCs w:val="0"/>
                <w:color w:val="auto"/>
                <w:sz w:val="24"/>
                <w:szCs w:val="24"/>
                <w:highlight w:val="none"/>
              </w:rPr>
              <w:t>/d）</w:t>
            </w:r>
            <w:r>
              <w:rPr>
                <w:rFonts w:hint="default" w:ascii="Times New Roman" w:hAnsi="Times New Roman" w:cs="Times New Roman"/>
                <w:color w:val="auto"/>
                <w:sz w:val="24"/>
                <w:szCs w:val="24"/>
                <w:highlight w:val="none"/>
                <w:lang w:val="en-US" w:eastAsia="zh-CN"/>
              </w:rPr>
              <w:t>回</w:t>
            </w:r>
            <w:r>
              <w:rPr>
                <w:rFonts w:hint="eastAsia" w:ascii="Times New Roman" w:hAnsi="Times New Roman" w:cs="Times New Roman"/>
                <w:color w:val="auto"/>
                <w:sz w:val="24"/>
                <w:szCs w:val="24"/>
                <w:highlight w:val="none"/>
                <w:lang w:val="en-US" w:eastAsia="zh-CN"/>
              </w:rPr>
              <w:t>用于地面清洗用水</w:t>
            </w:r>
            <w:r>
              <w:rPr>
                <w:rFonts w:hint="default" w:ascii="Times New Roman" w:hAnsi="Times New Roman" w:cs="Times New Roman"/>
                <w:color w:val="auto"/>
                <w:sz w:val="24"/>
                <w:szCs w:val="24"/>
                <w:highlight w:val="none"/>
                <w:lang w:val="en-US" w:eastAsia="zh-CN"/>
              </w:rPr>
              <w:t>，其他部分</w:t>
            </w:r>
            <w:r>
              <w:rPr>
                <w:rFonts w:hint="eastAsia" w:ascii="Times New Roman" w:hAnsi="Times New Roman" w:cs="Times New Roman"/>
                <w:color w:val="auto"/>
                <w:sz w:val="24"/>
                <w:szCs w:val="24"/>
                <w:highlight w:val="none"/>
                <w:lang w:val="en-US" w:eastAsia="zh-CN"/>
              </w:rPr>
              <w:t>51835.18</w:t>
            </w:r>
            <w:r>
              <w:rPr>
                <w:rFonts w:hint="default" w:ascii="Times New Roman" w:hAnsi="Times New Roman" w:eastAsia="宋体"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vertAlign w:val="baseline"/>
                <w:lang w:val="en-US" w:eastAsia="zh-CN"/>
              </w:rPr>
              <w:t>172.78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p>
          <w:p w14:paraId="72551033">
            <w:pPr>
              <w:spacing w:line="360" w:lineRule="auto"/>
              <w:ind w:firstLine="482" w:firstLineChars="200"/>
              <w:jc w:val="lef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绿化用水</w:t>
            </w:r>
          </w:p>
          <w:p w14:paraId="66E74809">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厂区绿化面积约为</w:t>
            </w:r>
            <w:r>
              <w:rPr>
                <w:rFonts w:hint="eastAsia" w:ascii="Times New Roman" w:hAnsi="Times New Roman" w:cs="Times New Roman"/>
                <w:color w:val="000000" w:themeColor="text1"/>
                <w:sz w:val="24"/>
                <w:highlight w:val="none"/>
                <w:lang w:val="en-US" w:eastAsia="zh-CN"/>
                <w14:textFill>
                  <w14:solidFill>
                    <w14:schemeClr w14:val="tx1"/>
                  </w14:solidFill>
                </w14:textFill>
              </w:rPr>
              <w:t>10000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，绿化用水量按照2L/（m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·周）计算，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年绿化次数43次，</w:t>
            </w:r>
            <w:r>
              <w:rPr>
                <w:rFonts w:hint="default" w:ascii="Times New Roman" w:hAnsi="Times New Roman" w:eastAsia="宋体" w:cs="Times New Roman"/>
                <w:color w:val="000000" w:themeColor="text1"/>
                <w:sz w:val="24"/>
                <w:szCs w:val="24"/>
                <w:highlight w:val="none"/>
                <w14:textFill>
                  <w14:solidFill>
                    <w14:schemeClr w14:val="tx1"/>
                  </w14:solidFill>
                </w14:textFill>
              </w:rPr>
              <w:t>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绿化</w:t>
            </w:r>
            <w:r>
              <w:rPr>
                <w:rFonts w:hint="default" w:ascii="Times New Roman" w:hAnsi="Times New Roman" w:eastAsia="宋体" w:cs="Times New Roman"/>
                <w:color w:val="000000" w:themeColor="text1"/>
                <w:sz w:val="24"/>
                <w:szCs w:val="24"/>
                <w:highlight w:val="none"/>
                <w14:textFill>
                  <w14:solidFill>
                    <w14:schemeClr w14:val="tx1"/>
                  </w14:solidFill>
                </w14:textFill>
              </w:rPr>
              <w:t>用水量为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2.87</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860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绿化用水全部</w:t>
            </w:r>
            <w:r>
              <w:rPr>
                <w:rFonts w:hint="eastAsia" w:cs="Times New Roman"/>
                <w:color w:val="000000" w:themeColor="text1"/>
                <w:sz w:val="24"/>
                <w:szCs w:val="24"/>
                <w:highlight w:val="none"/>
                <w:lang w:val="en-US" w:eastAsia="zh-CN"/>
                <w14:textFill>
                  <w14:solidFill>
                    <w14:schemeClr w14:val="tx1"/>
                  </w14:solidFill>
                </w14:textFill>
              </w:rPr>
              <w:t>土壤吸收或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蒸发损耗，不产生废水。</w:t>
            </w:r>
          </w:p>
          <w:p w14:paraId="776847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FF0000"/>
                <w:sz w:val="24"/>
                <w:szCs w:val="24"/>
                <w:highlight w:val="none"/>
                <w:lang w:val="en-US" w:eastAsia="zh-CN"/>
              </w:rPr>
            </w:pPr>
            <w:r>
              <w:rPr>
                <w:rFonts w:hint="default" w:ascii="Times New Roman" w:hAnsi="Times New Roman" w:eastAsia="宋体" w:cs="Times New Roman"/>
                <w:color w:val="auto"/>
                <w:sz w:val="24"/>
                <w:szCs w:val="24"/>
                <w:highlight w:val="none"/>
              </w:rPr>
              <w:t>排水系统：</w:t>
            </w: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cs="Times New Roman"/>
                <w:color w:val="000000"/>
                <w:kern w:val="0"/>
                <w:sz w:val="24"/>
                <w:szCs w:val="24"/>
                <w:lang w:val="en-US" w:eastAsia="zh-CN" w:bidi="ar"/>
              </w:rPr>
              <w:t>和纯水制备浓水</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纯水制备浓水可</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生活污水经化粪池处理后和生产废水一起</w:t>
            </w:r>
            <w:r>
              <w:rPr>
                <w:rFonts w:hint="default" w:ascii="Times New Roman" w:hAnsi="Times New Roman" w:eastAsia="宋体" w:cs="Times New Roman"/>
                <w:color w:val="000000"/>
                <w:kern w:val="0"/>
                <w:sz w:val="24"/>
                <w:szCs w:val="24"/>
                <w:lang w:val="en-US" w:eastAsia="zh-CN" w:bidi="ar"/>
              </w:rPr>
              <w:t>进入自建污水处理站处理达标后通过污水管网进入宁都县第二污水处理厂处理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000000"/>
                <w:kern w:val="0"/>
                <w:sz w:val="24"/>
                <w:szCs w:val="24"/>
                <w:lang w:val="en-US" w:eastAsia="zh-CN" w:bidi="ar"/>
              </w:rPr>
              <w:t>，最终排入梅江。</w:t>
            </w:r>
          </w:p>
        </w:tc>
      </w:tr>
    </w:tbl>
    <w:p w14:paraId="18774F27">
      <w:pPr>
        <w:pStyle w:val="29"/>
        <w:adjustRightInd w:val="0"/>
        <w:snapToGrid w:val="0"/>
        <w:spacing w:before="0" w:beforeAutospacing="0" w:after="0" w:afterAutospacing="0"/>
        <w:jc w:val="center"/>
        <w:rPr>
          <w:rFonts w:hint="default" w:ascii="宋体" w:hAnsi="宋体" w:eastAsia="宋体" w:cs="宋体"/>
          <w:color w:val="auto"/>
          <w:kern w:val="0"/>
          <w:sz w:val="24"/>
          <w:szCs w:val="24"/>
          <w:lang w:val="en-US" w:eastAsia="zh-CN" w:bidi="ar-S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128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2360"/>
      </w:tblGrid>
      <w:tr w14:paraId="24A01E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91" w:hRule="atLeast"/>
          <w:jc w:val="center"/>
        </w:trPr>
        <w:tc>
          <w:tcPr>
            <w:tcW w:w="479" w:type="dxa"/>
            <w:noWrap w:val="0"/>
            <w:tcMar>
              <w:left w:w="28" w:type="dxa"/>
              <w:right w:w="28" w:type="dxa"/>
            </w:tcMar>
            <w:vAlign w:val="center"/>
          </w:tcPr>
          <w:p w14:paraId="2B1CC16D">
            <w:pPr>
              <w:pStyle w:val="29"/>
              <w:adjustRightInd w:val="0"/>
              <w:snapToGrid w:val="0"/>
              <w:spacing w:before="0" w:beforeAutospacing="0" w:after="0" w:afterAutospacing="0"/>
              <w:jc w:val="center"/>
              <w:rPr>
                <w:rFonts w:hint="default" w:ascii="宋体" w:hAnsi="宋体" w:eastAsia="宋体" w:cs="宋体"/>
                <w:color w:val="auto"/>
                <w:kern w:val="0"/>
                <w:sz w:val="24"/>
                <w:szCs w:val="24"/>
                <w:lang w:val="en-US" w:eastAsia="zh-CN" w:bidi="ar-SA"/>
              </w:rPr>
            </w:pPr>
            <w:r>
              <w:rPr>
                <w:rFonts w:hint="default" w:ascii="宋体" w:hAnsi="宋体" w:eastAsia="宋体" w:cs="宋体"/>
                <w:color w:val="auto"/>
                <w:kern w:val="0"/>
                <w:sz w:val="24"/>
                <w:szCs w:val="24"/>
                <w:lang w:val="en-US" w:eastAsia="zh-CN" w:bidi="ar-SA"/>
              </w:rPr>
              <w:t>运营期环境影响和保护措施</w:t>
            </w:r>
          </w:p>
        </w:tc>
        <w:tc>
          <w:tcPr>
            <w:tcW w:w="12360" w:type="dxa"/>
            <w:noWrap w:val="0"/>
            <w:vAlign w:val="center"/>
          </w:tcPr>
          <w:p w14:paraId="3D2F83A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w:t>
            </w:r>
            <w:r>
              <w:rPr>
                <w:rFonts w:hint="eastAsia" w:cs="Times New Roman"/>
                <w:b w:val="0"/>
                <w:bCs w:val="0"/>
                <w:color w:val="auto"/>
                <w:sz w:val="24"/>
                <w:szCs w:val="24"/>
                <w:lang w:val="en-US" w:eastAsia="zh-CN"/>
              </w:rPr>
              <w:t>解冻废水、原料清洗废水、食品制作废水</w:t>
            </w:r>
            <w:r>
              <w:rPr>
                <w:rFonts w:hint="default" w:ascii="Times New Roman" w:hAnsi="Times New Roman" w:cs="Times New Roman"/>
                <w:b w:val="0"/>
                <w:bCs w:val="0"/>
                <w:color w:val="auto"/>
                <w:sz w:val="24"/>
                <w:szCs w:val="24"/>
                <w:lang w:val="en-US" w:eastAsia="zh-CN"/>
              </w:rPr>
              <w:t>源强取值类比参考</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屠宰与肉类加工废水治理工程技术规范</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HJ2004-2010</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中表4肉类加工废水水质设计取值，解冻废水主要为肉类解冻产生的废水，故直接取肉类加工废水水质设计范围最大值，原料清洗废水和焯水废水中均涉及清洗肉类，且清洗肉类的数量和清洗果蔬、大米的总数量相似，故取水质设计范围中间值，具体水质设计见下表</w:t>
            </w:r>
          </w:p>
          <w:p w14:paraId="7E311939">
            <w:pPr>
              <w:pStyle w:val="12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auto"/>
                <w:sz w:val="24"/>
                <w:szCs w:val="24"/>
                <w:lang w:val="en-US" w:eastAsia="zh-CN"/>
              </w:rPr>
            </w:pPr>
            <w:r>
              <w:rPr>
                <w:rFonts w:hint="eastAsia"/>
                <w:b/>
                <w:bCs/>
                <w:color w:val="auto"/>
                <w:sz w:val="21"/>
                <w:szCs w:val="21"/>
                <w:lang w:val="en-US" w:eastAsia="zh-CN"/>
              </w:rPr>
              <w:t>表4-17  肉类加工废水水质设计取值  单位mg/L（pH为无量纲）</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1733"/>
              <w:gridCol w:w="1733"/>
              <w:gridCol w:w="1734"/>
              <w:gridCol w:w="1734"/>
              <w:gridCol w:w="1734"/>
              <w:gridCol w:w="1734"/>
            </w:tblGrid>
            <w:tr w14:paraId="78CC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dxa"/>
                  <w:vAlign w:val="center"/>
                </w:tcPr>
                <w:p w14:paraId="6930F4E3">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污染物指标</w:t>
                  </w:r>
                </w:p>
              </w:tc>
              <w:tc>
                <w:tcPr>
                  <w:tcW w:w="1733" w:type="dxa"/>
                  <w:vAlign w:val="center"/>
                </w:tcPr>
                <w:p w14:paraId="1209D4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cs="Times New Roman"/>
                      <w:b/>
                      <w:bCs/>
                      <w:color w:val="auto"/>
                      <w:sz w:val="21"/>
                      <w:szCs w:val="21"/>
                      <w:vertAlign w:val="baseline"/>
                      <w:lang w:val="en-US" w:eastAsia="zh-CN"/>
                    </w:rPr>
                    <w:t>COD</w:t>
                  </w:r>
                  <w:r>
                    <w:rPr>
                      <w:rFonts w:hint="eastAsia" w:cs="Times New Roman"/>
                      <w:b/>
                      <w:bCs/>
                      <w:color w:val="auto"/>
                      <w:sz w:val="21"/>
                      <w:szCs w:val="21"/>
                      <w:vertAlign w:val="subscript"/>
                      <w:lang w:val="en-US" w:eastAsia="zh-CN"/>
                    </w:rPr>
                    <w:t>cr</w:t>
                  </w:r>
                </w:p>
              </w:tc>
              <w:tc>
                <w:tcPr>
                  <w:tcW w:w="1733" w:type="dxa"/>
                  <w:vAlign w:val="center"/>
                </w:tcPr>
                <w:p w14:paraId="28889E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vertAlign w:val="baseline"/>
                      <w:lang w:val="en-US" w:eastAsia="zh-CN"/>
                    </w:rPr>
                  </w:pPr>
                  <w:r>
                    <w:rPr>
                      <w:rFonts w:hint="eastAsia" w:cs="Times New Roman"/>
                      <w:b/>
                      <w:bCs/>
                      <w:color w:val="auto"/>
                      <w:sz w:val="21"/>
                      <w:szCs w:val="21"/>
                      <w:vertAlign w:val="baseline"/>
                      <w:lang w:val="en-US" w:eastAsia="zh-CN"/>
                    </w:rPr>
                    <w:t>BOD</w:t>
                  </w:r>
                  <w:r>
                    <w:rPr>
                      <w:rFonts w:hint="eastAsia" w:cs="Times New Roman"/>
                      <w:b/>
                      <w:bCs/>
                      <w:color w:val="auto"/>
                      <w:sz w:val="21"/>
                      <w:szCs w:val="21"/>
                      <w:vertAlign w:val="subscript"/>
                      <w:lang w:val="en-US" w:eastAsia="zh-CN"/>
                    </w:rPr>
                    <w:t>5</w:t>
                  </w:r>
                </w:p>
              </w:tc>
              <w:tc>
                <w:tcPr>
                  <w:tcW w:w="1734" w:type="dxa"/>
                  <w:vAlign w:val="center"/>
                </w:tcPr>
                <w:p w14:paraId="667F3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vertAlign w:val="baseline"/>
                      <w:lang w:val="en-US" w:eastAsia="zh-CN"/>
                    </w:rPr>
                  </w:pPr>
                  <w:r>
                    <w:rPr>
                      <w:rFonts w:hint="eastAsia" w:cs="Times New Roman"/>
                      <w:b/>
                      <w:bCs/>
                      <w:color w:val="auto"/>
                      <w:sz w:val="21"/>
                      <w:szCs w:val="21"/>
                      <w:vertAlign w:val="baseline"/>
                      <w:lang w:val="en-US" w:eastAsia="zh-CN"/>
                    </w:rPr>
                    <w:t>SS</w:t>
                  </w:r>
                </w:p>
              </w:tc>
              <w:tc>
                <w:tcPr>
                  <w:tcW w:w="1734" w:type="dxa"/>
                  <w:vAlign w:val="center"/>
                </w:tcPr>
                <w:p w14:paraId="297A97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vertAlign w:val="baseline"/>
                      <w:lang w:val="en-US" w:eastAsia="zh-CN"/>
                    </w:rPr>
                  </w:pPr>
                  <w:r>
                    <w:rPr>
                      <w:rFonts w:hint="eastAsia" w:cs="Times New Roman"/>
                      <w:b/>
                      <w:bCs/>
                      <w:color w:val="auto"/>
                      <w:sz w:val="21"/>
                      <w:szCs w:val="21"/>
                      <w:vertAlign w:val="baseline"/>
                      <w:lang w:val="en-US" w:eastAsia="zh-CN"/>
                    </w:rPr>
                    <w:t>NH</w:t>
                  </w:r>
                  <w:r>
                    <w:rPr>
                      <w:rFonts w:hint="eastAsia" w:cs="Times New Roman"/>
                      <w:b/>
                      <w:bCs/>
                      <w:color w:val="auto"/>
                      <w:sz w:val="21"/>
                      <w:szCs w:val="21"/>
                      <w:vertAlign w:val="subscript"/>
                      <w:lang w:val="en-US" w:eastAsia="zh-CN"/>
                    </w:rPr>
                    <w:t>3</w:t>
                  </w:r>
                  <w:r>
                    <w:rPr>
                      <w:rFonts w:hint="eastAsia" w:cs="Times New Roman"/>
                      <w:b/>
                      <w:bCs/>
                      <w:color w:val="auto"/>
                      <w:sz w:val="21"/>
                      <w:szCs w:val="21"/>
                      <w:vertAlign w:val="baseline"/>
                      <w:lang w:val="en-US" w:eastAsia="zh-CN"/>
                    </w:rPr>
                    <w:t>-N</w:t>
                  </w:r>
                </w:p>
              </w:tc>
              <w:tc>
                <w:tcPr>
                  <w:tcW w:w="1734" w:type="dxa"/>
                  <w:vAlign w:val="center"/>
                </w:tcPr>
                <w:p w14:paraId="3E3FF2BE">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动植物油</w:t>
                  </w:r>
                </w:p>
              </w:tc>
              <w:tc>
                <w:tcPr>
                  <w:tcW w:w="1734" w:type="dxa"/>
                  <w:vAlign w:val="center"/>
                </w:tcPr>
                <w:p w14:paraId="6669C096">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pH</w:t>
                  </w:r>
                </w:p>
              </w:tc>
            </w:tr>
            <w:tr w14:paraId="40F4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dxa"/>
                  <w:vAlign w:val="center"/>
                </w:tcPr>
                <w:p w14:paraId="381FC0B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废水浓度范围</w:t>
                  </w:r>
                </w:p>
              </w:tc>
              <w:tc>
                <w:tcPr>
                  <w:tcW w:w="1733" w:type="dxa"/>
                  <w:vAlign w:val="center"/>
                </w:tcPr>
                <w:p w14:paraId="3B6E8024">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800-2000</w:t>
                  </w:r>
                </w:p>
              </w:tc>
              <w:tc>
                <w:tcPr>
                  <w:tcW w:w="1733" w:type="dxa"/>
                  <w:vAlign w:val="center"/>
                </w:tcPr>
                <w:p w14:paraId="129D4F13">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500-1000</w:t>
                  </w:r>
                </w:p>
              </w:tc>
              <w:tc>
                <w:tcPr>
                  <w:tcW w:w="1734" w:type="dxa"/>
                  <w:vAlign w:val="center"/>
                </w:tcPr>
                <w:p w14:paraId="0365D2C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500-1000</w:t>
                  </w:r>
                </w:p>
              </w:tc>
              <w:tc>
                <w:tcPr>
                  <w:tcW w:w="1734" w:type="dxa"/>
                  <w:vAlign w:val="center"/>
                </w:tcPr>
                <w:p w14:paraId="47125677">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25-70</w:t>
                  </w:r>
                </w:p>
              </w:tc>
              <w:tc>
                <w:tcPr>
                  <w:tcW w:w="1734" w:type="dxa"/>
                  <w:vAlign w:val="center"/>
                </w:tcPr>
                <w:p w14:paraId="50456AC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30-100</w:t>
                  </w:r>
                </w:p>
              </w:tc>
              <w:tc>
                <w:tcPr>
                  <w:tcW w:w="1734" w:type="dxa"/>
                  <w:vAlign w:val="center"/>
                </w:tcPr>
                <w:p w14:paraId="735217DE">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6.5-7.5</w:t>
                  </w:r>
                </w:p>
              </w:tc>
            </w:tr>
            <w:tr w14:paraId="6CB3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dxa"/>
                  <w:vAlign w:val="center"/>
                </w:tcPr>
                <w:p w14:paraId="02894B3B">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解冻废水</w:t>
                  </w:r>
                </w:p>
              </w:tc>
              <w:tc>
                <w:tcPr>
                  <w:tcW w:w="1733" w:type="dxa"/>
                  <w:vAlign w:val="center"/>
                </w:tcPr>
                <w:p w14:paraId="4B5C7766">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2000</w:t>
                  </w:r>
                </w:p>
              </w:tc>
              <w:tc>
                <w:tcPr>
                  <w:tcW w:w="1733" w:type="dxa"/>
                  <w:vAlign w:val="center"/>
                </w:tcPr>
                <w:p w14:paraId="7E20262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1000</w:t>
                  </w:r>
                </w:p>
              </w:tc>
              <w:tc>
                <w:tcPr>
                  <w:tcW w:w="1734" w:type="dxa"/>
                  <w:vAlign w:val="center"/>
                </w:tcPr>
                <w:p w14:paraId="5C0A3A3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1000</w:t>
                  </w:r>
                </w:p>
              </w:tc>
              <w:tc>
                <w:tcPr>
                  <w:tcW w:w="1734" w:type="dxa"/>
                  <w:vAlign w:val="center"/>
                </w:tcPr>
                <w:p w14:paraId="3FA95AE3">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70</w:t>
                  </w:r>
                </w:p>
              </w:tc>
              <w:tc>
                <w:tcPr>
                  <w:tcW w:w="1734" w:type="dxa"/>
                  <w:vAlign w:val="center"/>
                </w:tcPr>
                <w:p w14:paraId="19A5B6FA">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100</w:t>
                  </w:r>
                </w:p>
              </w:tc>
              <w:tc>
                <w:tcPr>
                  <w:tcW w:w="1734" w:type="dxa"/>
                  <w:vAlign w:val="center"/>
                </w:tcPr>
                <w:p w14:paraId="24CDF11B">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6.5-7.5</w:t>
                  </w:r>
                </w:p>
              </w:tc>
            </w:tr>
            <w:tr w14:paraId="11E6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dxa"/>
                  <w:vAlign w:val="center"/>
                </w:tcPr>
                <w:p w14:paraId="54C5AAC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原料清洗废水</w:t>
                  </w:r>
                </w:p>
              </w:tc>
              <w:tc>
                <w:tcPr>
                  <w:tcW w:w="1733" w:type="dxa"/>
                  <w:vAlign w:val="center"/>
                </w:tcPr>
                <w:p w14:paraId="63AA0C1E">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1400</w:t>
                  </w:r>
                </w:p>
              </w:tc>
              <w:tc>
                <w:tcPr>
                  <w:tcW w:w="1733" w:type="dxa"/>
                  <w:vAlign w:val="center"/>
                </w:tcPr>
                <w:p w14:paraId="00C3522E">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750</w:t>
                  </w:r>
                </w:p>
              </w:tc>
              <w:tc>
                <w:tcPr>
                  <w:tcW w:w="1734" w:type="dxa"/>
                  <w:vAlign w:val="center"/>
                </w:tcPr>
                <w:p w14:paraId="479C7EEE">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750</w:t>
                  </w:r>
                </w:p>
              </w:tc>
              <w:tc>
                <w:tcPr>
                  <w:tcW w:w="1734" w:type="dxa"/>
                  <w:vAlign w:val="center"/>
                </w:tcPr>
                <w:p w14:paraId="718E1CCF">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47.5</w:t>
                  </w:r>
                </w:p>
              </w:tc>
              <w:tc>
                <w:tcPr>
                  <w:tcW w:w="1734" w:type="dxa"/>
                  <w:vAlign w:val="center"/>
                </w:tcPr>
                <w:p w14:paraId="3CD43F2F">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65</w:t>
                  </w:r>
                </w:p>
              </w:tc>
              <w:tc>
                <w:tcPr>
                  <w:tcW w:w="1734" w:type="dxa"/>
                  <w:vAlign w:val="center"/>
                </w:tcPr>
                <w:p w14:paraId="426EBE3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6.5-7.5</w:t>
                  </w:r>
                </w:p>
              </w:tc>
            </w:tr>
            <w:tr w14:paraId="549F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dxa"/>
                  <w:vAlign w:val="center"/>
                </w:tcPr>
                <w:p w14:paraId="5A9FA3B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焯水废水</w:t>
                  </w:r>
                </w:p>
              </w:tc>
              <w:tc>
                <w:tcPr>
                  <w:tcW w:w="1733" w:type="dxa"/>
                  <w:shd w:val="clear" w:color="auto" w:fill="auto"/>
                  <w:vAlign w:val="center"/>
                </w:tcPr>
                <w:p w14:paraId="1BD880B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1400</w:t>
                  </w:r>
                </w:p>
              </w:tc>
              <w:tc>
                <w:tcPr>
                  <w:tcW w:w="1733" w:type="dxa"/>
                  <w:shd w:val="clear" w:color="auto" w:fill="auto"/>
                  <w:vAlign w:val="center"/>
                </w:tcPr>
                <w:p w14:paraId="7668A32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750</w:t>
                  </w:r>
                </w:p>
              </w:tc>
              <w:tc>
                <w:tcPr>
                  <w:tcW w:w="1734" w:type="dxa"/>
                  <w:shd w:val="clear" w:color="auto" w:fill="auto"/>
                  <w:vAlign w:val="center"/>
                </w:tcPr>
                <w:p w14:paraId="1AECE5F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750</w:t>
                  </w:r>
                </w:p>
              </w:tc>
              <w:tc>
                <w:tcPr>
                  <w:tcW w:w="1734" w:type="dxa"/>
                  <w:shd w:val="clear" w:color="auto" w:fill="auto"/>
                  <w:vAlign w:val="center"/>
                </w:tcPr>
                <w:p w14:paraId="215C204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47.5</w:t>
                  </w:r>
                </w:p>
              </w:tc>
              <w:tc>
                <w:tcPr>
                  <w:tcW w:w="1734" w:type="dxa"/>
                  <w:shd w:val="clear" w:color="auto" w:fill="auto"/>
                  <w:vAlign w:val="center"/>
                </w:tcPr>
                <w:p w14:paraId="2DD8509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65</w:t>
                  </w:r>
                </w:p>
              </w:tc>
              <w:tc>
                <w:tcPr>
                  <w:tcW w:w="1734" w:type="dxa"/>
                  <w:shd w:val="clear" w:color="auto" w:fill="auto"/>
                  <w:vAlign w:val="center"/>
                </w:tcPr>
                <w:p w14:paraId="468BDB3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6.5-7.5</w:t>
                  </w:r>
                </w:p>
              </w:tc>
            </w:tr>
          </w:tbl>
          <w:p w14:paraId="55356927">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本项目废水量及水质情况、废水污染源源强核算情况见下表：</w:t>
            </w:r>
          </w:p>
          <w:p w14:paraId="0D1D59D1">
            <w:pPr>
              <w:pStyle w:val="12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表4-18  本项目废水量及水质情况一览表  单位mg/L（pH为无量纲）</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565"/>
              <w:gridCol w:w="1545"/>
              <w:gridCol w:w="1132"/>
              <w:gridCol w:w="1087"/>
              <w:gridCol w:w="1132"/>
              <w:gridCol w:w="914"/>
              <w:gridCol w:w="1199"/>
              <w:gridCol w:w="879"/>
              <w:gridCol w:w="897"/>
              <w:gridCol w:w="1347"/>
            </w:tblGrid>
            <w:tr w14:paraId="2496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2" w:type="dxa"/>
                  <w:gridSpan w:val="2"/>
                  <w:vAlign w:val="center"/>
                </w:tcPr>
                <w:p w14:paraId="031DB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污水种类</w:t>
                  </w:r>
                </w:p>
              </w:tc>
              <w:tc>
                <w:tcPr>
                  <w:tcW w:w="1545" w:type="dxa"/>
                  <w:vAlign w:val="center"/>
                </w:tcPr>
                <w:p w14:paraId="132FAD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/d</w:t>
                  </w:r>
                </w:p>
              </w:tc>
              <w:tc>
                <w:tcPr>
                  <w:tcW w:w="1132" w:type="dxa"/>
                  <w:vAlign w:val="center"/>
                </w:tcPr>
                <w:p w14:paraId="1D6F2B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pH</w:t>
                  </w:r>
                </w:p>
              </w:tc>
              <w:tc>
                <w:tcPr>
                  <w:tcW w:w="1087" w:type="dxa"/>
                  <w:vAlign w:val="center"/>
                </w:tcPr>
                <w:p w14:paraId="6D9EF2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COD</w:t>
                  </w:r>
                  <w:r>
                    <w:rPr>
                      <w:rFonts w:hint="eastAsia" w:cs="Times New Roman"/>
                      <w:b/>
                      <w:bCs/>
                      <w:color w:val="auto"/>
                      <w:sz w:val="21"/>
                      <w:szCs w:val="21"/>
                      <w:vertAlign w:val="subscript"/>
                      <w:lang w:val="en-US" w:eastAsia="zh-CN"/>
                    </w:rPr>
                    <w:t>cr</w:t>
                  </w:r>
                </w:p>
              </w:tc>
              <w:tc>
                <w:tcPr>
                  <w:tcW w:w="1132" w:type="dxa"/>
                  <w:vAlign w:val="center"/>
                </w:tcPr>
                <w:p w14:paraId="54FF02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BOD</w:t>
                  </w:r>
                  <w:r>
                    <w:rPr>
                      <w:rFonts w:hint="eastAsia" w:cs="Times New Roman"/>
                      <w:b/>
                      <w:bCs/>
                      <w:color w:val="auto"/>
                      <w:sz w:val="21"/>
                      <w:szCs w:val="21"/>
                      <w:vertAlign w:val="subscript"/>
                      <w:lang w:val="en-US" w:eastAsia="zh-CN"/>
                    </w:rPr>
                    <w:t>5</w:t>
                  </w:r>
                </w:p>
              </w:tc>
              <w:tc>
                <w:tcPr>
                  <w:tcW w:w="914" w:type="dxa"/>
                  <w:vAlign w:val="center"/>
                </w:tcPr>
                <w:p w14:paraId="43ADC7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SS</w:t>
                  </w:r>
                </w:p>
              </w:tc>
              <w:tc>
                <w:tcPr>
                  <w:tcW w:w="1199" w:type="dxa"/>
                  <w:vAlign w:val="center"/>
                </w:tcPr>
                <w:p w14:paraId="14E5B8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NH</w:t>
                  </w:r>
                  <w:r>
                    <w:rPr>
                      <w:rFonts w:hint="eastAsia" w:cs="Times New Roman"/>
                      <w:b/>
                      <w:bCs/>
                      <w:color w:val="auto"/>
                      <w:sz w:val="21"/>
                      <w:szCs w:val="21"/>
                      <w:vertAlign w:val="subscript"/>
                      <w:lang w:val="en-US" w:eastAsia="zh-CN"/>
                    </w:rPr>
                    <w:t>3</w:t>
                  </w:r>
                  <w:r>
                    <w:rPr>
                      <w:rFonts w:hint="eastAsia" w:cs="Times New Roman"/>
                      <w:b/>
                      <w:bCs/>
                      <w:color w:val="auto"/>
                      <w:sz w:val="21"/>
                      <w:szCs w:val="21"/>
                      <w:vertAlign w:val="baseline"/>
                      <w:lang w:val="en-US" w:eastAsia="zh-CN"/>
                    </w:rPr>
                    <w:t>-N</w:t>
                  </w:r>
                </w:p>
              </w:tc>
              <w:tc>
                <w:tcPr>
                  <w:tcW w:w="879" w:type="dxa"/>
                  <w:vAlign w:val="center"/>
                </w:tcPr>
                <w:p w14:paraId="45EBEE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TP</w:t>
                  </w:r>
                </w:p>
              </w:tc>
              <w:tc>
                <w:tcPr>
                  <w:tcW w:w="897" w:type="dxa"/>
                  <w:vAlign w:val="center"/>
                </w:tcPr>
                <w:p w14:paraId="7367F5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TN</w:t>
                  </w:r>
                </w:p>
              </w:tc>
              <w:tc>
                <w:tcPr>
                  <w:tcW w:w="1347" w:type="dxa"/>
                  <w:vAlign w:val="center"/>
                </w:tcPr>
                <w:p w14:paraId="4CBFBD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动植物油</w:t>
                  </w:r>
                </w:p>
              </w:tc>
            </w:tr>
            <w:tr w14:paraId="06A9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2" w:type="dxa"/>
                  <w:gridSpan w:val="2"/>
                  <w:vAlign w:val="center"/>
                </w:tcPr>
                <w:p w14:paraId="2BD7FD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生活污水</w:t>
                  </w:r>
                </w:p>
              </w:tc>
              <w:tc>
                <w:tcPr>
                  <w:tcW w:w="1545" w:type="dxa"/>
                  <w:vAlign w:val="center"/>
                </w:tcPr>
                <w:p w14:paraId="2A1F8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32.4</w:t>
                  </w:r>
                </w:p>
              </w:tc>
              <w:tc>
                <w:tcPr>
                  <w:tcW w:w="1132" w:type="dxa"/>
                  <w:vAlign w:val="center"/>
                </w:tcPr>
                <w:p w14:paraId="3FB158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6-9</w:t>
                  </w:r>
                </w:p>
              </w:tc>
              <w:tc>
                <w:tcPr>
                  <w:tcW w:w="1087" w:type="dxa"/>
                  <w:vAlign w:val="center"/>
                </w:tcPr>
                <w:p w14:paraId="24E705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250</w:t>
                  </w:r>
                </w:p>
              </w:tc>
              <w:tc>
                <w:tcPr>
                  <w:tcW w:w="1132" w:type="dxa"/>
                  <w:vAlign w:val="center"/>
                </w:tcPr>
                <w:p w14:paraId="5FA74A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150</w:t>
                  </w:r>
                </w:p>
              </w:tc>
              <w:tc>
                <w:tcPr>
                  <w:tcW w:w="914" w:type="dxa"/>
                  <w:vAlign w:val="center"/>
                </w:tcPr>
                <w:p w14:paraId="6695BA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w:t>
                  </w:r>
                </w:p>
              </w:tc>
              <w:tc>
                <w:tcPr>
                  <w:tcW w:w="1199" w:type="dxa"/>
                  <w:vAlign w:val="center"/>
                </w:tcPr>
                <w:p w14:paraId="12259A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25</w:t>
                  </w:r>
                </w:p>
              </w:tc>
              <w:tc>
                <w:tcPr>
                  <w:tcW w:w="879" w:type="dxa"/>
                  <w:vAlign w:val="center"/>
                </w:tcPr>
                <w:p w14:paraId="071AEA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897" w:type="dxa"/>
                  <w:vAlign w:val="center"/>
                </w:tcPr>
                <w:p w14:paraId="5063A0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35</w:t>
                  </w:r>
                </w:p>
              </w:tc>
              <w:tc>
                <w:tcPr>
                  <w:tcW w:w="1347" w:type="dxa"/>
                  <w:vAlign w:val="center"/>
                </w:tcPr>
                <w:p w14:paraId="6804140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30</w:t>
                  </w:r>
                </w:p>
              </w:tc>
            </w:tr>
            <w:tr w14:paraId="5D28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37" w:type="dxa"/>
                  <w:vMerge w:val="restart"/>
                  <w:vAlign w:val="center"/>
                </w:tcPr>
                <w:p w14:paraId="6E4052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综合</w:t>
                  </w:r>
                  <w:r>
                    <w:rPr>
                      <w:rFonts w:hint="eastAsia" w:ascii="Times New Roman" w:hAnsi="Times New Roman" w:cs="Times New Roman"/>
                      <w:color w:val="auto"/>
                      <w:sz w:val="21"/>
                      <w:szCs w:val="21"/>
                      <w:vertAlign w:val="baseline"/>
                      <w:lang w:val="en-US" w:eastAsia="zh-CN"/>
                    </w:rPr>
                    <w:t>废水</w:t>
                  </w:r>
                </w:p>
              </w:tc>
              <w:tc>
                <w:tcPr>
                  <w:tcW w:w="1565" w:type="dxa"/>
                  <w:vAlign w:val="center"/>
                </w:tcPr>
                <w:p w14:paraId="2907B800">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sz w:val="21"/>
                      <w:szCs w:val="21"/>
                      <w:lang w:val="en-US" w:eastAsia="zh-CN"/>
                    </w:rPr>
                  </w:pPr>
                  <w:r>
                    <w:rPr>
                      <w:rFonts w:hint="eastAsia" w:cs="Times New Roman"/>
                      <w:color w:val="auto"/>
                      <w:lang w:val="en-US" w:eastAsia="zh-CN"/>
                    </w:rPr>
                    <w:t>解冻废水</w:t>
                  </w:r>
                </w:p>
              </w:tc>
              <w:tc>
                <w:tcPr>
                  <w:tcW w:w="1545" w:type="dxa"/>
                  <w:vAlign w:val="center"/>
                </w:tcPr>
                <w:p w14:paraId="1A6AA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67.5</w:t>
                  </w:r>
                </w:p>
              </w:tc>
              <w:tc>
                <w:tcPr>
                  <w:tcW w:w="1132" w:type="dxa"/>
                  <w:vAlign w:val="center"/>
                </w:tcPr>
                <w:p w14:paraId="0941CDE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b w:val="0"/>
                      <w:bCs w:val="0"/>
                      <w:color w:val="auto"/>
                      <w:sz w:val="21"/>
                      <w:szCs w:val="21"/>
                      <w:vertAlign w:val="baseline"/>
                      <w:lang w:val="en-US" w:eastAsia="zh-CN"/>
                    </w:rPr>
                    <w:t>6.5-7.5</w:t>
                  </w:r>
                </w:p>
              </w:tc>
              <w:tc>
                <w:tcPr>
                  <w:tcW w:w="1087" w:type="dxa"/>
                  <w:shd w:val="clear" w:color="auto" w:fill="auto"/>
                  <w:vAlign w:val="center"/>
                </w:tcPr>
                <w:p w14:paraId="7CBB6EC6">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2000</w:t>
                  </w:r>
                </w:p>
              </w:tc>
              <w:tc>
                <w:tcPr>
                  <w:tcW w:w="1132" w:type="dxa"/>
                  <w:shd w:val="clear" w:color="auto" w:fill="auto"/>
                  <w:vAlign w:val="center"/>
                </w:tcPr>
                <w:p w14:paraId="77C4595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1000</w:t>
                  </w:r>
                </w:p>
              </w:tc>
              <w:tc>
                <w:tcPr>
                  <w:tcW w:w="914" w:type="dxa"/>
                  <w:shd w:val="clear" w:color="auto" w:fill="auto"/>
                  <w:vAlign w:val="center"/>
                </w:tcPr>
                <w:p w14:paraId="2A461954">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1000</w:t>
                  </w:r>
                </w:p>
              </w:tc>
              <w:tc>
                <w:tcPr>
                  <w:tcW w:w="1199" w:type="dxa"/>
                  <w:shd w:val="clear" w:color="auto" w:fill="auto"/>
                  <w:vAlign w:val="center"/>
                </w:tcPr>
                <w:p w14:paraId="4812E71C">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70</w:t>
                  </w:r>
                </w:p>
              </w:tc>
              <w:tc>
                <w:tcPr>
                  <w:tcW w:w="879" w:type="dxa"/>
                  <w:vAlign w:val="center"/>
                </w:tcPr>
                <w:p w14:paraId="551DC6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p>
              </w:tc>
              <w:tc>
                <w:tcPr>
                  <w:tcW w:w="897" w:type="dxa"/>
                  <w:vAlign w:val="center"/>
                </w:tcPr>
                <w:p w14:paraId="45BA1A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p>
              </w:tc>
              <w:tc>
                <w:tcPr>
                  <w:tcW w:w="1347" w:type="dxa"/>
                  <w:vAlign w:val="center"/>
                </w:tcPr>
                <w:p w14:paraId="4E38A1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b w:val="0"/>
                      <w:bCs w:val="0"/>
                      <w:color w:val="auto"/>
                      <w:sz w:val="21"/>
                      <w:szCs w:val="21"/>
                      <w:vertAlign w:val="baseline"/>
                      <w:lang w:val="en-US" w:eastAsia="zh-CN"/>
                    </w:rPr>
                    <w:t>100</w:t>
                  </w:r>
                </w:p>
              </w:tc>
            </w:tr>
            <w:tr w14:paraId="32E9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7" w:type="dxa"/>
                  <w:vMerge w:val="continue"/>
                  <w:vAlign w:val="center"/>
                </w:tcPr>
                <w:p w14:paraId="1B7203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eastAsia="zh-CN"/>
                    </w:rPr>
                  </w:pPr>
                </w:p>
              </w:tc>
              <w:tc>
                <w:tcPr>
                  <w:tcW w:w="1565" w:type="dxa"/>
                  <w:vAlign w:val="center"/>
                </w:tcPr>
                <w:p w14:paraId="5F6B0D8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sz w:val="21"/>
                      <w:szCs w:val="21"/>
                      <w:lang w:val="en-US" w:eastAsia="zh-CN"/>
                    </w:rPr>
                  </w:pPr>
                  <w:r>
                    <w:rPr>
                      <w:rFonts w:hint="eastAsia" w:cs="Times New Roman"/>
                      <w:color w:val="auto"/>
                      <w:lang w:val="en-US" w:eastAsia="zh-CN"/>
                    </w:rPr>
                    <w:t>原料清洗废水</w:t>
                  </w:r>
                </w:p>
              </w:tc>
              <w:tc>
                <w:tcPr>
                  <w:tcW w:w="1545" w:type="dxa"/>
                  <w:vAlign w:val="center"/>
                </w:tcPr>
                <w:p w14:paraId="0E1D4B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246.67</w:t>
                  </w:r>
                </w:p>
              </w:tc>
              <w:tc>
                <w:tcPr>
                  <w:tcW w:w="1132" w:type="dxa"/>
                  <w:vAlign w:val="center"/>
                </w:tcPr>
                <w:p w14:paraId="7CDF968F">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eastAsia="zh-CN"/>
                    </w:rPr>
                  </w:pPr>
                  <w:r>
                    <w:rPr>
                      <w:rFonts w:hint="eastAsia"/>
                      <w:b w:val="0"/>
                      <w:bCs w:val="0"/>
                      <w:color w:val="auto"/>
                      <w:sz w:val="21"/>
                      <w:szCs w:val="21"/>
                      <w:vertAlign w:val="baseline"/>
                      <w:lang w:val="en-US" w:eastAsia="zh-CN"/>
                    </w:rPr>
                    <w:t>6.5-7.5</w:t>
                  </w:r>
                </w:p>
              </w:tc>
              <w:tc>
                <w:tcPr>
                  <w:tcW w:w="1087" w:type="dxa"/>
                  <w:vAlign w:val="center"/>
                </w:tcPr>
                <w:p w14:paraId="0A4884C3">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b w:val="0"/>
                      <w:bCs w:val="0"/>
                      <w:color w:val="auto"/>
                      <w:sz w:val="21"/>
                      <w:szCs w:val="21"/>
                      <w:vertAlign w:val="baseline"/>
                      <w:lang w:val="en-US" w:eastAsia="zh-CN"/>
                    </w:rPr>
                    <w:t>1400</w:t>
                  </w:r>
                </w:p>
              </w:tc>
              <w:tc>
                <w:tcPr>
                  <w:tcW w:w="1132" w:type="dxa"/>
                  <w:vAlign w:val="center"/>
                </w:tcPr>
                <w:p w14:paraId="5206A45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eastAsia="zh-CN"/>
                    </w:rPr>
                  </w:pPr>
                  <w:r>
                    <w:rPr>
                      <w:rFonts w:hint="eastAsia"/>
                      <w:b w:val="0"/>
                      <w:bCs w:val="0"/>
                      <w:color w:val="auto"/>
                      <w:sz w:val="21"/>
                      <w:szCs w:val="21"/>
                      <w:vertAlign w:val="baseline"/>
                      <w:lang w:val="en-US" w:eastAsia="zh-CN"/>
                    </w:rPr>
                    <w:t>750</w:t>
                  </w:r>
                </w:p>
              </w:tc>
              <w:tc>
                <w:tcPr>
                  <w:tcW w:w="914" w:type="dxa"/>
                  <w:vAlign w:val="center"/>
                </w:tcPr>
                <w:p w14:paraId="0C253E09">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b w:val="0"/>
                      <w:bCs w:val="0"/>
                      <w:color w:val="auto"/>
                      <w:sz w:val="21"/>
                      <w:szCs w:val="21"/>
                      <w:vertAlign w:val="baseline"/>
                      <w:lang w:val="en-US" w:eastAsia="zh-CN"/>
                    </w:rPr>
                    <w:t>750</w:t>
                  </w:r>
                </w:p>
              </w:tc>
              <w:tc>
                <w:tcPr>
                  <w:tcW w:w="1199" w:type="dxa"/>
                  <w:vAlign w:val="center"/>
                </w:tcPr>
                <w:p w14:paraId="73614DB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eastAsia="zh-CN"/>
                    </w:rPr>
                  </w:pPr>
                  <w:r>
                    <w:rPr>
                      <w:rFonts w:hint="eastAsia"/>
                      <w:b w:val="0"/>
                      <w:bCs w:val="0"/>
                      <w:color w:val="auto"/>
                      <w:sz w:val="21"/>
                      <w:szCs w:val="21"/>
                      <w:vertAlign w:val="baseline"/>
                      <w:lang w:val="en-US" w:eastAsia="zh-CN"/>
                    </w:rPr>
                    <w:t>47.5</w:t>
                  </w:r>
                </w:p>
              </w:tc>
              <w:tc>
                <w:tcPr>
                  <w:tcW w:w="879" w:type="dxa"/>
                  <w:vAlign w:val="center"/>
                </w:tcPr>
                <w:p w14:paraId="2B85D3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897" w:type="dxa"/>
                  <w:vAlign w:val="center"/>
                </w:tcPr>
                <w:p w14:paraId="3993EE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p>
              </w:tc>
              <w:tc>
                <w:tcPr>
                  <w:tcW w:w="1347" w:type="dxa"/>
                  <w:shd w:val="clear" w:color="auto" w:fill="auto"/>
                  <w:vAlign w:val="center"/>
                </w:tcPr>
                <w:p w14:paraId="247AAFB6">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65</w:t>
                  </w:r>
                </w:p>
              </w:tc>
            </w:tr>
            <w:tr w14:paraId="169E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14:paraId="2B8B4A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c>
                <w:tcPr>
                  <w:tcW w:w="1565" w:type="dxa"/>
                  <w:vAlign w:val="center"/>
                </w:tcPr>
                <w:p w14:paraId="33C8260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sz w:val="21"/>
                      <w:szCs w:val="21"/>
                      <w:lang w:val="en-US" w:eastAsia="zh-CN"/>
                    </w:rPr>
                  </w:pPr>
                  <w:r>
                    <w:rPr>
                      <w:rFonts w:hint="eastAsia" w:cs="Times New Roman"/>
                      <w:color w:val="auto"/>
                      <w:lang w:val="en-US" w:eastAsia="zh-CN"/>
                    </w:rPr>
                    <w:t>焯水废水</w:t>
                  </w:r>
                </w:p>
              </w:tc>
              <w:tc>
                <w:tcPr>
                  <w:tcW w:w="1545" w:type="dxa"/>
                  <w:vAlign w:val="center"/>
                </w:tcPr>
                <w:p w14:paraId="6D09F2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18.27</w:t>
                  </w:r>
                </w:p>
              </w:tc>
              <w:tc>
                <w:tcPr>
                  <w:tcW w:w="1132" w:type="dxa"/>
                  <w:vAlign w:val="center"/>
                </w:tcPr>
                <w:p w14:paraId="428280D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b w:val="0"/>
                      <w:bCs w:val="0"/>
                      <w:color w:val="auto"/>
                      <w:sz w:val="21"/>
                      <w:szCs w:val="21"/>
                      <w:vertAlign w:val="baseline"/>
                      <w:lang w:val="en-US" w:eastAsia="zh-CN"/>
                    </w:rPr>
                    <w:t>6.5-7.5</w:t>
                  </w:r>
                </w:p>
              </w:tc>
              <w:tc>
                <w:tcPr>
                  <w:tcW w:w="1087" w:type="dxa"/>
                  <w:vAlign w:val="center"/>
                </w:tcPr>
                <w:p w14:paraId="65ADCF0A">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eastAsia="zh-CN"/>
                    </w:rPr>
                  </w:pPr>
                  <w:r>
                    <w:rPr>
                      <w:rFonts w:hint="eastAsia"/>
                      <w:b w:val="0"/>
                      <w:bCs w:val="0"/>
                      <w:color w:val="auto"/>
                      <w:sz w:val="21"/>
                      <w:szCs w:val="21"/>
                      <w:vertAlign w:val="baseline"/>
                      <w:lang w:val="en-US" w:eastAsia="zh-CN"/>
                    </w:rPr>
                    <w:t>1400</w:t>
                  </w:r>
                </w:p>
              </w:tc>
              <w:tc>
                <w:tcPr>
                  <w:tcW w:w="1132" w:type="dxa"/>
                  <w:vAlign w:val="center"/>
                </w:tcPr>
                <w:p w14:paraId="10F721E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eastAsia="zh-CN"/>
                    </w:rPr>
                  </w:pPr>
                  <w:r>
                    <w:rPr>
                      <w:rFonts w:hint="eastAsia"/>
                      <w:b w:val="0"/>
                      <w:bCs w:val="0"/>
                      <w:color w:val="auto"/>
                      <w:sz w:val="21"/>
                      <w:szCs w:val="21"/>
                      <w:vertAlign w:val="baseline"/>
                      <w:lang w:val="en-US" w:eastAsia="zh-CN"/>
                    </w:rPr>
                    <w:t>750</w:t>
                  </w:r>
                </w:p>
              </w:tc>
              <w:tc>
                <w:tcPr>
                  <w:tcW w:w="914" w:type="dxa"/>
                  <w:vAlign w:val="center"/>
                </w:tcPr>
                <w:p w14:paraId="6A4F96DB">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eastAsia="zh-CN"/>
                    </w:rPr>
                  </w:pPr>
                  <w:r>
                    <w:rPr>
                      <w:rFonts w:hint="eastAsia"/>
                      <w:b w:val="0"/>
                      <w:bCs w:val="0"/>
                      <w:color w:val="auto"/>
                      <w:sz w:val="21"/>
                      <w:szCs w:val="21"/>
                      <w:vertAlign w:val="baseline"/>
                      <w:lang w:val="en-US" w:eastAsia="zh-CN"/>
                    </w:rPr>
                    <w:t>750</w:t>
                  </w:r>
                </w:p>
              </w:tc>
              <w:tc>
                <w:tcPr>
                  <w:tcW w:w="1199" w:type="dxa"/>
                  <w:vAlign w:val="center"/>
                </w:tcPr>
                <w:p w14:paraId="70605F37">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eastAsia="zh-CN"/>
                    </w:rPr>
                  </w:pPr>
                  <w:r>
                    <w:rPr>
                      <w:rFonts w:hint="eastAsia"/>
                      <w:b w:val="0"/>
                      <w:bCs w:val="0"/>
                      <w:color w:val="auto"/>
                      <w:sz w:val="21"/>
                      <w:szCs w:val="21"/>
                      <w:vertAlign w:val="baseline"/>
                      <w:lang w:val="en-US" w:eastAsia="zh-CN"/>
                    </w:rPr>
                    <w:t>47.5</w:t>
                  </w:r>
                </w:p>
              </w:tc>
              <w:tc>
                <w:tcPr>
                  <w:tcW w:w="879" w:type="dxa"/>
                  <w:vAlign w:val="center"/>
                </w:tcPr>
                <w:p w14:paraId="5ECCBF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897" w:type="dxa"/>
                  <w:vAlign w:val="center"/>
                </w:tcPr>
                <w:p w14:paraId="638E75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1347" w:type="dxa"/>
                  <w:shd w:val="clear" w:color="auto" w:fill="auto"/>
                  <w:vAlign w:val="center"/>
                </w:tcPr>
                <w:p w14:paraId="3D5095D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65</w:t>
                  </w:r>
                </w:p>
              </w:tc>
            </w:tr>
            <w:tr w14:paraId="1157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14:paraId="561945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p>
              </w:tc>
              <w:tc>
                <w:tcPr>
                  <w:tcW w:w="1565" w:type="dxa"/>
                  <w:vAlign w:val="center"/>
                </w:tcPr>
                <w:p w14:paraId="57492D9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sz w:val="21"/>
                      <w:szCs w:val="21"/>
                      <w:lang w:val="en-US" w:eastAsia="zh-CN"/>
                    </w:rPr>
                  </w:pPr>
                  <w:r>
                    <w:rPr>
                      <w:rFonts w:hint="eastAsia"/>
                      <w:b w:val="0"/>
                      <w:bCs w:val="0"/>
                      <w:color w:val="auto"/>
                      <w:lang w:val="en-US" w:eastAsia="zh-CN"/>
                    </w:rPr>
                    <w:t>设备清洗废水</w:t>
                  </w:r>
                </w:p>
              </w:tc>
              <w:tc>
                <w:tcPr>
                  <w:tcW w:w="1545" w:type="dxa"/>
                  <w:vAlign w:val="center"/>
                </w:tcPr>
                <w:p w14:paraId="3D5A5F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32</w:t>
                  </w:r>
                </w:p>
              </w:tc>
              <w:tc>
                <w:tcPr>
                  <w:tcW w:w="1132" w:type="dxa"/>
                  <w:vAlign w:val="center"/>
                </w:tcPr>
                <w:p w14:paraId="33347E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6-9</w:t>
                  </w:r>
                </w:p>
              </w:tc>
              <w:tc>
                <w:tcPr>
                  <w:tcW w:w="1087" w:type="dxa"/>
                  <w:vAlign w:val="center"/>
                </w:tcPr>
                <w:p w14:paraId="1F161C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500</w:t>
                  </w:r>
                </w:p>
              </w:tc>
              <w:tc>
                <w:tcPr>
                  <w:tcW w:w="1132" w:type="dxa"/>
                  <w:vAlign w:val="center"/>
                </w:tcPr>
                <w:p w14:paraId="741D35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300</w:t>
                  </w:r>
                </w:p>
              </w:tc>
              <w:tc>
                <w:tcPr>
                  <w:tcW w:w="914" w:type="dxa"/>
                  <w:vAlign w:val="center"/>
                </w:tcPr>
                <w:p w14:paraId="373396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300</w:t>
                  </w:r>
                </w:p>
              </w:tc>
              <w:tc>
                <w:tcPr>
                  <w:tcW w:w="1199" w:type="dxa"/>
                  <w:vAlign w:val="center"/>
                </w:tcPr>
                <w:p w14:paraId="7CF8C3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40</w:t>
                  </w:r>
                </w:p>
              </w:tc>
              <w:tc>
                <w:tcPr>
                  <w:tcW w:w="879" w:type="dxa"/>
                  <w:vAlign w:val="center"/>
                </w:tcPr>
                <w:p w14:paraId="622A54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p>
              </w:tc>
              <w:tc>
                <w:tcPr>
                  <w:tcW w:w="897" w:type="dxa"/>
                  <w:vAlign w:val="center"/>
                </w:tcPr>
                <w:p w14:paraId="51F94F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1347" w:type="dxa"/>
                  <w:vAlign w:val="center"/>
                </w:tcPr>
                <w:p w14:paraId="6DDB68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r w14:paraId="10A3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14:paraId="630FB5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c>
                <w:tcPr>
                  <w:tcW w:w="1565" w:type="dxa"/>
                  <w:vAlign w:val="center"/>
                </w:tcPr>
                <w:p w14:paraId="0F49481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cs="Times New Roman"/>
                      <w:color w:val="auto"/>
                      <w:sz w:val="21"/>
                      <w:szCs w:val="21"/>
                      <w:lang w:val="en-US" w:eastAsia="zh-CN"/>
                    </w:rPr>
                  </w:pPr>
                  <w:r>
                    <w:rPr>
                      <w:rFonts w:hint="eastAsia" w:cs="Times New Roman"/>
                      <w:color w:val="auto"/>
                      <w:lang w:val="en-US" w:eastAsia="zh-CN"/>
                    </w:rPr>
                    <w:t>地面清洗废水</w:t>
                  </w:r>
                </w:p>
              </w:tc>
              <w:tc>
                <w:tcPr>
                  <w:tcW w:w="1545" w:type="dxa"/>
                  <w:vAlign w:val="center"/>
                </w:tcPr>
                <w:p w14:paraId="412E92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50.07</w:t>
                  </w:r>
                </w:p>
              </w:tc>
              <w:tc>
                <w:tcPr>
                  <w:tcW w:w="1132" w:type="dxa"/>
                  <w:vAlign w:val="center"/>
                </w:tcPr>
                <w:p w14:paraId="7B41906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6-9</w:t>
                  </w:r>
                </w:p>
              </w:tc>
              <w:tc>
                <w:tcPr>
                  <w:tcW w:w="1087" w:type="dxa"/>
                  <w:shd w:val="clear" w:color="auto" w:fill="auto"/>
                  <w:vAlign w:val="center"/>
                </w:tcPr>
                <w:p w14:paraId="246A3B9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200</w:t>
                  </w:r>
                </w:p>
              </w:tc>
              <w:tc>
                <w:tcPr>
                  <w:tcW w:w="1132" w:type="dxa"/>
                  <w:shd w:val="clear" w:color="auto" w:fill="auto"/>
                  <w:vAlign w:val="center"/>
                </w:tcPr>
                <w:p w14:paraId="1013951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150</w:t>
                  </w:r>
                </w:p>
              </w:tc>
              <w:tc>
                <w:tcPr>
                  <w:tcW w:w="914" w:type="dxa"/>
                  <w:shd w:val="clear" w:color="auto" w:fill="auto"/>
                  <w:vAlign w:val="center"/>
                </w:tcPr>
                <w:p w14:paraId="4B2025E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300</w:t>
                  </w:r>
                </w:p>
              </w:tc>
              <w:tc>
                <w:tcPr>
                  <w:tcW w:w="1199" w:type="dxa"/>
                  <w:shd w:val="clear" w:color="auto" w:fill="auto"/>
                  <w:vAlign w:val="center"/>
                </w:tcPr>
                <w:p w14:paraId="5B2393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w:t>
                  </w:r>
                </w:p>
              </w:tc>
              <w:tc>
                <w:tcPr>
                  <w:tcW w:w="879" w:type="dxa"/>
                  <w:vAlign w:val="center"/>
                </w:tcPr>
                <w:p w14:paraId="4B644D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897" w:type="dxa"/>
                  <w:vAlign w:val="center"/>
                </w:tcPr>
                <w:p w14:paraId="0E53B5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1347" w:type="dxa"/>
                  <w:vAlign w:val="center"/>
                </w:tcPr>
                <w:p w14:paraId="3AE259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r>
            <w:tr w14:paraId="71E1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14:paraId="13523B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p>
              </w:tc>
              <w:tc>
                <w:tcPr>
                  <w:tcW w:w="1565" w:type="dxa"/>
                  <w:vAlign w:val="center"/>
                </w:tcPr>
                <w:p w14:paraId="4C5A875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sz w:val="21"/>
                      <w:szCs w:val="21"/>
                      <w:lang w:val="en-US" w:eastAsia="zh-CN"/>
                    </w:rPr>
                  </w:pPr>
                  <w:r>
                    <w:rPr>
                      <w:rFonts w:hint="eastAsia" w:cs="Times New Roman"/>
                      <w:color w:val="auto"/>
                      <w:lang w:val="en-US" w:eastAsia="zh-CN"/>
                    </w:rPr>
                    <w:t>锅炉废水</w:t>
                  </w:r>
                </w:p>
              </w:tc>
              <w:tc>
                <w:tcPr>
                  <w:tcW w:w="1545" w:type="dxa"/>
                  <w:vAlign w:val="center"/>
                </w:tcPr>
                <w:p w14:paraId="03EE26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9.11</w:t>
                  </w:r>
                </w:p>
              </w:tc>
              <w:tc>
                <w:tcPr>
                  <w:tcW w:w="1132" w:type="dxa"/>
                  <w:vAlign w:val="center"/>
                </w:tcPr>
                <w:p w14:paraId="2D5998C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6-9</w:t>
                  </w:r>
                </w:p>
              </w:tc>
              <w:tc>
                <w:tcPr>
                  <w:tcW w:w="1087" w:type="dxa"/>
                  <w:vAlign w:val="center"/>
                </w:tcPr>
                <w:p w14:paraId="73C6C3F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80</w:t>
                  </w:r>
                </w:p>
              </w:tc>
              <w:tc>
                <w:tcPr>
                  <w:tcW w:w="1132" w:type="dxa"/>
                  <w:vAlign w:val="center"/>
                </w:tcPr>
                <w:p w14:paraId="5F9A35C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vertAlign w:val="baseline"/>
                      <w:lang w:val="en-US" w:eastAsia="zh-CN"/>
                    </w:rPr>
                  </w:pPr>
                </w:p>
              </w:tc>
              <w:tc>
                <w:tcPr>
                  <w:tcW w:w="914" w:type="dxa"/>
                  <w:vAlign w:val="center"/>
                </w:tcPr>
                <w:p w14:paraId="33693CD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1199" w:type="dxa"/>
                  <w:vAlign w:val="center"/>
                </w:tcPr>
                <w:p w14:paraId="1B388922">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vertAlign w:val="baseline"/>
                      <w:lang w:val="en-US" w:eastAsia="zh-CN"/>
                    </w:rPr>
                  </w:pPr>
                </w:p>
              </w:tc>
              <w:tc>
                <w:tcPr>
                  <w:tcW w:w="879" w:type="dxa"/>
                  <w:vAlign w:val="center"/>
                </w:tcPr>
                <w:p w14:paraId="24D82B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897" w:type="dxa"/>
                  <w:vAlign w:val="center"/>
                </w:tcPr>
                <w:p w14:paraId="00D544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1347" w:type="dxa"/>
                  <w:vAlign w:val="center"/>
                </w:tcPr>
                <w:p w14:paraId="399EB8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r>
            <w:tr w14:paraId="0E09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14:paraId="5638A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p>
              </w:tc>
              <w:tc>
                <w:tcPr>
                  <w:tcW w:w="1565" w:type="dxa"/>
                  <w:vAlign w:val="center"/>
                </w:tcPr>
                <w:p w14:paraId="4EC71ED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ascii="Times New Roman" w:hAnsi="Times New Roman" w:eastAsia="宋体" w:cs="Times New Roman"/>
                      <w:b w:val="0"/>
                      <w:bCs w:val="0"/>
                      <w:color w:val="auto"/>
                      <w:sz w:val="21"/>
                      <w:szCs w:val="21"/>
                      <w:highlight w:val="none"/>
                      <w:lang w:val="en-US" w:eastAsia="zh-CN"/>
                    </w:rPr>
                    <w:t>冷库除霜</w:t>
                  </w:r>
                  <w:r>
                    <w:rPr>
                      <w:rFonts w:hint="eastAsia"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水</w:t>
                  </w:r>
                </w:p>
              </w:tc>
              <w:tc>
                <w:tcPr>
                  <w:tcW w:w="1545" w:type="dxa"/>
                  <w:vAlign w:val="center"/>
                </w:tcPr>
                <w:p w14:paraId="1E004F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0.133</w:t>
                  </w:r>
                </w:p>
              </w:tc>
              <w:tc>
                <w:tcPr>
                  <w:tcW w:w="1132" w:type="dxa"/>
                  <w:vAlign w:val="center"/>
                </w:tcPr>
                <w:p w14:paraId="45DE34E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6-9</w:t>
                  </w:r>
                </w:p>
              </w:tc>
              <w:tc>
                <w:tcPr>
                  <w:tcW w:w="1087" w:type="dxa"/>
                  <w:shd w:val="clear" w:color="auto" w:fill="auto"/>
                  <w:vAlign w:val="center"/>
                </w:tcPr>
                <w:p w14:paraId="0EA0236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200</w:t>
                  </w:r>
                </w:p>
              </w:tc>
              <w:tc>
                <w:tcPr>
                  <w:tcW w:w="1132" w:type="dxa"/>
                  <w:shd w:val="clear" w:color="auto" w:fill="auto"/>
                  <w:vAlign w:val="center"/>
                </w:tcPr>
                <w:p w14:paraId="258C53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150</w:t>
                  </w:r>
                </w:p>
              </w:tc>
              <w:tc>
                <w:tcPr>
                  <w:tcW w:w="914" w:type="dxa"/>
                  <w:shd w:val="clear" w:color="auto" w:fill="auto"/>
                  <w:vAlign w:val="center"/>
                </w:tcPr>
                <w:p w14:paraId="013CB8F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200</w:t>
                  </w:r>
                </w:p>
              </w:tc>
              <w:tc>
                <w:tcPr>
                  <w:tcW w:w="1199" w:type="dxa"/>
                  <w:shd w:val="clear" w:color="auto" w:fill="auto"/>
                  <w:vAlign w:val="center"/>
                </w:tcPr>
                <w:p w14:paraId="184AED3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w:t>
                  </w:r>
                </w:p>
              </w:tc>
              <w:tc>
                <w:tcPr>
                  <w:tcW w:w="879" w:type="dxa"/>
                  <w:vAlign w:val="center"/>
                </w:tcPr>
                <w:p w14:paraId="606CCD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897" w:type="dxa"/>
                  <w:vAlign w:val="center"/>
                </w:tcPr>
                <w:p w14:paraId="3B755A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1347" w:type="dxa"/>
                  <w:vAlign w:val="center"/>
                </w:tcPr>
                <w:p w14:paraId="257CC9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r>
            <w:tr w14:paraId="00A8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2" w:type="dxa"/>
                  <w:gridSpan w:val="2"/>
                  <w:vAlign w:val="center"/>
                </w:tcPr>
                <w:p w14:paraId="60BF501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纯水制备浓水</w:t>
                  </w:r>
                </w:p>
              </w:tc>
              <w:tc>
                <w:tcPr>
                  <w:tcW w:w="1545" w:type="dxa"/>
                  <w:shd w:val="clear" w:color="auto" w:fill="auto"/>
                  <w:vAlign w:val="center"/>
                </w:tcPr>
                <w:p w14:paraId="1A208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172.78</w:t>
                  </w:r>
                </w:p>
              </w:tc>
              <w:tc>
                <w:tcPr>
                  <w:tcW w:w="1132" w:type="dxa"/>
                  <w:shd w:val="clear" w:color="auto" w:fill="auto"/>
                  <w:vAlign w:val="center"/>
                </w:tcPr>
                <w:p w14:paraId="4B485A5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6-9</w:t>
                  </w:r>
                </w:p>
              </w:tc>
              <w:tc>
                <w:tcPr>
                  <w:tcW w:w="1087" w:type="dxa"/>
                  <w:shd w:val="clear" w:color="auto" w:fill="auto"/>
                  <w:vAlign w:val="center"/>
                </w:tcPr>
                <w:p w14:paraId="6CF102D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50</w:t>
                  </w:r>
                </w:p>
              </w:tc>
              <w:tc>
                <w:tcPr>
                  <w:tcW w:w="1132" w:type="dxa"/>
                  <w:shd w:val="clear" w:color="auto" w:fill="auto"/>
                  <w:vAlign w:val="center"/>
                </w:tcPr>
                <w:p w14:paraId="2148525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50</w:t>
                  </w:r>
                </w:p>
              </w:tc>
              <w:tc>
                <w:tcPr>
                  <w:tcW w:w="914" w:type="dxa"/>
                  <w:shd w:val="clear" w:color="auto" w:fill="auto"/>
                  <w:vAlign w:val="center"/>
                </w:tcPr>
                <w:p w14:paraId="667D476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60</w:t>
                  </w:r>
                </w:p>
              </w:tc>
              <w:tc>
                <w:tcPr>
                  <w:tcW w:w="1199" w:type="dxa"/>
                  <w:vAlign w:val="center"/>
                </w:tcPr>
                <w:p w14:paraId="4A4C335D">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vertAlign w:val="baseline"/>
                      <w:lang w:val="en-US" w:eastAsia="zh-CN"/>
                    </w:rPr>
                  </w:pPr>
                </w:p>
              </w:tc>
              <w:tc>
                <w:tcPr>
                  <w:tcW w:w="879" w:type="dxa"/>
                  <w:vAlign w:val="center"/>
                </w:tcPr>
                <w:p w14:paraId="62B497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897" w:type="dxa"/>
                  <w:vAlign w:val="center"/>
                </w:tcPr>
                <w:p w14:paraId="2EA72C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1347" w:type="dxa"/>
                  <w:vAlign w:val="center"/>
                </w:tcPr>
                <w:p w14:paraId="0D4B46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r>
            <w:tr w14:paraId="407E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2002" w:type="dxa"/>
                  <w:gridSpan w:val="2"/>
                  <w:vAlign w:val="center"/>
                </w:tcPr>
                <w:p w14:paraId="6789D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合计</w:t>
                  </w:r>
                </w:p>
              </w:tc>
              <w:tc>
                <w:tcPr>
                  <w:tcW w:w="1545" w:type="dxa"/>
                  <w:vAlign w:val="center"/>
                </w:tcPr>
                <w:p w14:paraId="64089A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ascii="Times New Roman" w:hAnsi="Times New Roman" w:eastAsia="宋体" w:cs="Times New Roman"/>
                      <w:color w:val="auto"/>
                      <w:lang w:val="en-US" w:eastAsia="zh-CN"/>
                    </w:rPr>
                    <w:t>628.933</w:t>
                  </w:r>
                </w:p>
              </w:tc>
              <w:tc>
                <w:tcPr>
                  <w:tcW w:w="1132" w:type="dxa"/>
                  <w:vAlign w:val="center"/>
                </w:tcPr>
                <w:p w14:paraId="4E16DED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vertAlign w:val="baseline"/>
                      <w:lang w:val="en-US" w:eastAsia="zh-CN"/>
                    </w:rPr>
                  </w:pPr>
                </w:p>
              </w:tc>
              <w:tc>
                <w:tcPr>
                  <w:tcW w:w="1087" w:type="dxa"/>
                  <w:vAlign w:val="center"/>
                </w:tcPr>
                <w:p w14:paraId="501045B2">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vertAlign w:val="baseline"/>
                      <w:lang w:val="en-US" w:eastAsia="zh-CN"/>
                    </w:rPr>
                  </w:pPr>
                </w:p>
              </w:tc>
              <w:tc>
                <w:tcPr>
                  <w:tcW w:w="1132" w:type="dxa"/>
                  <w:vAlign w:val="center"/>
                </w:tcPr>
                <w:p w14:paraId="54D85F86">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vertAlign w:val="baseline"/>
                      <w:lang w:val="en-US" w:eastAsia="zh-CN"/>
                    </w:rPr>
                  </w:pPr>
                </w:p>
              </w:tc>
              <w:tc>
                <w:tcPr>
                  <w:tcW w:w="914" w:type="dxa"/>
                  <w:vAlign w:val="center"/>
                </w:tcPr>
                <w:p w14:paraId="25471C96">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vertAlign w:val="baseline"/>
                      <w:lang w:val="en-US" w:eastAsia="zh-CN"/>
                    </w:rPr>
                  </w:pPr>
                </w:p>
              </w:tc>
              <w:tc>
                <w:tcPr>
                  <w:tcW w:w="1199" w:type="dxa"/>
                  <w:vAlign w:val="center"/>
                </w:tcPr>
                <w:p w14:paraId="73C12A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879" w:type="dxa"/>
                  <w:vAlign w:val="center"/>
                </w:tcPr>
                <w:p w14:paraId="6E4C7C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897" w:type="dxa"/>
                  <w:vAlign w:val="center"/>
                </w:tcPr>
                <w:p w14:paraId="5B7D38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c>
                <w:tcPr>
                  <w:tcW w:w="1347" w:type="dxa"/>
                  <w:vAlign w:val="center"/>
                </w:tcPr>
                <w:p w14:paraId="5523D0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vertAlign w:val="baseline"/>
                      <w:lang w:eastAsia="zh-CN"/>
                    </w:rPr>
                  </w:pPr>
                </w:p>
              </w:tc>
            </w:tr>
            <w:tr w14:paraId="3CBD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2134" w:type="dxa"/>
                  <w:gridSpan w:val="11"/>
                  <w:vAlign w:val="center"/>
                </w:tcPr>
                <w:p w14:paraId="688EC31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val="en-US" w:eastAsia="zh-CN"/>
                    </w:rPr>
                    <w:t>注：</w:t>
                  </w:r>
                  <w:r>
                    <w:rPr>
                      <w:rFonts w:hint="default" w:cs="Times New Roman"/>
                      <w:color w:val="auto"/>
                      <w:sz w:val="21"/>
                      <w:szCs w:val="21"/>
                      <w:vertAlign w:val="baseline"/>
                      <w:lang w:val="en-US" w:eastAsia="zh-CN"/>
                    </w:rPr>
                    <w:t>纯水制备浓水部分18776.2</w:t>
                  </w:r>
                  <w:r>
                    <w:rPr>
                      <w:rFonts w:hint="default"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3</w:t>
                  </w:r>
                  <w:r>
                    <w:rPr>
                      <w:rFonts w:hint="default" w:cs="Times New Roman"/>
                      <w:b w:val="0"/>
                      <w:bCs w:val="0"/>
                      <w:color w:val="auto"/>
                      <w:sz w:val="21"/>
                      <w:szCs w:val="21"/>
                      <w:vertAlign w:val="baseline"/>
                      <w:lang w:val="en-US" w:eastAsia="zh-CN"/>
                    </w:rPr>
                    <w:t>/a</w:t>
                  </w:r>
                  <w:r>
                    <w:rPr>
                      <w:rFonts w:hint="default" w:cs="Times New Roman"/>
                      <w:color w:val="auto"/>
                      <w:sz w:val="21"/>
                      <w:szCs w:val="21"/>
                      <w:vertAlign w:val="baseline"/>
                      <w:lang w:val="en-US" w:eastAsia="zh-CN"/>
                    </w:rPr>
                    <w:t>（62.59</w:t>
                  </w:r>
                  <w:r>
                    <w:rPr>
                      <w:rFonts w:hint="eastAsia"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3</w:t>
                  </w:r>
                  <w:r>
                    <w:rPr>
                      <w:rFonts w:hint="default" w:cs="Times New Roman"/>
                      <w:color w:val="auto"/>
                      <w:sz w:val="21"/>
                      <w:szCs w:val="21"/>
                      <w:vertAlign w:val="baseline"/>
                      <w:lang w:val="en-US" w:eastAsia="zh-CN"/>
                    </w:rPr>
                    <w:t>/d）回</w:t>
                  </w:r>
                  <w:r>
                    <w:rPr>
                      <w:rFonts w:hint="eastAsia" w:cs="Times New Roman"/>
                      <w:color w:val="auto"/>
                      <w:sz w:val="21"/>
                      <w:szCs w:val="21"/>
                      <w:vertAlign w:val="baseline"/>
                      <w:lang w:val="en-US" w:eastAsia="zh-CN"/>
                    </w:rPr>
                    <w:t>用于地面清洗用水</w:t>
                  </w:r>
                  <w:r>
                    <w:rPr>
                      <w:rFonts w:hint="default" w:cs="Times New Roman"/>
                      <w:color w:val="auto"/>
                      <w:sz w:val="21"/>
                      <w:szCs w:val="21"/>
                      <w:vertAlign w:val="baseline"/>
                      <w:lang w:val="en-US" w:eastAsia="zh-CN"/>
                    </w:rPr>
                    <w:t>，其他部分</w:t>
                  </w:r>
                  <w:r>
                    <w:rPr>
                      <w:rFonts w:hint="eastAsia" w:cs="Times New Roman"/>
                      <w:color w:val="auto"/>
                      <w:sz w:val="21"/>
                      <w:szCs w:val="21"/>
                      <w:vertAlign w:val="baseline"/>
                      <w:lang w:val="en-US" w:eastAsia="zh-CN"/>
                    </w:rPr>
                    <w:t>51835.18</w:t>
                  </w:r>
                  <w:r>
                    <w:rPr>
                      <w:rFonts w:hint="eastAsia"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3</w:t>
                  </w:r>
                  <w:r>
                    <w:rPr>
                      <w:rFonts w:hint="default" w:cs="Times New Roman"/>
                      <w:color w:val="auto"/>
                      <w:sz w:val="21"/>
                      <w:szCs w:val="21"/>
                      <w:vertAlign w:val="baseline"/>
                      <w:lang w:val="en-US" w:eastAsia="zh-CN"/>
                    </w:rPr>
                    <w:t>/a（</w:t>
                  </w:r>
                  <w:r>
                    <w:rPr>
                      <w:rFonts w:hint="eastAsia" w:cs="Times New Roman"/>
                      <w:color w:val="auto"/>
                      <w:sz w:val="21"/>
                      <w:szCs w:val="21"/>
                      <w:vertAlign w:val="baseline"/>
                      <w:lang w:val="en-US" w:eastAsia="zh-CN"/>
                    </w:rPr>
                    <w:t>172.78</w:t>
                  </w:r>
                  <w:r>
                    <w:rPr>
                      <w:rFonts w:hint="eastAsia"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3</w:t>
                  </w:r>
                  <w:r>
                    <w:rPr>
                      <w:rFonts w:hint="default" w:cs="Times New Roman"/>
                      <w:color w:val="auto"/>
                      <w:sz w:val="21"/>
                      <w:szCs w:val="21"/>
                      <w:vertAlign w:val="baseline"/>
                      <w:lang w:val="en-US" w:eastAsia="zh-CN"/>
                    </w:rPr>
                    <w:t>/d）</w:t>
                  </w:r>
                  <w:r>
                    <w:rPr>
                      <w:rFonts w:hint="eastAsia" w:cs="Times New Roman"/>
                      <w:color w:val="auto"/>
                      <w:sz w:val="21"/>
                      <w:szCs w:val="21"/>
                      <w:vertAlign w:val="baseline"/>
                      <w:lang w:val="en-US" w:eastAsia="zh-CN"/>
                    </w:rPr>
                    <w:t>不经过污水处理站处理直接</w:t>
                  </w:r>
                  <w:r>
                    <w:rPr>
                      <w:rFonts w:hint="default" w:cs="Times New Roman"/>
                      <w:color w:val="auto"/>
                      <w:sz w:val="21"/>
                      <w:szCs w:val="21"/>
                      <w:vertAlign w:val="baseline"/>
                      <w:lang w:val="en-US" w:eastAsia="zh-CN"/>
                    </w:rPr>
                    <w:t>和</w:t>
                  </w:r>
                  <w:r>
                    <w:rPr>
                      <w:rFonts w:hint="eastAsia" w:cs="Times New Roman"/>
                      <w:color w:val="auto"/>
                      <w:sz w:val="21"/>
                      <w:szCs w:val="21"/>
                      <w:vertAlign w:val="baseline"/>
                      <w:lang w:val="en-US" w:eastAsia="zh-CN"/>
                    </w:rPr>
                    <w:t>污水处理站</w:t>
                  </w:r>
                  <w:r>
                    <w:rPr>
                      <w:rFonts w:hint="default" w:cs="Times New Roman"/>
                      <w:color w:val="auto"/>
                      <w:sz w:val="21"/>
                      <w:szCs w:val="21"/>
                      <w:vertAlign w:val="baseline"/>
                      <w:lang w:val="en-US" w:eastAsia="zh-CN"/>
                    </w:rPr>
                    <w:t>处理过的废水一起经总排口排入污水管网。</w:t>
                  </w:r>
                </w:p>
              </w:tc>
            </w:tr>
          </w:tbl>
          <w:p w14:paraId="19937A08">
            <w:pPr>
              <w:pStyle w:val="12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表4-19  本项目废水污染源源强核算结果及相关参数一览表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91"/>
              <w:gridCol w:w="1443"/>
              <w:gridCol w:w="1534"/>
              <w:gridCol w:w="831"/>
              <w:gridCol w:w="1101"/>
              <w:gridCol w:w="1101"/>
              <w:gridCol w:w="1119"/>
              <w:gridCol w:w="1156"/>
              <w:gridCol w:w="1030"/>
              <w:gridCol w:w="1150"/>
              <w:gridCol w:w="1288"/>
            </w:tblGrid>
            <w:tr w14:paraId="29546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24" w:hRule="atLeast"/>
                <w:jc w:val="center"/>
              </w:trPr>
              <w:tc>
                <w:tcPr>
                  <w:tcW w:w="1834" w:type="dxa"/>
                  <w:gridSpan w:val="2"/>
                  <w:tcBorders>
                    <w:tl2br w:val="nil"/>
                    <w:tr2bl w:val="nil"/>
                  </w:tcBorders>
                  <w:noWrap w:val="0"/>
                  <w:vAlign w:val="center"/>
                </w:tcPr>
                <w:p w14:paraId="1C4C9A4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b/>
                      <w:bCs/>
                      <w:i w:val="0"/>
                      <w:color w:val="auto"/>
                      <w:sz w:val="21"/>
                      <w:szCs w:val="21"/>
                      <w:highlight w:val="none"/>
                      <w:u w:val="none"/>
                      <w:lang w:val="en-US" w:eastAsia="zh-CN"/>
                    </w:rPr>
                  </w:pPr>
                  <w:r>
                    <w:rPr>
                      <w:rFonts w:hint="eastAsia" w:cs="Times New Roman"/>
                      <w:b/>
                      <w:bCs/>
                      <w:i w:val="0"/>
                      <w:color w:val="auto"/>
                      <w:sz w:val="21"/>
                      <w:szCs w:val="21"/>
                      <w:highlight w:val="none"/>
                      <w:u w:val="none"/>
                      <w:lang w:val="en-US" w:eastAsia="zh-CN"/>
                    </w:rPr>
                    <w:t>废水种类</w:t>
                  </w:r>
                </w:p>
              </w:tc>
              <w:tc>
                <w:tcPr>
                  <w:tcW w:w="1534" w:type="dxa"/>
                  <w:tcBorders>
                    <w:tl2br w:val="nil"/>
                    <w:tr2bl w:val="nil"/>
                  </w:tcBorders>
                  <w:noWrap w:val="0"/>
                  <w:vAlign w:val="center"/>
                </w:tcPr>
                <w:p w14:paraId="702FAA9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主要项目</w:t>
                  </w:r>
                </w:p>
              </w:tc>
              <w:tc>
                <w:tcPr>
                  <w:tcW w:w="831" w:type="dxa"/>
                  <w:tcBorders>
                    <w:tl2br w:val="nil"/>
                    <w:tr2bl w:val="nil"/>
                  </w:tcBorders>
                  <w:noWrap w:val="0"/>
                  <w:vAlign w:val="center"/>
                </w:tcPr>
                <w:p w14:paraId="7E069E7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pH</w:t>
                  </w:r>
                </w:p>
              </w:tc>
              <w:tc>
                <w:tcPr>
                  <w:tcW w:w="1101" w:type="dxa"/>
                  <w:tcBorders>
                    <w:tl2br w:val="nil"/>
                    <w:tr2bl w:val="nil"/>
                  </w:tcBorders>
                  <w:noWrap w:val="0"/>
                  <w:vAlign w:val="center"/>
                </w:tcPr>
                <w:p w14:paraId="46DCA31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COD</w:t>
                  </w:r>
                  <w:r>
                    <w:rPr>
                      <w:rFonts w:hint="eastAsia" w:ascii="Times New Roman" w:hAnsi="Times New Roman" w:eastAsia="宋体" w:cs="Times New Roman"/>
                      <w:b/>
                      <w:bCs/>
                      <w:i w:val="0"/>
                      <w:color w:val="auto"/>
                      <w:kern w:val="0"/>
                      <w:sz w:val="21"/>
                      <w:szCs w:val="21"/>
                      <w:highlight w:val="none"/>
                      <w:u w:val="none"/>
                      <w:vertAlign w:val="subscript"/>
                      <w:lang w:val="en-US" w:eastAsia="zh-CN" w:bidi="ar"/>
                    </w:rPr>
                    <w:t>C</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r</w:t>
                  </w:r>
                </w:p>
              </w:tc>
              <w:tc>
                <w:tcPr>
                  <w:tcW w:w="1101" w:type="dxa"/>
                  <w:tcBorders>
                    <w:tl2br w:val="nil"/>
                    <w:tr2bl w:val="nil"/>
                  </w:tcBorders>
                  <w:noWrap w:val="0"/>
                  <w:vAlign w:val="center"/>
                </w:tcPr>
                <w:p w14:paraId="0CEBDF04">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BOD</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5</w:t>
                  </w:r>
                </w:p>
              </w:tc>
              <w:tc>
                <w:tcPr>
                  <w:tcW w:w="1119" w:type="dxa"/>
                  <w:tcBorders>
                    <w:tl2br w:val="nil"/>
                    <w:tr2bl w:val="nil"/>
                  </w:tcBorders>
                  <w:noWrap w:val="0"/>
                  <w:vAlign w:val="center"/>
                </w:tcPr>
                <w:p w14:paraId="7BA9388E">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SS</w:t>
                  </w:r>
                </w:p>
              </w:tc>
              <w:tc>
                <w:tcPr>
                  <w:tcW w:w="1156" w:type="dxa"/>
                  <w:tcBorders>
                    <w:tl2br w:val="nil"/>
                    <w:tr2bl w:val="nil"/>
                  </w:tcBorders>
                  <w:noWrap w:val="0"/>
                  <w:vAlign w:val="center"/>
                </w:tcPr>
                <w:p w14:paraId="6F7751FF">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NH</w:t>
                  </w:r>
                  <w:r>
                    <w:rPr>
                      <w:rFonts w:hint="eastAsia" w:cs="Times New Roman"/>
                      <w:b/>
                      <w:bCs/>
                      <w:i w:val="0"/>
                      <w:color w:val="auto"/>
                      <w:kern w:val="0"/>
                      <w:sz w:val="21"/>
                      <w:szCs w:val="21"/>
                      <w:highlight w:val="none"/>
                      <w:u w:val="none"/>
                      <w:vertAlign w:val="subscript"/>
                      <w:lang w:val="en-US" w:eastAsia="zh-CN" w:bidi="ar"/>
                    </w:rPr>
                    <w:t>3</w:t>
                  </w:r>
                  <w:r>
                    <w:rPr>
                      <w:rFonts w:hint="eastAsia" w:cs="Times New Roman"/>
                      <w:b/>
                      <w:bCs/>
                      <w:i w:val="0"/>
                      <w:color w:val="auto"/>
                      <w:kern w:val="0"/>
                      <w:sz w:val="21"/>
                      <w:szCs w:val="21"/>
                      <w:highlight w:val="none"/>
                      <w:u w:val="none"/>
                      <w:lang w:val="en-US" w:eastAsia="zh-CN" w:bidi="ar"/>
                    </w:rPr>
                    <w:t>-N</w:t>
                  </w:r>
                </w:p>
              </w:tc>
              <w:tc>
                <w:tcPr>
                  <w:tcW w:w="1030" w:type="dxa"/>
                  <w:tcBorders>
                    <w:tl2br w:val="nil"/>
                    <w:tr2bl w:val="nil"/>
                  </w:tcBorders>
                  <w:noWrap w:val="0"/>
                  <w:vAlign w:val="center"/>
                </w:tcPr>
                <w:p w14:paraId="7EF120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i w:val="0"/>
                      <w:color w:val="auto"/>
                      <w:kern w:val="0"/>
                      <w:sz w:val="21"/>
                      <w:szCs w:val="21"/>
                      <w:highlight w:val="none"/>
                      <w:u w:val="none"/>
                      <w:lang w:val="en-US" w:eastAsia="zh-CN" w:bidi="ar"/>
                    </w:rPr>
                  </w:pPr>
                  <w:r>
                    <w:rPr>
                      <w:rFonts w:hint="eastAsia" w:cs="Times New Roman"/>
                      <w:b/>
                      <w:bCs/>
                      <w:color w:val="auto"/>
                      <w:sz w:val="21"/>
                      <w:szCs w:val="21"/>
                      <w:vertAlign w:val="baseline"/>
                      <w:lang w:val="en-US" w:eastAsia="zh-CN"/>
                    </w:rPr>
                    <w:t>TP</w:t>
                  </w:r>
                </w:p>
              </w:tc>
              <w:tc>
                <w:tcPr>
                  <w:tcW w:w="1150" w:type="dxa"/>
                  <w:tcBorders>
                    <w:tl2br w:val="nil"/>
                    <w:tr2bl w:val="nil"/>
                  </w:tcBorders>
                  <w:noWrap w:val="0"/>
                  <w:vAlign w:val="center"/>
                </w:tcPr>
                <w:p w14:paraId="5A4DBB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i w:val="0"/>
                      <w:color w:val="auto"/>
                      <w:kern w:val="0"/>
                      <w:sz w:val="21"/>
                      <w:szCs w:val="21"/>
                      <w:highlight w:val="none"/>
                      <w:u w:val="none"/>
                      <w:lang w:val="en-US" w:eastAsia="zh-CN" w:bidi="ar"/>
                    </w:rPr>
                  </w:pPr>
                  <w:r>
                    <w:rPr>
                      <w:rFonts w:hint="eastAsia" w:cs="Times New Roman"/>
                      <w:b/>
                      <w:bCs/>
                      <w:color w:val="auto"/>
                      <w:sz w:val="21"/>
                      <w:szCs w:val="21"/>
                      <w:vertAlign w:val="baseline"/>
                      <w:lang w:val="en-US" w:eastAsia="zh-CN"/>
                    </w:rPr>
                    <w:t>TN</w:t>
                  </w:r>
                </w:p>
              </w:tc>
              <w:tc>
                <w:tcPr>
                  <w:tcW w:w="1288" w:type="dxa"/>
                  <w:tcBorders>
                    <w:tl2br w:val="nil"/>
                    <w:tr2bl w:val="nil"/>
                  </w:tcBorders>
                  <w:noWrap w:val="0"/>
                  <w:vAlign w:val="center"/>
                </w:tcPr>
                <w:p w14:paraId="34883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动植物油</w:t>
                  </w:r>
                </w:p>
              </w:tc>
            </w:tr>
            <w:tr w14:paraId="52846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restart"/>
                  <w:tcBorders>
                    <w:tl2br w:val="nil"/>
                    <w:tr2bl w:val="nil"/>
                  </w:tcBorders>
                  <w:noWrap w:val="0"/>
                  <w:vAlign w:val="center"/>
                </w:tcPr>
                <w:p w14:paraId="7343B5D0">
                  <w:pPr>
                    <w:keepNext w:val="0"/>
                    <w:keepLines w:val="0"/>
                    <w:pageBreakBefore w:val="0"/>
                    <w:widowControl/>
                    <w:kinsoku/>
                    <w:wordWrap/>
                    <w:overflowPunct/>
                    <w:topLinePunct w:val="0"/>
                    <w:autoSpaceDE/>
                    <w:autoSpaceDN/>
                    <w:bidi w:val="0"/>
                    <w:adjustRightInd/>
                    <w:snapToGrid w:val="0"/>
                    <w:spacing w:line="340" w:lineRule="exact"/>
                    <w:jc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生活污水</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b w:val="0"/>
                      <w:bCs w:val="0"/>
                      <w:color w:val="auto"/>
                      <w:sz w:val="21"/>
                      <w:szCs w:val="21"/>
                      <w:highlight w:val="none"/>
                      <w:lang w:val="en-US" w:eastAsia="zh-CN"/>
                    </w:rPr>
                    <w:t>9720</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p>
              </w:tc>
              <w:tc>
                <w:tcPr>
                  <w:tcW w:w="1534" w:type="dxa"/>
                  <w:tcBorders>
                    <w:tl2br w:val="nil"/>
                    <w:tr2bl w:val="nil"/>
                  </w:tcBorders>
                  <w:noWrap w:val="0"/>
                  <w:vAlign w:val="center"/>
                </w:tcPr>
                <w:p w14:paraId="2A348E15">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shd w:val="clear" w:color="auto" w:fill="auto"/>
                  <w:noWrap w:val="0"/>
                  <w:vAlign w:val="center"/>
                </w:tcPr>
                <w:p w14:paraId="41DB75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6-9</w:t>
                  </w:r>
                </w:p>
              </w:tc>
              <w:tc>
                <w:tcPr>
                  <w:tcW w:w="1101" w:type="dxa"/>
                  <w:tcBorders>
                    <w:tl2br w:val="nil"/>
                    <w:tr2bl w:val="nil"/>
                  </w:tcBorders>
                  <w:shd w:val="clear" w:color="auto" w:fill="auto"/>
                  <w:noWrap w:val="0"/>
                  <w:vAlign w:val="center"/>
                </w:tcPr>
                <w:p w14:paraId="06DAEEC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250</w:t>
                  </w:r>
                </w:p>
              </w:tc>
              <w:tc>
                <w:tcPr>
                  <w:tcW w:w="1101" w:type="dxa"/>
                  <w:tcBorders>
                    <w:tl2br w:val="nil"/>
                    <w:tr2bl w:val="nil"/>
                  </w:tcBorders>
                  <w:shd w:val="clear" w:color="auto" w:fill="auto"/>
                  <w:noWrap w:val="0"/>
                  <w:vAlign w:val="center"/>
                </w:tcPr>
                <w:p w14:paraId="2FE10E7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150</w:t>
                  </w:r>
                </w:p>
              </w:tc>
              <w:tc>
                <w:tcPr>
                  <w:tcW w:w="1119" w:type="dxa"/>
                  <w:tcBorders>
                    <w:tl2br w:val="nil"/>
                    <w:tr2bl w:val="nil"/>
                  </w:tcBorders>
                  <w:shd w:val="clear" w:color="auto" w:fill="auto"/>
                  <w:noWrap w:val="0"/>
                  <w:vAlign w:val="center"/>
                </w:tcPr>
                <w:p w14:paraId="0B5B18F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200</w:t>
                  </w:r>
                </w:p>
              </w:tc>
              <w:tc>
                <w:tcPr>
                  <w:tcW w:w="1156" w:type="dxa"/>
                  <w:tcBorders>
                    <w:tl2br w:val="nil"/>
                    <w:tr2bl w:val="nil"/>
                  </w:tcBorders>
                  <w:shd w:val="clear" w:color="auto" w:fill="auto"/>
                  <w:noWrap w:val="0"/>
                  <w:vAlign w:val="center"/>
                </w:tcPr>
                <w:p w14:paraId="27F8CB2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25</w:t>
                  </w:r>
                </w:p>
              </w:tc>
              <w:tc>
                <w:tcPr>
                  <w:tcW w:w="1030" w:type="dxa"/>
                  <w:tcBorders>
                    <w:tl2br w:val="nil"/>
                    <w:tr2bl w:val="nil"/>
                  </w:tcBorders>
                  <w:shd w:val="clear" w:color="auto" w:fill="auto"/>
                  <w:noWrap w:val="0"/>
                  <w:vAlign w:val="center"/>
                </w:tcPr>
                <w:p w14:paraId="0F923B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10</w:t>
                  </w:r>
                </w:p>
              </w:tc>
              <w:tc>
                <w:tcPr>
                  <w:tcW w:w="1150" w:type="dxa"/>
                  <w:tcBorders>
                    <w:tl2br w:val="nil"/>
                    <w:tr2bl w:val="nil"/>
                  </w:tcBorders>
                  <w:shd w:val="clear" w:color="auto" w:fill="auto"/>
                  <w:noWrap w:val="0"/>
                  <w:vAlign w:val="center"/>
                </w:tcPr>
                <w:p w14:paraId="4ED023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35</w:t>
                  </w:r>
                </w:p>
              </w:tc>
              <w:tc>
                <w:tcPr>
                  <w:tcW w:w="1288" w:type="dxa"/>
                  <w:tcBorders>
                    <w:tl2br w:val="nil"/>
                    <w:tr2bl w:val="nil"/>
                  </w:tcBorders>
                  <w:shd w:val="clear" w:color="auto" w:fill="auto"/>
                  <w:noWrap w:val="0"/>
                  <w:vAlign w:val="center"/>
                </w:tcPr>
                <w:p w14:paraId="402CCA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30</w:t>
                  </w:r>
                </w:p>
              </w:tc>
            </w:tr>
            <w:tr w14:paraId="2116D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3353286A">
                  <w:pPr>
                    <w:keepNext w:val="0"/>
                    <w:keepLines w:val="0"/>
                    <w:pageBreakBefore w:val="0"/>
                    <w:widowControl/>
                    <w:kinsoku/>
                    <w:wordWrap/>
                    <w:overflowPunct/>
                    <w:topLinePunct w:val="0"/>
                    <w:autoSpaceDE/>
                    <w:autoSpaceDN/>
                    <w:bidi w:val="0"/>
                    <w:adjustRightInd/>
                    <w:snapToGrid w:val="0"/>
                    <w:spacing w:line="340" w:lineRule="exact"/>
                    <w:jc w:val="center"/>
                    <w:rPr>
                      <w:rFonts w:hint="default" w:ascii="Times New Roman" w:hAnsi="Times New Roman" w:eastAsia="宋体" w:cs="Times New Roman"/>
                      <w:i w:val="0"/>
                      <w:color w:val="auto"/>
                      <w:sz w:val="21"/>
                      <w:szCs w:val="21"/>
                      <w:highlight w:val="none"/>
                      <w:u w:val="none"/>
                    </w:rPr>
                  </w:pPr>
                </w:p>
              </w:tc>
              <w:tc>
                <w:tcPr>
                  <w:tcW w:w="1534" w:type="dxa"/>
                  <w:tcBorders>
                    <w:tl2br w:val="nil"/>
                    <w:tr2bl w:val="nil"/>
                  </w:tcBorders>
                  <w:noWrap w:val="0"/>
                  <w:vAlign w:val="center"/>
                </w:tcPr>
                <w:p w14:paraId="7F8B4D93">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2D879E11">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2FE43B9D">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2.43</w:t>
                  </w:r>
                </w:p>
              </w:tc>
              <w:tc>
                <w:tcPr>
                  <w:tcW w:w="1101" w:type="dxa"/>
                  <w:tcBorders>
                    <w:tl2br w:val="nil"/>
                    <w:tr2bl w:val="nil"/>
                  </w:tcBorders>
                  <w:noWrap w:val="0"/>
                  <w:vAlign w:val="center"/>
                </w:tcPr>
                <w:p w14:paraId="24829A9C">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1.458</w:t>
                  </w:r>
                </w:p>
              </w:tc>
              <w:tc>
                <w:tcPr>
                  <w:tcW w:w="1119" w:type="dxa"/>
                  <w:tcBorders>
                    <w:tl2br w:val="nil"/>
                    <w:tr2bl w:val="nil"/>
                  </w:tcBorders>
                  <w:noWrap w:val="0"/>
                  <w:vAlign w:val="center"/>
                </w:tcPr>
                <w:p w14:paraId="02CC16BD">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1.944</w:t>
                  </w:r>
                </w:p>
              </w:tc>
              <w:tc>
                <w:tcPr>
                  <w:tcW w:w="1156" w:type="dxa"/>
                  <w:tcBorders>
                    <w:tl2br w:val="nil"/>
                    <w:tr2bl w:val="nil"/>
                  </w:tcBorders>
                  <w:noWrap w:val="0"/>
                  <w:vAlign w:val="center"/>
                </w:tcPr>
                <w:p w14:paraId="725ADD97">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0.243</w:t>
                  </w:r>
                </w:p>
              </w:tc>
              <w:tc>
                <w:tcPr>
                  <w:tcW w:w="1030" w:type="dxa"/>
                  <w:tcBorders>
                    <w:tl2br w:val="nil"/>
                    <w:tr2bl w:val="nil"/>
                  </w:tcBorders>
                  <w:noWrap w:val="0"/>
                  <w:vAlign w:val="center"/>
                </w:tcPr>
                <w:p w14:paraId="0DE42AC1">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 xml:space="preserve">0.0972 </w:t>
                  </w:r>
                </w:p>
              </w:tc>
              <w:tc>
                <w:tcPr>
                  <w:tcW w:w="1150" w:type="dxa"/>
                  <w:tcBorders>
                    <w:tl2br w:val="nil"/>
                    <w:tr2bl w:val="nil"/>
                  </w:tcBorders>
                  <w:noWrap w:val="0"/>
                  <w:vAlign w:val="center"/>
                </w:tcPr>
                <w:p w14:paraId="06E85DCC">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 xml:space="preserve">0.3402 </w:t>
                  </w:r>
                </w:p>
              </w:tc>
              <w:tc>
                <w:tcPr>
                  <w:tcW w:w="1288" w:type="dxa"/>
                  <w:tcBorders>
                    <w:tl2br w:val="nil"/>
                    <w:tr2bl w:val="nil"/>
                  </w:tcBorders>
                  <w:noWrap w:val="0"/>
                  <w:vAlign w:val="center"/>
                </w:tcPr>
                <w:p w14:paraId="1E83CDA1">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 xml:space="preserve">0.2916 </w:t>
                  </w:r>
                </w:p>
              </w:tc>
            </w:tr>
            <w:tr w14:paraId="1B94B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20BA2939">
                  <w:pPr>
                    <w:keepNext w:val="0"/>
                    <w:keepLines w:val="0"/>
                    <w:pageBreakBefore w:val="0"/>
                    <w:widowControl/>
                    <w:kinsoku/>
                    <w:wordWrap/>
                    <w:overflowPunct/>
                    <w:topLinePunct w:val="0"/>
                    <w:autoSpaceDE/>
                    <w:autoSpaceDN/>
                    <w:bidi w:val="0"/>
                    <w:adjustRightInd/>
                    <w:snapToGrid w:val="0"/>
                    <w:spacing w:line="340" w:lineRule="exact"/>
                    <w:jc w:val="center"/>
                    <w:rPr>
                      <w:rFonts w:hint="default" w:ascii="Times New Roman" w:hAnsi="Times New Roman" w:eastAsia="宋体" w:cs="Times New Roman"/>
                      <w:i w:val="0"/>
                      <w:color w:val="auto"/>
                      <w:sz w:val="21"/>
                      <w:szCs w:val="21"/>
                      <w:highlight w:val="none"/>
                      <w:u w:val="none"/>
                    </w:rPr>
                  </w:pPr>
                </w:p>
              </w:tc>
              <w:tc>
                <w:tcPr>
                  <w:tcW w:w="1534" w:type="dxa"/>
                  <w:tcBorders>
                    <w:tl2br w:val="nil"/>
                    <w:tr2bl w:val="nil"/>
                  </w:tcBorders>
                  <w:noWrap w:val="0"/>
                  <w:vAlign w:val="center"/>
                </w:tcPr>
                <w:p w14:paraId="5EA53BC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治理措施</w:t>
                  </w:r>
                </w:p>
              </w:tc>
              <w:tc>
                <w:tcPr>
                  <w:tcW w:w="8776" w:type="dxa"/>
                  <w:gridSpan w:val="8"/>
                  <w:tcBorders>
                    <w:tl2br w:val="nil"/>
                    <w:tr2bl w:val="nil"/>
                  </w:tcBorders>
                  <w:noWrap w:val="0"/>
                  <w:vAlign w:val="center"/>
                </w:tcPr>
                <w:p w14:paraId="4D0177DD">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化粪池</w:t>
                  </w:r>
                </w:p>
              </w:tc>
            </w:tr>
            <w:tr w14:paraId="248B5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3E2678EA">
                  <w:pPr>
                    <w:keepNext w:val="0"/>
                    <w:keepLines w:val="0"/>
                    <w:pageBreakBefore w:val="0"/>
                    <w:widowControl/>
                    <w:kinsoku/>
                    <w:wordWrap/>
                    <w:overflowPunct/>
                    <w:topLinePunct w:val="0"/>
                    <w:autoSpaceDE/>
                    <w:autoSpaceDN/>
                    <w:bidi w:val="0"/>
                    <w:adjustRightInd/>
                    <w:snapToGrid w:val="0"/>
                    <w:spacing w:line="340" w:lineRule="exact"/>
                    <w:jc w:val="center"/>
                    <w:rPr>
                      <w:rFonts w:hint="default" w:ascii="Times New Roman" w:hAnsi="Times New Roman" w:eastAsia="宋体" w:cs="Times New Roman"/>
                      <w:i w:val="0"/>
                      <w:color w:val="auto"/>
                      <w:sz w:val="21"/>
                      <w:szCs w:val="21"/>
                      <w:highlight w:val="none"/>
                      <w:u w:val="none"/>
                    </w:rPr>
                  </w:pPr>
                </w:p>
              </w:tc>
              <w:tc>
                <w:tcPr>
                  <w:tcW w:w="1534" w:type="dxa"/>
                  <w:tcBorders>
                    <w:tl2br w:val="nil"/>
                    <w:tr2bl w:val="nil"/>
                  </w:tcBorders>
                  <w:noWrap w:val="0"/>
                  <w:vAlign w:val="center"/>
                </w:tcPr>
                <w:p w14:paraId="5F8BDC2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处理效率%</w:t>
                  </w:r>
                </w:p>
              </w:tc>
              <w:tc>
                <w:tcPr>
                  <w:tcW w:w="831" w:type="dxa"/>
                  <w:tcBorders>
                    <w:tl2br w:val="nil"/>
                    <w:tr2bl w:val="nil"/>
                  </w:tcBorders>
                  <w:noWrap w:val="0"/>
                  <w:vAlign w:val="center"/>
                </w:tcPr>
                <w:p w14:paraId="380E1D79">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shd w:val="clear" w:color="auto" w:fill="auto"/>
                  <w:noWrap w:val="0"/>
                  <w:vAlign w:val="center"/>
                </w:tcPr>
                <w:p w14:paraId="6C70448F">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30</w:t>
                  </w:r>
                </w:p>
              </w:tc>
              <w:tc>
                <w:tcPr>
                  <w:tcW w:w="1101" w:type="dxa"/>
                  <w:tcBorders>
                    <w:tl2br w:val="nil"/>
                    <w:tr2bl w:val="nil"/>
                  </w:tcBorders>
                  <w:shd w:val="clear" w:color="auto" w:fill="auto"/>
                  <w:noWrap w:val="0"/>
                  <w:vAlign w:val="center"/>
                </w:tcPr>
                <w:p w14:paraId="31EE17FD">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30</w:t>
                  </w:r>
                </w:p>
              </w:tc>
              <w:tc>
                <w:tcPr>
                  <w:tcW w:w="1119" w:type="dxa"/>
                  <w:tcBorders>
                    <w:tl2br w:val="nil"/>
                    <w:tr2bl w:val="nil"/>
                  </w:tcBorders>
                  <w:shd w:val="clear" w:color="auto" w:fill="auto"/>
                  <w:noWrap w:val="0"/>
                  <w:vAlign w:val="center"/>
                </w:tcPr>
                <w:p w14:paraId="1ADD1AB9">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40</w:t>
                  </w:r>
                </w:p>
              </w:tc>
              <w:tc>
                <w:tcPr>
                  <w:tcW w:w="1156" w:type="dxa"/>
                  <w:tcBorders>
                    <w:tl2br w:val="nil"/>
                    <w:tr2bl w:val="nil"/>
                  </w:tcBorders>
                  <w:shd w:val="clear" w:color="auto" w:fill="auto"/>
                  <w:noWrap w:val="0"/>
                  <w:vAlign w:val="center"/>
                </w:tcPr>
                <w:p w14:paraId="3B00E6D3">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5</w:t>
                  </w:r>
                </w:p>
              </w:tc>
              <w:tc>
                <w:tcPr>
                  <w:tcW w:w="1030" w:type="dxa"/>
                  <w:tcBorders>
                    <w:tl2br w:val="nil"/>
                    <w:tr2bl w:val="nil"/>
                  </w:tcBorders>
                  <w:shd w:val="clear" w:color="auto" w:fill="auto"/>
                  <w:noWrap w:val="0"/>
                  <w:vAlign w:val="center"/>
                </w:tcPr>
                <w:p w14:paraId="005194D0">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10</w:t>
                  </w:r>
                </w:p>
              </w:tc>
              <w:tc>
                <w:tcPr>
                  <w:tcW w:w="1150" w:type="dxa"/>
                  <w:tcBorders>
                    <w:tl2br w:val="nil"/>
                    <w:tr2bl w:val="nil"/>
                  </w:tcBorders>
                  <w:shd w:val="clear" w:color="auto" w:fill="auto"/>
                  <w:noWrap w:val="0"/>
                  <w:vAlign w:val="center"/>
                </w:tcPr>
                <w:p w14:paraId="763938FC">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5</w:t>
                  </w:r>
                </w:p>
              </w:tc>
              <w:tc>
                <w:tcPr>
                  <w:tcW w:w="1288" w:type="dxa"/>
                  <w:tcBorders>
                    <w:tl2br w:val="nil"/>
                    <w:tr2bl w:val="nil"/>
                  </w:tcBorders>
                  <w:noWrap w:val="0"/>
                  <w:vAlign w:val="center"/>
                </w:tcPr>
                <w:p w14:paraId="05F5E6B3">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5</w:t>
                  </w:r>
                </w:p>
              </w:tc>
            </w:tr>
            <w:tr w14:paraId="2A61C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48577F9A">
                  <w:pPr>
                    <w:keepNext w:val="0"/>
                    <w:keepLines w:val="0"/>
                    <w:pageBreakBefore w:val="0"/>
                    <w:widowControl/>
                    <w:kinsoku/>
                    <w:wordWrap/>
                    <w:overflowPunct/>
                    <w:topLinePunct w:val="0"/>
                    <w:autoSpaceDE/>
                    <w:autoSpaceDN/>
                    <w:bidi w:val="0"/>
                    <w:adjustRightInd/>
                    <w:snapToGrid w:val="0"/>
                    <w:spacing w:line="340" w:lineRule="exact"/>
                    <w:jc w:val="center"/>
                    <w:rPr>
                      <w:rFonts w:hint="default" w:ascii="Times New Roman" w:hAnsi="Times New Roman" w:eastAsia="宋体" w:cs="Times New Roman"/>
                      <w:i w:val="0"/>
                      <w:color w:val="auto"/>
                      <w:sz w:val="21"/>
                      <w:szCs w:val="21"/>
                      <w:highlight w:val="none"/>
                      <w:u w:val="none"/>
                    </w:rPr>
                  </w:pPr>
                </w:p>
              </w:tc>
              <w:tc>
                <w:tcPr>
                  <w:tcW w:w="1534" w:type="dxa"/>
                  <w:tcBorders>
                    <w:tl2br w:val="nil"/>
                    <w:tr2bl w:val="nil"/>
                  </w:tcBorders>
                  <w:noWrap w:val="0"/>
                  <w:vAlign w:val="center"/>
                </w:tcPr>
                <w:p w14:paraId="1A246BF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排放浓度mg/L</w:t>
                  </w:r>
                </w:p>
              </w:tc>
              <w:tc>
                <w:tcPr>
                  <w:tcW w:w="831" w:type="dxa"/>
                  <w:tcBorders>
                    <w:tl2br w:val="nil"/>
                    <w:tr2bl w:val="nil"/>
                  </w:tcBorders>
                  <w:noWrap w:val="0"/>
                  <w:vAlign w:val="center"/>
                </w:tcPr>
                <w:p w14:paraId="09277AAE">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color w:val="auto"/>
                      <w:sz w:val="21"/>
                      <w:szCs w:val="21"/>
                      <w:vertAlign w:val="baseline"/>
                      <w:lang w:val="en-US" w:eastAsia="zh-CN"/>
                    </w:rPr>
                    <w:t>6-9</w:t>
                  </w:r>
                </w:p>
              </w:tc>
              <w:tc>
                <w:tcPr>
                  <w:tcW w:w="1101" w:type="dxa"/>
                  <w:tcBorders>
                    <w:tl2br w:val="nil"/>
                    <w:tr2bl w:val="nil"/>
                  </w:tcBorders>
                  <w:noWrap w:val="0"/>
                  <w:vAlign w:val="center"/>
                </w:tcPr>
                <w:p w14:paraId="5BD55741">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175</w:t>
                  </w:r>
                </w:p>
              </w:tc>
              <w:tc>
                <w:tcPr>
                  <w:tcW w:w="1101" w:type="dxa"/>
                  <w:tcBorders>
                    <w:tl2br w:val="nil"/>
                    <w:tr2bl w:val="nil"/>
                  </w:tcBorders>
                  <w:noWrap w:val="0"/>
                  <w:vAlign w:val="center"/>
                </w:tcPr>
                <w:p w14:paraId="21689056">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105</w:t>
                  </w:r>
                </w:p>
              </w:tc>
              <w:tc>
                <w:tcPr>
                  <w:tcW w:w="1119" w:type="dxa"/>
                  <w:tcBorders>
                    <w:tl2br w:val="nil"/>
                    <w:tr2bl w:val="nil"/>
                  </w:tcBorders>
                  <w:noWrap w:val="0"/>
                  <w:vAlign w:val="center"/>
                </w:tcPr>
                <w:p w14:paraId="38C10A72">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120</w:t>
                  </w:r>
                </w:p>
              </w:tc>
              <w:tc>
                <w:tcPr>
                  <w:tcW w:w="1156" w:type="dxa"/>
                  <w:tcBorders>
                    <w:tl2br w:val="nil"/>
                    <w:tr2bl w:val="nil"/>
                  </w:tcBorders>
                  <w:noWrap w:val="0"/>
                  <w:vAlign w:val="center"/>
                </w:tcPr>
                <w:p w14:paraId="0E29C2A5">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23.75</w:t>
                  </w:r>
                </w:p>
              </w:tc>
              <w:tc>
                <w:tcPr>
                  <w:tcW w:w="1030" w:type="dxa"/>
                  <w:tcBorders>
                    <w:tl2br w:val="nil"/>
                    <w:tr2bl w:val="nil"/>
                  </w:tcBorders>
                  <w:noWrap w:val="0"/>
                  <w:vAlign w:val="center"/>
                </w:tcPr>
                <w:p w14:paraId="4FF7709E">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9</w:t>
                  </w:r>
                </w:p>
              </w:tc>
              <w:tc>
                <w:tcPr>
                  <w:tcW w:w="1150" w:type="dxa"/>
                  <w:tcBorders>
                    <w:tl2br w:val="nil"/>
                    <w:tr2bl w:val="nil"/>
                  </w:tcBorders>
                  <w:noWrap w:val="0"/>
                  <w:vAlign w:val="center"/>
                </w:tcPr>
                <w:p w14:paraId="67E38B05">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33.25</w:t>
                  </w:r>
                </w:p>
              </w:tc>
              <w:tc>
                <w:tcPr>
                  <w:tcW w:w="1288" w:type="dxa"/>
                  <w:tcBorders>
                    <w:tl2br w:val="nil"/>
                    <w:tr2bl w:val="nil"/>
                  </w:tcBorders>
                  <w:noWrap w:val="0"/>
                  <w:vAlign w:val="center"/>
                </w:tcPr>
                <w:p w14:paraId="506640EF">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28.5</w:t>
                  </w:r>
                </w:p>
              </w:tc>
            </w:tr>
            <w:tr w14:paraId="69C91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33E9392E">
                  <w:pPr>
                    <w:keepNext w:val="0"/>
                    <w:keepLines w:val="0"/>
                    <w:pageBreakBefore w:val="0"/>
                    <w:widowControl/>
                    <w:kinsoku/>
                    <w:wordWrap/>
                    <w:overflowPunct/>
                    <w:topLinePunct w:val="0"/>
                    <w:autoSpaceDE/>
                    <w:autoSpaceDN/>
                    <w:bidi w:val="0"/>
                    <w:adjustRightInd/>
                    <w:snapToGrid w:val="0"/>
                    <w:spacing w:line="340" w:lineRule="exact"/>
                    <w:jc w:val="center"/>
                    <w:rPr>
                      <w:rFonts w:hint="default" w:ascii="Times New Roman" w:hAnsi="Times New Roman" w:eastAsia="宋体" w:cs="Times New Roman"/>
                      <w:i w:val="0"/>
                      <w:color w:val="auto"/>
                      <w:sz w:val="21"/>
                      <w:szCs w:val="21"/>
                      <w:highlight w:val="none"/>
                      <w:u w:val="none"/>
                    </w:rPr>
                  </w:pPr>
                </w:p>
              </w:tc>
              <w:tc>
                <w:tcPr>
                  <w:tcW w:w="1534" w:type="dxa"/>
                  <w:tcBorders>
                    <w:tl2br w:val="nil"/>
                    <w:tr2bl w:val="nil"/>
                  </w:tcBorders>
                  <w:noWrap w:val="0"/>
                  <w:vAlign w:val="center"/>
                </w:tcPr>
                <w:p w14:paraId="2B336A32">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排放</w:t>
                  </w:r>
                  <w:r>
                    <w:rPr>
                      <w:rFonts w:hint="default" w:ascii="Times New Roman" w:hAnsi="Times New Roman" w:eastAsia="宋体" w:cs="Times New Roman"/>
                      <w:i w:val="0"/>
                      <w:color w:val="auto"/>
                      <w:kern w:val="0"/>
                      <w:sz w:val="21"/>
                      <w:szCs w:val="21"/>
                      <w:highlight w:val="none"/>
                      <w:u w:val="none"/>
                      <w:lang w:val="en-US" w:eastAsia="zh-CN" w:bidi="ar"/>
                    </w:rPr>
                    <w:t>量t/a</w:t>
                  </w:r>
                </w:p>
              </w:tc>
              <w:tc>
                <w:tcPr>
                  <w:tcW w:w="831" w:type="dxa"/>
                  <w:tcBorders>
                    <w:tl2br w:val="nil"/>
                    <w:tr2bl w:val="nil"/>
                  </w:tcBorders>
                  <w:noWrap w:val="0"/>
                  <w:vAlign w:val="center"/>
                </w:tcPr>
                <w:p w14:paraId="7CFF32D6">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341E4748">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1.701</w:t>
                  </w:r>
                </w:p>
              </w:tc>
              <w:tc>
                <w:tcPr>
                  <w:tcW w:w="1101" w:type="dxa"/>
                  <w:tcBorders>
                    <w:tl2br w:val="nil"/>
                    <w:tr2bl w:val="nil"/>
                  </w:tcBorders>
                  <w:noWrap w:val="0"/>
                  <w:vAlign w:val="center"/>
                </w:tcPr>
                <w:p w14:paraId="42BBEBA6">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 xml:space="preserve">1.0206 </w:t>
                  </w:r>
                </w:p>
              </w:tc>
              <w:tc>
                <w:tcPr>
                  <w:tcW w:w="1119" w:type="dxa"/>
                  <w:tcBorders>
                    <w:tl2br w:val="nil"/>
                    <w:tr2bl w:val="nil"/>
                  </w:tcBorders>
                  <w:noWrap w:val="0"/>
                  <w:vAlign w:val="center"/>
                </w:tcPr>
                <w:p w14:paraId="736F2C4B">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 xml:space="preserve">1.1664 </w:t>
                  </w:r>
                </w:p>
              </w:tc>
              <w:tc>
                <w:tcPr>
                  <w:tcW w:w="1156" w:type="dxa"/>
                  <w:tcBorders>
                    <w:tl2br w:val="nil"/>
                    <w:tr2bl w:val="nil"/>
                  </w:tcBorders>
                  <w:noWrap w:val="0"/>
                  <w:vAlign w:val="center"/>
                </w:tcPr>
                <w:p w14:paraId="7D53877E">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 xml:space="preserve">0.2309 </w:t>
                  </w:r>
                </w:p>
              </w:tc>
              <w:tc>
                <w:tcPr>
                  <w:tcW w:w="1030" w:type="dxa"/>
                  <w:tcBorders>
                    <w:tl2br w:val="nil"/>
                    <w:tr2bl w:val="nil"/>
                  </w:tcBorders>
                  <w:noWrap w:val="0"/>
                  <w:vAlign w:val="center"/>
                </w:tcPr>
                <w:p w14:paraId="6215E720">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 xml:space="preserve">0.0875 </w:t>
                  </w:r>
                </w:p>
              </w:tc>
              <w:tc>
                <w:tcPr>
                  <w:tcW w:w="1150" w:type="dxa"/>
                  <w:tcBorders>
                    <w:tl2br w:val="nil"/>
                    <w:tr2bl w:val="nil"/>
                  </w:tcBorders>
                  <w:noWrap w:val="0"/>
                  <w:vAlign w:val="center"/>
                </w:tcPr>
                <w:p w14:paraId="344D2F27">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 xml:space="preserve">0.3232 </w:t>
                  </w:r>
                </w:p>
              </w:tc>
              <w:tc>
                <w:tcPr>
                  <w:tcW w:w="1288" w:type="dxa"/>
                  <w:tcBorders>
                    <w:tl2br w:val="nil"/>
                    <w:tr2bl w:val="nil"/>
                  </w:tcBorders>
                  <w:noWrap w:val="0"/>
                  <w:vAlign w:val="center"/>
                </w:tcPr>
                <w:p w14:paraId="1CD6A3E7">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0.277</w:t>
                  </w:r>
                </w:p>
              </w:tc>
            </w:tr>
            <w:tr w14:paraId="09A44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tcBorders>
                    <w:tl2br w:val="nil"/>
                    <w:tr2bl w:val="nil"/>
                  </w:tcBorders>
                  <w:noWrap w:val="0"/>
                  <w:vAlign w:val="center"/>
                </w:tcPr>
                <w:p w14:paraId="00AD427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b/>
                      <w:bCs/>
                      <w:i w:val="0"/>
                      <w:color w:val="auto"/>
                      <w:sz w:val="21"/>
                      <w:szCs w:val="21"/>
                      <w:highlight w:val="none"/>
                      <w:u w:val="none"/>
                      <w:lang w:val="en-US" w:eastAsia="zh-CN"/>
                    </w:rPr>
                    <w:t>废水种类</w:t>
                  </w:r>
                </w:p>
              </w:tc>
              <w:tc>
                <w:tcPr>
                  <w:tcW w:w="1534" w:type="dxa"/>
                  <w:tcBorders>
                    <w:tl2br w:val="nil"/>
                    <w:tr2bl w:val="nil"/>
                  </w:tcBorders>
                  <w:noWrap w:val="0"/>
                  <w:vAlign w:val="center"/>
                </w:tcPr>
                <w:p w14:paraId="01777272">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主要项目</w:t>
                  </w:r>
                </w:p>
              </w:tc>
              <w:tc>
                <w:tcPr>
                  <w:tcW w:w="831" w:type="dxa"/>
                  <w:tcBorders>
                    <w:tl2br w:val="nil"/>
                    <w:tr2bl w:val="nil"/>
                  </w:tcBorders>
                  <w:noWrap w:val="0"/>
                  <w:vAlign w:val="center"/>
                </w:tcPr>
                <w:p w14:paraId="7A4FC092">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i w:val="0"/>
                      <w:color w:val="auto"/>
                      <w:sz w:val="21"/>
                      <w:szCs w:val="21"/>
                      <w:highlight w:val="none"/>
                      <w:u w:val="none"/>
                      <w:lang w:val="en-US" w:eastAsia="zh-CN"/>
                    </w:rPr>
                  </w:pPr>
                  <w:r>
                    <w:rPr>
                      <w:rFonts w:hint="eastAsia" w:cs="Times New Roman"/>
                      <w:b/>
                      <w:bCs/>
                      <w:i w:val="0"/>
                      <w:color w:val="auto"/>
                      <w:kern w:val="0"/>
                      <w:sz w:val="21"/>
                      <w:szCs w:val="21"/>
                      <w:highlight w:val="none"/>
                      <w:u w:val="none"/>
                      <w:lang w:val="en-US" w:eastAsia="zh-CN" w:bidi="ar"/>
                    </w:rPr>
                    <w:t>pH</w:t>
                  </w:r>
                </w:p>
              </w:tc>
              <w:tc>
                <w:tcPr>
                  <w:tcW w:w="1101" w:type="dxa"/>
                  <w:tcBorders>
                    <w:tl2br w:val="nil"/>
                    <w:tr2bl w:val="nil"/>
                  </w:tcBorders>
                  <w:noWrap w:val="0"/>
                  <w:vAlign w:val="center"/>
                </w:tcPr>
                <w:p w14:paraId="163A0E6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COD</w:t>
                  </w:r>
                  <w:r>
                    <w:rPr>
                      <w:rFonts w:hint="eastAsia" w:ascii="Times New Roman" w:hAnsi="Times New Roman" w:eastAsia="宋体" w:cs="Times New Roman"/>
                      <w:b/>
                      <w:bCs/>
                      <w:i w:val="0"/>
                      <w:color w:val="auto"/>
                      <w:kern w:val="0"/>
                      <w:sz w:val="21"/>
                      <w:szCs w:val="21"/>
                      <w:highlight w:val="none"/>
                      <w:u w:val="none"/>
                      <w:vertAlign w:val="subscript"/>
                      <w:lang w:val="en-US" w:eastAsia="zh-CN" w:bidi="ar"/>
                    </w:rPr>
                    <w:t>C</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r</w:t>
                  </w:r>
                </w:p>
              </w:tc>
              <w:tc>
                <w:tcPr>
                  <w:tcW w:w="1101" w:type="dxa"/>
                  <w:tcBorders>
                    <w:tl2br w:val="nil"/>
                    <w:tr2bl w:val="nil"/>
                  </w:tcBorders>
                  <w:noWrap w:val="0"/>
                  <w:vAlign w:val="center"/>
                </w:tcPr>
                <w:p w14:paraId="645B492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BOD</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5</w:t>
                  </w:r>
                </w:p>
              </w:tc>
              <w:tc>
                <w:tcPr>
                  <w:tcW w:w="1119" w:type="dxa"/>
                  <w:tcBorders>
                    <w:tl2br w:val="nil"/>
                    <w:tr2bl w:val="nil"/>
                  </w:tcBorders>
                  <w:noWrap w:val="0"/>
                  <w:vAlign w:val="center"/>
                </w:tcPr>
                <w:p w14:paraId="6B67824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SS</w:t>
                  </w:r>
                </w:p>
              </w:tc>
              <w:tc>
                <w:tcPr>
                  <w:tcW w:w="1156" w:type="dxa"/>
                  <w:tcBorders>
                    <w:tl2br w:val="nil"/>
                    <w:tr2bl w:val="nil"/>
                  </w:tcBorders>
                  <w:noWrap w:val="0"/>
                  <w:vAlign w:val="center"/>
                </w:tcPr>
                <w:p w14:paraId="53225774">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i w:val="0"/>
                      <w:color w:val="auto"/>
                      <w:kern w:val="0"/>
                      <w:sz w:val="21"/>
                      <w:szCs w:val="21"/>
                      <w:highlight w:val="none"/>
                      <w:u w:val="none"/>
                      <w:lang w:val="en-US" w:eastAsia="zh-CN" w:bidi="ar"/>
                    </w:rPr>
                    <w:t>NH</w:t>
                  </w:r>
                  <w:r>
                    <w:rPr>
                      <w:rFonts w:hint="eastAsia" w:cs="Times New Roman"/>
                      <w:b/>
                      <w:bCs/>
                      <w:i w:val="0"/>
                      <w:color w:val="auto"/>
                      <w:kern w:val="0"/>
                      <w:sz w:val="21"/>
                      <w:szCs w:val="21"/>
                      <w:highlight w:val="none"/>
                      <w:u w:val="none"/>
                      <w:vertAlign w:val="subscript"/>
                      <w:lang w:val="en-US" w:eastAsia="zh-CN" w:bidi="ar"/>
                    </w:rPr>
                    <w:t>3</w:t>
                  </w:r>
                  <w:r>
                    <w:rPr>
                      <w:rFonts w:hint="eastAsia" w:cs="Times New Roman"/>
                      <w:b/>
                      <w:bCs/>
                      <w:i w:val="0"/>
                      <w:color w:val="auto"/>
                      <w:kern w:val="0"/>
                      <w:sz w:val="21"/>
                      <w:szCs w:val="21"/>
                      <w:highlight w:val="none"/>
                      <w:u w:val="none"/>
                      <w:lang w:val="en-US" w:eastAsia="zh-CN" w:bidi="ar"/>
                    </w:rPr>
                    <w:t>-N</w:t>
                  </w:r>
                </w:p>
              </w:tc>
              <w:tc>
                <w:tcPr>
                  <w:tcW w:w="1030" w:type="dxa"/>
                  <w:tcBorders>
                    <w:tl2br w:val="nil"/>
                    <w:tr2bl w:val="nil"/>
                  </w:tcBorders>
                  <w:noWrap w:val="0"/>
                  <w:vAlign w:val="center"/>
                </w:tcPr>
                <w:p w14:paraId="00F564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color w:val="auto"/>
                      <w:sz w:val="21"/>
                      <w:szCs w:val="21"/>
                      <w:vertAlign w:val="baseline"/>
                      <w:lang w:val="en-US" w:eastAsia="zh-CN"/>
                    </w:rPr>
                    <w:t>TP</w:t>
                  </w:r>
                </w:p>
              </w:tc>
              <w:tc>
                <w:tcPr>
                  <w:tcW w:w="1150" w:type="dxa"/>
                  <w:tcBorders>
                    <w:tl2br w:val="nil"/>
                    <w:tr2bl w:val="nil"/>
                  </w:tcBorders>
                  <w:noWrap w:val="0"/>
                  <w:vAlign w:val="center"/>
                </w:tcPr>
                <w:p w14:paraId="56B58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color w:val="auto"/>
                      <w:sz w:val="21"/>
                      <w:szCs w:val="21"/>
                      <w:vertAlign w:val="baseline"/>
                      <w:lang w:val="en-US" w:eastAsia="zh-CN"/>
                    </w:rPr>
                    <w:t>TN</w:t>
                  </w:r>
                </w:p>
              </w:tc>
              <w:tc>
                <w:tcPr>
                  <w:tcW w:w="1288" w:type="dxa"/>
                  <w:tcBorders>
                    <w:tl2br w:val="nil"/>
                    <w:tr2bl w:val="nil"/>
                  </w:tcBorders>
                  <w:noWrap w:val="0"/>
                  <w:vAlign w:val="center"/>
                </w:tcPr>
                <w:p w14:paraId="42E3C7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color w:val="auto"/>
                      <w:sz w:val="21"/>
                      <w:szCs w:val="21"/>
                      <w:vertAlign w:val="baseline"/>
                      <w:lang w:val="en-US" w:eastAsia="zh-CN"/>
                    </w:rPr>
                    <w:t>动植物油</w:t>
                  </w:r>
                </w:p>
              </w:tc>
            </w:tr>
            <w:tr w14:paraId="63475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restart"/>
                  <w:tcBorders>
                    <w:tl2br w:val="nil"/>
                    <w:tr2bl w:val="nil"/>
                  </w:tcBorders>
                  <w:noWrap w:val="0"/>
                  <w:vAlign w:val="center"/>
                </w:tcPr>
                <w:p w14:paraId="03269A23">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生活污水</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b w:val="0"/>
                      <w:bCs w:val="0"/>
                      <w:color w:val="auto"/>
                      <w:sz w:val="21"/>
                      <w:szCs w:val="21"/>
                      <w:highlight w:val="none"/>
                      <w:lang w:val="en-US" w:eastAsia="zh-CN"/>
                    </w:rPr>
                    <w:t>9720</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p>
              </w:tc>
              <w:tc>
                <w:tcPr>
                  <w:tcW w:w="1534" w:type="dxa"/>
                  <w:tcBorders>
                    <w:tl2br w:val="nil"/>
                    <w:tr2bl w:val="nil"/>
                  </w:tcBorders>
                  <w:noWrap w:val="0"/>
                  <w:vAlign w:val="center"/>
                </w:tcPr>
                <w:p w14:paraId="1DCD8306">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noWrap w:val="0"/>
                  <w:vAlign w:val="center"/>
                </w:tcPr>
                <w:p w14:paraId="10C976D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6-9</w:t>
                  </w:r>
                </w:p>
              </w:tc>
              <w:tc>
                <w:tcPr>
                  <w:tcW w:w="1101" w:type="dxa"/>
                  <w:tcBorders>
                    <w:tl2br w:val="nil"/>
                    <w:tr2bl w:val="nil"/>
                  </w:tcBorders>
                  <w:noWrap w:val="0"/>
                  <w:vAlign w:val="center"/>
                </w:tcPr>
                <w:p w14:paraId="180DD484">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175</w:t>
                  </w:r>
                </w:p>
              </w:tc>
              <w:tc>
                <w:tcPr>
                  <w:tcW w:w="1101" w:type="dxa"/>
                  <w:tcBorders>
                    <w:tl2br w:val="nil"/>
                    <w:tr2bl w:val="nil"/>
                  </w:tcBorders>
                  <w:noWrap w:val="0"/>
                  <w:vAlign w:val="center"/>
                </w:tcPr>
                <w:p w14:paraId="36021612">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105</w:t>
                  </w:r>
                </w:p>
              </w:tc>
              <w:tc>
                <w:tcPr>
                  <w:tcW w:w="1119" w:type="dxa"/>
                  <w:tcBorders>
                    <w:tl2br w:val="nil"/>
                    <w:tr2bl w:val="nil"/>
                  </w:tcBorders>
                  <w:noWrap w:val="0"/>
                  <w:vAlign w:val="center"/>
                </w:tcPr>
                <w:p w14:paraId="4CF0EC7F">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120</w:t>
                  </w:r>
                </w:p>
              </w:tc>
              <w:tc>
                <w:tcPr>
                  <w:tcW w:w="1156" w:type="dxa"/>
                  <w:tcBorders>
                    <w:tl2br w:val="nil"/>
                    <w:tr2bl w:val="nil"/>
                  </w:tcBorders>
                  <w:noWrap w:val="0"/>
                  <w:vAlign w:val="center"/>
                </w:tcPr>
                <w:p w14:paraId="0C47A5DC">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23.75</w:t>
                  </w:r>
                </w:p>
              </w:tc>
              <w:tc>
                <w:tcPr>
                  <w:tcW w:w="1030" w:type="dxa"/>
                  <w:tcBorders>
                    <w:tl2br w:val="nil"/>
                    <w:tr2bl w:val="nil"/>
                  </w:tcBorders>
                  <w:noWrap w:val="0"/>
                  <w:vAlign w:val="center"/>
                </w:tcPr>
                <w:p w14:paraId="730B6F04">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9</w:t>
                  </w:r>
                </w:p>
              </w:tc>
              <w:tc>
                <w:tcPr>
                  <w:tcW w:w="1150" w:type="dxa"/>
                  <w:tcBorders>
                    <w:tl2br w:val="nil"/>
                    <w:tr2bl w:val="nil"/>
                  </w:tcBorders>
                  <w:noWrap w:val="0"/>
                  <w:vAlign w:val="center"/>
                </w:tcPr>
                <w:p w14:paraId="51661C3B">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Cs/>
                      <w:color w:val="auto"/>
                      <w:szCs w:val="21"/>
                      <w:highlight w:val="none"/>
                      <w:lang w:val="en-US" w:eastAsia="zh-CN"/>
                    </w:rPr>
                    <w:t>33.25</w:t>
                  </w:r>
                </w:p>
              </w:tc>
              <w:tc>
                <w:tcPr>
                  <w:tcW w:w="1288" w:type="dxa"/>
                  <w:tcBorders>
                    <w:tl2br w:val="nil"/>
                    <w:tr2bl w:val="nil"/>
                  </w:tcBorders>
                  <w:noWrap w:val="0"/>
                  <w:vAlign w:val="center"/>
                </w:tcPr>
                <w:p w14:paraId="63305AC8">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Cs/>
                      <w:color w:val="auto"/>
                      <w:szCs w:val="21"/>
                      <w:highlight w:val="none"/>
                      <w:lang w:val="en-US" w:eastAsia="zh-CN"/>
                    </w:rPr>
                    <w:t>28.5</w:t>
                  </w:r>
                </w:p>
              </w:tc>
            </w:tr>
            <w:tr w14:paraId="704DA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6534761D">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noWrap w:val="0"/>
                  <w:vAlign w:val="center"/>
                </w:tcPr>
                <w:p w14:paraId="60A8A5A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4C09F336">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5DEF6178">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1.701</w:t>
                  </w:r>
                </w:p>
              </w:tc>
              <w:tc>
                <w:tcPr>
                  <w:tcW w:w="1101" w:type="dxa"/>
                  <w:tcBorders>
                    <w:tl2br w:val="nil"/>
                    <w:tr2bl w:val="nil"/>
                  </w:tcBorders>
                  <w:noWrap w:val="0"/>
                  <w:vAlign w:val="center"/>
                </w:tcPr>
                <w:p w14:paraId="05EF76C3">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 xml:space="preserve">1.0206 </w:t>
                  </w:r>
                </w:p>
              </w:tc>
              <w:tc>
                <w:tcPr>
                  <w:tcW w:w="1119" w:type="dxa"/>
                  <w:tcBorders>
                    <w:tl2br w:val="nil"/>
                    <w:tr2bl w:val="nil"/>
                  </w:tcBorders>
                  <w:noWrap w:val="0"/>
                  <w:vAlign w:val="center"/>
                </w:tcPr>
                <w:p w14:paraId="156A514F">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 xml:space="preserve">1.1664 </w:t>
                  </w:r>
                </w:p>
              </w:tc>
              <w:tc>
                <w:tcPr>
                  <w:tcW w:w="1156" w:type="dxa"/>
                  <w:tcBorders>
                    <w:tl2br w:val="nil"/>
                    <w:tr2bl w:val="nil"/>
                  </w:tcBorders>
                  <w:noWrap w:val="0"/>
                  <w:vAlign w:val="center"/>
                </w:tcPr>
                <w:p w14:paraId="44A97BA8">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 xml:space="preserve">0.2309 </w:t>
                  </w:r>
                </w:p>
              </w:tc>
              <w:tc>
                <w:tcPr>
                  <w:tcW w:w="1030" w:type="dxa"/>
                  <w:tcBorders>
                    <w:tl2br w:val="nil"/>
                    <w:tr2bl w:val="nil"/>
                  </w:tcBorders>
                  <w:noWrap w:val="0"/>
                  <w:vAlign w:val="center"/>
                </w:tcPr>
                <w:p w14:paraId="7009A880">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lang w:val="en-US" w:eastAsia="zh-CN"/>
                    </w:rPr>
                    <w:t xml:space="preserve">0.0875 </w:t>
                  </w:r>
                </w:p>
              </w:tc>
              <w:tc>
                <w:tcPr>
                  <w:tcW w:w="1150" w:type="dxa"/>
                  <w:tcBorders>
                    <w:tl2br w:val="nil"/>
                    <w:tr2bl w:val="nil"/>
                  </w:tcBorders>
                  <w:noWrap w:val="0"/>
                  <w:vAlign w:val="center"/>
                </w:tcPr>
                <w:p w14:paraId="1DF746EF">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Cs/>
                      <w:color w:val="auto"/>
                      <w:szCs w:val="21"/>
                      <w:highlight w:val="none"/>
                      <w:lang w:val="en-US" w:eastAsia="zh-CN"/>
                    </w:rPr>
                    <w:t xml:space="preserve">0.3232 </w:t>
                  </w:r>
                </w:p>
              </w:tc>
              <w:tc>
                <w:tcPr>
                  <w:tcW w:w="1288" w:type="dxa"/>
                  <w:tcBorders>
                    <w:tl2br w:val="nil"/>
                    <w:tr2bl w:val="nil"/>
                  </w:tcBorders>
                  <w:noWrap w:val="0"/>
                  <w:vAlign w:val="center"/>
                </w:tcPr>
                <w:p w14:paraId="684DC3D5">
                  <w:pPr>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Cs/>
                      <w:color w:val="auto"/>
                      <w:szCs w:val="21"/>
                      <w:highlight w:val="none"/>
                      <w:lang w:val="en-US" w:eastAsia="zh-CN"/>
                    </w:rPr>
                    <w:t>0.277</w:t>
                  </w:r>
                </w:p>
              </w:tc>
            </w:tr>
            <w:tr w14:paraId="598BD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restart"/>
                  <w:tcBorders>
                    <w:tl2br w:val="nil"/>
                    <w:tr2bl w:val="nil"/>
                  </w:tcBorders>
                  <w:noWrap w:val="0"/>
                  <w:vAlign w:val="center"/>
                </w:tcPr>
                <w:p w14:paraId="3AC3F1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生产废水</w:t>
                  </w:r>
                </w:p>
              </w:tc>
              <w:tc>
                <w:tcPr>
                  <w:tcW w:w="1443" w:type="dxa"/>
                  <w:vMerge w:val="restart"/>
                  <w:tcBorders>
                    <w:tl2br w:val="nil"/>
                    <w:tr2bl w:val="nil"/>
                  </w:tcBorders>
                  <w:noWrap w:val="0"/>
                  <w:vAlign w:val="center"/>
                </w:tcPr>
                <w:p w14:paraId="3A37B280">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lang w:val="en-US" w:eastAsia="zh-CN"/>
                    </w:rPr>
                    <w:t>解冻废水</w:t>
                  </w:r>
                </w:p>
                <w:p w14:paraId="7A07070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cs="Times New Roman"/>
                      <w:color w:val="auto"/>
                      <w:lang w:val="en-US" w:eastAsia="zh-CN"/>
                    </w:rPr>
                    <w:t>（</w:t>
                  </w:r>
                  <w:r>
                    <w:rPr>
                      <w:rFonts w:hint="eastAsia" w:cs="Times New Roman"/>
                      <w:b w:val="0"/>
                      <w:bCs w:val="0"/>
                      <w:color w:val="auto"/>
                      <w:sz w:val="21"/>
                      <w:szCs w:val="21"/>
                      <w:highlight w:val="none"/>
                      <w:lang w:val="en-US" w:eastAsia="zh-CN"/>
                    </w:rPr>
                    <w:t>20250</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color w:val="auto"/>
                      <w:lang w:val="en-US" w:eastAsia="zh-CN"/>
                    </w:rPr>
                    <w:t>）</w:t>
                  </w:r>
                </w:p>
              </w:tc>
              <w:tc>
                <w:tcPr>
                  <w:tcW w:w="1534" w:type="dxa"/>
                  <w:tcBorders>
                    <w:tl2br w:val="nil"/>
                    <w:tr2bl w:val="nil"/>
                  </w:tcBorders>
                  <w:noWrap w:val="0"/>
                  <w:vAlign w:val="center"/>
                </w:tcPr>
                <w:p w14:paraId="3320516F">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shd w:val="clear" w:color="auto" w:fill="auto"/>
                  <w:noWrap w:val="0"/>
                  <w:vAlign w:val="center"/>
                </w:tcPr>
                <w:p w14:paraId="2E9FEB0E">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b w:val="0"/>
                      <w:bCs w:val="0"/>
                      <w:color w:val="auto"/>
                      <w:sz w:val="21"/>
                      <w:szCs w:val="21"/>
                      <w:vertAlign w:val="baseline"/>
                      <w:lang w:val="en-US" w:eastAsia="zh-CN"/>
                    </w:rPr>
                    <w:t>6.5-7.5</w:t>
                  </w:r>
                </w:p>
              </w:tc>
              <w:tc>
                <w:tcPr>
                  <w:tcW w:w="1101" w:type="dxa"/>
                  <w:tcBorders>
                    <w:tl2br w:val="nil"/>
                    <w:tr2bl w:val="nil"/>
                  </w:tcBorders>
                  <w:shd w:val="clear" w:color="auto" w:fill="auto"/>
                  <w:noWrap w:val="0"/>
                  <w:vAlign w:val="center"/>
                </w:tcPr>
                <w:p w14:paraId="704586B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2000</w:t>
                  </w:r>
                </w:p>
              </w:tc>
              <w:tc>
                <w:tcPr>
                  <w:tcW w:w="1101" w:type="dxa"/>
                  <w:tcBorders>
                    <w:tl2br w:val="nil"/>
                    <w:tr2bl w:val="nil"/>
                  </w:tcBorders>
                  <w:shd w:val="clear" w:color="auto" w:fill="auto"/>
                  <w:noWrap w:val="0"/>
                  <w:vAlign w:val="center"/>
                </w:tcPr>
                <w:p w14:paraId="404BF3DC">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1000</w:t>
                  </w:r>
                </w:p>
              </w:tc>
              <w:tc>
                <w:tcPr>
                  <w:tcW w:w="1119" w:type="dxa"/>
                  <w:tcBorders>
                    <w:tl2br w:val="nil"/>
                    <w:tr2bl w:val="nil"/>
                  </w:tcBorders>
                  <w:shd w:val="clear" w:color="auto" w:fill="auto"/>
                  <w:noWrap w:val="0"/>
                  <w:vAlign w:val="center"/>
                </w:tcPr>
                <w:p w14:paraId="72B40319">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1000</w:t>
                  </w:r>
                </w:p>
              </w:tc>
              <w:tc>
                <w:tcPr>
                  <w:tcW w:w="1156" w:type="dxa"/>
                  <w:tcBorders>
                    <w:tl2br w:val="nil"/>
                    <w:tr2bl w:val="nil"/>
                  </w:tcBorders>
                  <w:shd w:val="clear" w:color="auto" w:fill="auto"/>
                  <w:noWrap w:val="0"/>
                  <w:vAlign w:val="center"/>
                </w:tcPr>
                <w:p w14:paraId="1141BAB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70</w:t>
                  </w:r>
                </w:p>
              </w:tc>
              <w:tc>
                <w:tcPr>
                  <w:tcW w:w="1030" w:type="dxa"/>
                  <w:tcBorders>
                    <w:tl2br w:val="nil"/>
                    <w:tr2bl w:val="nil"/>
                  </w:tcBorders>
                  <w:shd w:val="clear" w:color="auto" w:fill="auto"/>
                  <w:noWrap w:val="0"/>
                  <w:vAlign w:val="center"/>
                </w:tcPr>
                <w:p w14:paraId="5532F7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w:t>
                  </w:r>
                </w:p>
              </w:tc>
              <w:tc>
                <w:tcPr>
                  <w:tcW w:w="1150" w:type="dxa"/>
                  <w:tcBorders>
                    <w:tl2br w:val="nil"/>
                    <w:tr2bl w:val="nil"/>
                  </w:tcBorders>
                  <w:shd w:val="clear" w:color="auto" w:fill="auto"/>
                  <w:noWrap w:val="0"/>
                  <w:vAlign w:val="center"/>
                </w:tcPr>
                <w:p w14:paraId="4F165A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w:t>
                  </w:r>
                </w:p>
              </w:tc>
              <w:tc>
                <w:tcPr>
                  <w:tcW w:w="1288" w:type="dxa"/>
                  <w:tcBorders>
                    <w:tl2br w:val="nil"/>
                    <w:tr2bl w:val="nil"/>
                  </w:tcBorders>
                  <w:shd w:val="clear" w:color="auto" w:fill="auto"/>
                  <w:noWrap w:val="0"/>
                  <w:vAlign w:val="center"/>
                </w:tcPr>
                <w:p w14:paraId="2826F4A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b w:val="0"/>
                      <w:bCs w:val="0"/>
                      <w:color w:val="auto"/>
                      <w:sz w:val="21"/>
                      <w:szCs w:val="21"/>
                      <w:vertAlign w:val="baseline"/>
                      <w:lang w:val="en-US" w:eastAsia="zh-CN"/>
                    </w:rPr>
                    <w:t>100</w:t>
                  </w:r>
                </w:p>
              </w:tc>
            </w:tr>
            <w:tr w14:paraId="0B357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7C35BCDD">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continue"/>
                  <w:tcBorders>
                    <w:tl2br w:val="nil"/>
                    <w:tr2bl w:val="nil"/>
                  </w:tcBorders>
                  <w:noWrap w:val="0"/>
                  <w:vAlign w:val="center"/>
                </w:tcPr>
                <w:p w14:paraId="279715DD">
                  <w:pPr>
                    <w:keepNext w:val="0"/>
                    <w:keepLines w:val="0"/>
                    <w:pageBreakBefore w:val="0"/>
                    <w:widowControl/>
                    <w:kinsoku/>
                    <w:wordWrap/>
                    <w:overflowPunct/>
                    <w:topLinePunct w:val="0"/>
                    <w:autoSpaceDE/>
                    <w:autoSpaceDN/>
                    <w:bidi w:val="0"/>
                    <w:adjustRightInd/>
                    <w:snapToGrid w:val="0"/>
                    <w:spacing w:line="340" w:lineRule="exact"/>
                    <w:jc w:val="center"/>
                    <w:rPr>
                      <w:rFonts w:hint="eastAsia" w:ascii="Times New Roman" w:hAnsi="Times New Roman" w:eastAsia="宋体" w:cs="Times New Roman"/>
                      <w:i w:val="0"/>
                      <w:color w:val="auto"/>
                      <w:kern w:val="2"/>
                      <w:sz w:val="21"/>
                      <w:szCs w:val="21"/>
                      <w:highlight w:val="none"/>
                      <w:u w:val="none"/>
                      <w:lang w:val="en-US" w:eastAsia="zh-CN" w:bidi="ar-SA"/>
                    </w:rPr>
                  </w:pPr>
                </w:p>
              </w:tc>
              <w:tc>
                <w:tcPr>
                  <w:tcW w:w="1534" w:type="dxa"/>
                  <w:tcBorders>
                    <w:tl2br w:val="nil"/>
                    <w:tr2bl w:val="nil"/>
                  </w:tcBorders>
                  <w:noWrap w:val="0"/>
                  <w:vAlign w:val="center"/>
                </w:tcPr>
                <w:p w14:paraId="3CCF4D49">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3BE3C34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i w:val="0"/>
                      <w:color w:val="auto"/>
                      <w:sz w:val="21"/>
                      <w:szCs w:val="21"/>
                      <w:highlight w:val="none"/>
                      <w:u w:val="none"/>
                      <w:lang w:val="en-US" w:eastAsia="zh-CN"/>
                    </w:rPr>
                  </w:pPr>
                  <w:r>
                    <w:rPr>
                      <w:rFonts w:hint="eastAsia" w:ascii="Times New Roman" w:hAnsi="Times New Roman" w:cs="Times New Roman"/>
                      <w:color w:val="auto"/>
                      <w:kern w:val="2"/>
                      <w:sz w:val="21"/>
                      <w:szCs w:val="21"/>
                      <w:vertAlign w:val="baseline"/>
                      <w:lang w:val="en-US" w:eastAsia="zh-CN" w:bidi="ar-SA"/>
                    </w:rPr>
                    <w:t>/</w:t>
                  </w:r>
                </w:p>
              </w:tc>
              <w:tc>
                <w:tcPr>
                  <w:tcW w:w="1101" w:type="dxa"/>
                  <w:tcBorders>
                    <w:tl2br w:val="nil"/>
                    <w:tr2bl w:val="nil"/>
                  </w:tcBorders>
                  <w:noWrap w:val="0"/>
                  <w:vAlign w:val="center"/>
                </w:tcPr>
                <w:p w14:paraId="2A04D104">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40.5</w:t>
                  </w:r>
                </w:p>
              </w:tc>
              <w:tc>
                <w:tcPr>
                  <w:tcW w:w="1101" w:type="dxa"/>
                  <w:tcBorders>
                    <w:tl2br w:val="nil"/>
                    <w:tr2bl w:val="nil"/>
                  </w:tcBorders>
                  <w:noWrap w:val="0"/>
                  <w:vAlign w:val="center"/>
                </w:tcPr>
                <w:p w14:paraId="68C946D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20.25</w:t>
                  </w:r>
                </w:p>
              </w:tc>
              <w:tc>
                <w:tcPr>
                  <w:tcW w:w="1119" w:type="dxa"/>
                  <w:tcBorders>
                    <w:tl2br w:val="nil"/>
                    <w:tr2bl w:val="nil"/>
                  </w:tcBorders>
                  <w:noWrap w:val="0"/>
                  <w:vAlign w:val="center"/>
                </w:tcPr>
                <w:p w14:paraId="7D1DB80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20.25</w:t>
                  </w:r>
                </w:p>
              </w:tc>
              <w:tc>
                <w:tcPr>
                  <w:tcW w:w="1156" w:type="dxa"/>
                  <w:tcBorders>
                    <w:tl2br w:val="nil"/>
                    <w:tr2bl w:val="nil"/>
                  </w:tcBorders>
                  <w:noWrap w:val="0"/>
                  <w:vAlign w:val="center"/>
                </w:tcPr>
                <w:p w14:paraId="3922074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1.4175 </w:t>
                  </w:r>
                </w:p>
              </w:tc>
              <w:tc>
                <w:tcPr>
                  <w:tcW w:w="1030" w:type="dxa"/>
                  <w:tcBorders>
                    <w:tl2br w:val="nil"/>
                    <w:tr2bl w:val="nil"/>
                  </w:tcBorders>
                  <w:noWrap w:val="0"/>
                  <w:vAlign w:val="center"/>
                </w:tcPr>
                <w:p w14:paraId="5F1A08F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noWrap w:val="0"/>
                  <w:vAlign w:val="center"/>
                </w:tcPr>
                <w:p w14:paraId="2C577F2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noWrap w:val="0"/>
                  <w:vAlign w:val="center"/>
                </w:tcPr>
                <w:p w14:paraId="0EBF1059">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2.025</w:t>
                  </w:r>
                </w:p>
              </w:tc>
            </w:tr>
            <w:tr w14:paraId="08D25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00168437">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restart"/>
                  <w:tcBorders>
                    <w:tl2br w:val="nil"/>
                    <w:tr2bl w:val="nil"/>
                  </w:tcBorders>
                  <w:noWrap w:val="0"/>
                  <w:vAlign w:val="center"/>
                </w:tcPr>
                <w:p w14:paraId="7364DFD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cs="Times New Roman"/>
                      <w:color w:val="auto"/>
                      <w:lang w:val="en-US" w:eastAsia="zh-CN"/>
                    </w:rPr>
                    <w:t>原料清洗废水（7</w:t>
                  </w:r>
                  <w:r>
                    <w:rPr>
                      <w:rFonts w:hint="eastAsia" w:cs="Times New Roman"/>
                      <w:b w:val="0"/>
                      <w:bCs w:val="0"/>
                      <w:color w:val="auto"/>
                      <w:sz w:val="21"/>
                      <w:szCs w:val="21"/>
                      <w:highlight w:val="none"/>
                      <w:lang w:val="en-US" w:eastAsia="zh-CN"/>
                    </w:rPr>
                    <w:t>4000</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color w:val="auto"/>
                      <w:lang w:val="en-US" w:eastAsia="zh-CN"/>
                    </w:rPr>
                    <w:t>）</w:t>
                  </w:r>
                </w:p>
              </w:tc>
              <w:tc>
                <w:tcPr>
                  <w:tcW w:w="1534" w:type="dxa"/>
                  <w:tcBorders>
                    <w:tl2br w:val="nil"/>
                    <w:tr2bl w:val="nil"/>
                  </w:tcBorders>
                  <w:noWrap w:val="0"/>
                  <w:vAlign w:val="center"/>
                </w:tcPr>
                <w:p w14:paraId="1BAA9256">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shd w:val="clear" w:color="auto" w:fill="auto"/>
                  <w:noWrap w:val="0"/>
                  <w:vAlign w:val="center"/>
                </w:tcPr>
                <w:p w14:paraId="5D0CB08E">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b w:val="0"/>
                      <w:bCs w:val="0"/>
                      <w:color w:val="auto"/>
                      <w:sz w:val="21"/>
                      <w:szCs w:val="21"/>
                      <w:vertAlign w:val="baseline"/>
                      <w:lang w:val="en-US" w:eastAsia="zh-CN"/>
                    </w:rPr>
                    <w:t>6.5-7.5</w:t>
                  </w:r>
                </w:p>
              </w:tc>
              <w:tc>
                <w:tcPr>
                  <w:tcW w:w="1101" w:type="dxa"/>
                  <w:tcBorders>
                    <w:tl2br w:val="nil"/>
                    <w:tr2bl w:val="nil"/>
                  </w:tcBorders>
                  <w:shd w:val="clear" w:color="auto" w:fill="auto"/>
                  <w:noWrap w:val="0"/>
                  <w:vAlign w:val="center"/>
                </w:tcPr>
                <w:p w14:paraId="3E741A4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1400</w:t>
                  </w:r>
                </w:p>
              </w:tc>
              <w:tc>
                <w:tcPr>
                  <w:tcW w:w="1101" w:type="dxa"/>
                  <w:tcBorders>
                    <w:tl2br w:val="nil"/>
                    <w:tr2bl w:val="nil"/>
                  </w:tcBorders>
                  <w:shd w:val="clear" w:color="auto" w:fill="auto"/>
                  <w:noWrap w:val="0"/>
                  <w:vAlign w:val="center"/>
                </w:tcPr>
                <w:p w14:paraId="20255DA9">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750</w:t>
                  </w:r>
                </w:p>
              </w:tc>
              <w:tc>
                <w:tcPr>
                  <w:tcW w:w="1119" w:type="dxa"/>
                  <w:tcBorders>
                    <w:tl2br w:val="nil"/>
                    <w:tr2bl w:val="nil"/>
                  </w:tcBorders>
                  <w:shd w:val="clear" w:color="auto" w:fill="auto"/>
                  <w:noWrap w:val="0"/>
                  <w:vAlign w:val="center"/>
                </w:tcPr>
                <w:p w14:paraId="3CBE6AB4">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750</w:t>
                  </w:r>
                </w:p>
              </w:tc>
              <w:tc>
                <w:tcPr>
                  <w:tcW w:w="1156" w:type="dxa"/>
                  <w:tcBorders>
                    <w:tl2br w:val="nil"/>
                    <w:tr2bl w:val="nil"/>
                  </w:tcBorders>
                  <w:shd w:val="clear" w:color="auto" w:fill="auto"/>
                  <w:noWrap w:val="0"/>
                  <w:vAlign w:val="center"/>
                </w:tcPr>
                <w:p w14:paraId="04893BEE">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47.5</w:t>
                  </w:r>
                </w:p>
              </w:tc>
              <w:tc>
                <w:tcPr>
                  <w:tcW w:w="1030" w:type="dxa"/>
                  <w:tcBorders>
                    <w:tl2br w:val="nil"/>
                    <w:tr2bl w:val="nil"/>
                  </w:tcBorders>
                  <w:shd w:val="clear" w:color="auto" w:fill="auto"/>
                  <w:noWrap w:val="0"/>
                  <w:vAlign w:val="center"/>
                </w:tcPr>
                <w:p w14:paraId="5AEE29E7">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shd w:val="clear" w:color="auto" w:fill="auto"/>
                  <w:noWrap w:val="0"/>
                  <w:vAlign w:val="center"/>
                </w:tcPr>
                <w:p w14:paraId="65817933">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shd w:val="clear" w:color="auto" w:fill="auto"/>
                  <w:noWrap w:val="0"/>
                  <w:vAlign w:val="center"/>
                </w:tcPr>
                <w:p w14:paraId="110D90F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65</w:t>
                  </w:r>
                </w:p>
              </w:tc>
            </w:tr>
            <w:tr w14:paraId="0B608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25A46EE5">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continue"/>
                  <w:tcBorders>
                    <w:tl2br w:val="nil"/>
                    <w:tr2bl w:val="nil"/>
                  </w:tcBorders>
                  <w:noWrap w:val="0"/>
                  <w:vAlign w:val="center"/>
                </w:tcPr>
                <w:p w14:paraId="48A95EB8">
                  <w:pPr>
                    <w:keepNext w:val="0"/>
                    <w:keepLines w:val="0"/>
                    <w:pageBreakBefore w:val="0"/>
                    <w:widowControl/>
                    <w:kinsoku/>
                    <w:wordWrap/>
                    <w:overflowPunct/>
                    <w:topLinePunct w:val="0"/>
                    <w:autoSpaceDE/>
                    <w:autoSpaceDN/>
                    <w:bidi w:val="0"/>
                    <w:adjustRightInd/>
                    <w:snapToGrid w:val="0"/>
                    <w:spacing w:line="340" w:lineRule="exact"/>
                    <w:jc w:val="center"/>
                    <w:rPr>
                      <w:rFonts w:hint="eastAsia" w:ascii="Times New Roman" w:hAnsi="Times New Roman" w:eastAsia="宋体" w:cs="Times New Roman"/>
                      <w:i w:val="0"/>
                      <w:color w:val="auto"/>
                      <w:kern w:val="2"/>
                      <w:sz w:val="21"/>
                      <w:szCs w:val="21"/>
                      <w:highlight w:val="none"/>
                      <w:u w:val="none"/>
                      <w:lang w:val="en-US" w:eastAsia="zh-CN" w:bidi="ar-SA"/>
                    </w:rPr>
                  </w:pPr>
                </w:p>
              </w:tc>
              <w:tc>
                <w:tcPr>
                  <w:tcW w:w="1534" w:type="dxa"/>
                  <w:tcBorders>
                    <w:tl2br w:val="nil"/>
                    <w:tr2bl w:val="nil"/>
                  </w:tcBorders>
                  <w:noWrap w:val="0"/>
                  <w:vAlign w:val="center"/>
                </w:tcPr>
                <w:p w14:paraId="07BE0851">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22E76B97">
                  <w:pPr>
                    <w:pStyle w:val="124"/>
                    <w:keepNext w:val="0"/>
                    <w:keepLines w:val="0"/>
                    <w:pageBreakBefore w:val="0"/>
                    <w:kinsoku/>
                    <w:wordWrap/>
                    <w:overflowPunct/>
                    <w:topLinePunct w:val="0"/>
                    <w:autoSpaceDE/>
                    <w:autoSpaceDN/>
                    <w:bidi w:val="0"/>
                    <w:adjustRightInd/>
                    <w:spacing w:line="340" w:lineRule="exact"/>
                    <w:ind w:left="0" w:leftChars="0" w:firstLine="0" w:firstLineChars="0"/>
                    <w:jc w:val="center"/>
                    <w:rPr>
                      <w:rFonts w:hint="eastAsia"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w:t>
                  </w:r>
                </w:p>
              </w:tc>
              <w:tc>
                <w:tcPr>
                  <w:tcW w:w="1101" w:type="dxa"/>
                  <w:tcBorders>
                    <w:tl2br w:val="nil"/>
                    <w:tr2bl w:val="nil"/>
                  </w:tcBorders>
                  <w:noWrap w:val="0"/>
                  <w:vAlign w:val="center"/>
                </w:tcPr>
                <w:p w14:paraId="2AF8C0B7">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103.6</w:t>
                  </w:r>
                </w:p>
              </w:tc>
              <w:tc>
                <w:tcPr>
                  <w:tcW w:w="1101" w:type="dxa"/>
                  <w:tcBorders>
                    <w:tl2br w:val="nil"/>
                    <w:tr2bl w:val="nil"/>
                  </w:tcBorders>
                  <w:noWrap w:val="0"/>
                  <w:vAlign w:val="center"/>
                </w:tcPr>
                <w:p w14:paraId="396B667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55.5</w:t>
                  </w:r>
                </w:p>
              </w:tc>
              <w:tc>
                <w:tcPr>
                  <w:tcW w:w="1119" w:type="dxa"/>
                  <w:tcBorders>
                    <w:tl2br w:val="nil"/>
                    <w:tr2bl w:val="nil"/>
                  </w:tcBorders>
                  <w:noWrap w:val="0"/>
                  <w:vAlign w:val="center"/>
                </w:tcPr>
                <w:p w14:paraId="616FE51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55.5</w:t>
                  </w:r>
                </w:p>
              </w:tc>
              <w:tc>
                <w:tcPr>
                  <w:tcW w:w="1156" w:type="dxa"/>
                  <w:tcBorders>
                    <w:tl2br w:val="nil"/>
                    <w:tr2bl w:val="nil"/>
                  </w:tcBorders>
                  <w:noWrap w:val="0"/>
                  <w:vAlign w:val="center"/>
                </w:tcPr>
                <w:p w14:paraId="68CCB097">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3.515</w:t>
                  </w:r>
                </w:p>
              </w:tc>
              <w:tc>
                <w:tcPr>
                  <w:tcW w:w="1030" w:type="dxa"/>
                  <w:tcBorders>
                    <w:tl2br w:val="nil"/>
                    <w:tr2bl w:val="nil"/>
                  </w:tcBorders>
                  <w:noWrap w:val="0"/>
                  <w:vAlign w:val="center"/>
                </w:tcPr>
                <w:p w14:paraId="20C2834C">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noWrap w:val="0"/>
                  <w:vAlign w:val="center"/>
                </w:tcPr>
                <w:p w14:paraId="0EBC3BDC">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noWrap w:val="0"/>
                  <w:vAlign w:val="center"/>
                </w:tcPr>
                <w:p w14:paraId="4B5ADC1B">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4.81</w:t>
                  </w:r>
                </w:p>
              </w:tc>
            </w:tr>
            <w:tr w14:paraId="28EB6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2BCCBA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i w:val="0"/>
                      <w:color w:val="auto"/>
                      <w:sz w:val="21"/>
                      <w:szCs w:val="21"/>
                      <w:highlight w:val="none"/>
                      <w:u w:val="none"/>
                      <w:lang w:val="en-US" w:eastAsia="zh-CN"/>
                    </w:rPr>
                  </w:pPr>
                </w:p>
              </w:tc>
              <w:tc>
                <w:tcPr>
                  <w:tcW w:w="1443" w:type="dxa"/>
                  <w:vMerge w:val="restart"/>
                  <w:tcBorders>
                    <w:tl2br w:val="nil"/>
                    <w:tr2bl w:val="nil"/>
                  </w:tcBorders>
                  <w:noWrap w:val="0"/>
                  <w:vAlign w:val="center"/>
                </w:tcPr>
                <w:p w14:paraId="43E2B2D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cs="Times New Roman"/>
                      <w:color w:val="auto"/>
                      <w:lang w:val="en-US" w:eastAsia="zh-CN"/>
                    </w:rPr>
                    <w:t>焯水废水（</w:t>
                  </w:r>
                  <w:r>
                    <w:rPr>
                      <w:rFonts w:hint="eastAsia" w:cs="Times New Roman"/>
                      <w:b w:val="0"/>
                      <w:bCs w:val="0"/>
                      <w:color w:val="auto"/>
                      <w:sz w:val="21"/>
                      <w:szCs w:val="21"/>
                      <w:highlight w:val="none"/>
                      <w:lang w:val="en-US" w:eastAsia="zh-CN"/>
                    </w:rPr>
                    <w:t>5480</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color w:val="auto"/>
                      <w:lang w:val="en-US" w:eastAsia="zh-CN"/>
                    </w:rPr>
                    <w:t>）</w:t>
                  </w:r>
                </w:p>
              </w:tc>
              <w:tc>
                <w:tcPr>
                  <w:tcW w:w="1534" w:type="dxa"/>
                  <w:tcBorders>
                    <w:tl2br w:val="nil"/>
                    <w:tr2bl w:val="nil"/>
                  </w:tcBorders>
                  <w:noWrap w:val="0"/>
                  <w:vAlign w:val="center"/>
                </w:tcPr>
                <w:p w14:paraId="477D015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shd w:val="clear" w:color="auto" w:fill="auto"/>
                  <w:noWrap w:val="0"/>
                  <w:vAlign w:val="center"/>
                </w:tcPr>
                <w:p w14:paraId="05E7D8A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b w:val="0"/>
                      <w:bCs w:val="0"/>
                      <w:color w:val="auto"/>
                      <w:sz w:val="21"/>
                      <w:szCs w:val="21"/>
                      <w:vertAlign w:val="baseline"/>
                      <w:lang w:val="en-US" w:eastAsia="zh-CN"/>
                    </w:rPr>
                    <w:t>6.5-7.5</w:t>
                  </w:r>
                </w:p>
              </w:tc>
              <w:tc>
                <w:tcPr>
                  <w:tcW w:w="1101" w:type="dxa"/>
                  <w:tcBorders>
                    <w:tl2br w:val="nil"/>
                    <w:tr2bl w:val="nil"/>
                  </w:tcBorders>
                  <w:shd w:val="clear" w:color="auto" w:fill="auto"/>
                  <w:noWrap w:val="0"/>
                  <w:vAlign w:val="center"/>
                </w:tcPr>
                <w:p w14:paraId="3CDCBD6E">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1400</w:t>
                  </w:r>
                </w:p>
              </w:tc>
              <w:tc>
                <w:tcPr>
                  <w:tcW w:w="1101" w:type="dxa"/>
                  <w:tcBorders>
                    <w:tl2br w:val="nil"/>
                    <w:tr2bl w:val="nil"/>
                  </w:tcBorders>
                  <w:shd w:val="clear" w:color="auto" w:fill="auto"/>
                  <w:noWrap w:val="0"/>
                  <w:vAlign w:val="center"/>
                </w:tcPr>
                <w:p w14:paraId="031C3F2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750</w:t>
                  </w:r>
                </w:p>
              </w:tc>
              <w:tc>
                <w:tcPr>
                  <w:tcW w:w="1119" w:type="dxa"/>
                  <w:tcBorders>
                    <w:tl2br w:val="nil"/>
                    <w:tr2bl w:val="nil"/>
                  </w:tcBorders>
                  <w:shd w:val="clear" w:color="auto" w:fill="auto"/>
                  <w:noWrap w:val="0"/>
                  <w:vAlign w:val="center"/>
                </w:tcPr>
                <w:p w14:paraId="699E7C9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750</w:t>
                  </w:r>
                </w:p>
              </w:tc>
              <w:tc>
                <w:tcPr>
                  <w:tcW w:w="1156" w:type="dxa"/>
                  <w:tcBorders>
                    <w:tl2br w:val="nil"/>
                    <w:tr2bl w:val="nil"/>
                  </w:tcBorders>
                  <w:shd w:val="clear" w:color="auto" w:fill="auto"/>
                  <w:noWrap w:val="0"/>
                  <w:vAlign w:val="center"/>
                </w:tcPr>
                <w:p w14:paraId="201FEF5C">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47.5</w:t>
                  </w:r>
                </w:p>
              </w:tc>
              <w:tc>
                <w:tcPr>
                  <w:tcW w:w="1030" w:type="dxa"/>
                  <w:tcBorders>
                    <w:tl2br w:val="nil"/>
                    <w:tr2bl w:val="nil"/>
                  </w:tcBorders>
                  <w:shd w:val="clear" w:color="auto" w:fill="auto"/>
                  <w:noWrap w:val="0"/>
                  <w:vAlign w:val="center"/>
                </w:tcPr>
                <w:p w14:paraId="14A6B4C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shd w:val="clear" w:color="auto" w:fill="auto"/>
                  <w:noWrap w:val="0"/>
                  <w:vAlign w:val="center"/>
                </w:tcPr>
                <w:p w14:paraId="0320AD8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shd w:val="clear" w:color="auto" w:fill="auto"/>
                  <w:noWrap w:val="0"/>
                  <w:vAlign w:val="center"/>
                </w:tcPr>
                <w:p w14:paraId="12177F94">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65</w:t>
                  </w:r>
                </w:p>
              </w:tc>
            </w:tr>
            <w:tr w14:paraId="19534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39FF5F1A">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continue"/>
                  <w:tcBorders>
                    <w:tl2br w:val="nil"/>
                    <w:tr2bl w:val="nil"/>
                  </w:tcBorders>
                  <w:noWrap w:val="0"/>
                  <w:vAlign w:val="center"/>
                </w:tcPr>
                <w:p w14:paraId="2064800F">
                  <w:pPr>
                    <w:keepNext w:val="0"/>
                    <w:keepLines w:val="0"/>
                    <w:pageBreakBefore w:val="0"/>
                    <w:widowControl/>
                    <w:kinsoku/>
                    <w:wordWrap/>
                    <w:overflowPunct/>
                    <w:topLinePunct w:val="0"/>
                    <w:autoSpaceDE/>
                    <w:autoSpaceDN/>
                    <w:bidi w:val="0"/>
                    <w:adjustRightInd/>
                    <w:snapToGrid w:val="0"/>
                    <w:spacing w:line="340" w:lineRule="exact"/>
                    <w:jc w:val="center"/>
                    <w:rPr>
                      <w:rFonts w:hint="eastAsia" w:ascii="Times New Roman" w:hAnsi="Times New Roman" w:eastAsia="宋体" w:cs="Times New Roman"/>
                      <w:i w:val="0"/>
                      <w:color w:val="auto"/>
                      <w:kern w:val="2"/>
                      <w:sz w:val="21"/>
                      <w:szCs w:val="21"/>
                      <w:highlight w:val="none"/>
                      <w:u w:val="none"/>
                      <w:lang w:val="en-US" w:eastAsia="zh-CN" w:bidi="ar-SA"/>
                    </w:rPr>
                  </w:pPr>
                </w:p>
              </w:tc>
              <w:tc>
                <w:tcPr>
                  <w:tcW w:w="1534" w:type="dxa"/>
                  <w:tcBorders>
                    <w:tl2br w:val="nil"/>
                    <w:tr2bl w:val="nil"/>
                  </w:tcBorders>
                  <w:noWrap w:val="0"/>
                  <w:vAlign w:val="center"/>
                </w:tcPr>
                <w:p w14:paraId="591F5A4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0E43957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20C21BB6">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7.672</w:t>
                  </w:r>
                </w:p>
              </w:tc>
              <w:tc>
                <w:tcPr>
                  <w:tcW w:w="1101" w:type="dxa"/>
                  <w:tcBorders>
                    <w:tl2br w:val="nil"/>
                    <w:tr2bl w:val="nil"/>
                  </w:tcBorders>
                  <w:noWrap w:val="0"/>
                  <w:vAlign w:val="center"/>
                </w:tcPr>
                <w:p w14:paraId="71F1E55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4.11</w:t>
                  </w:r>
                </w:p>
              </w:tc>
              <w:tc>
                <w:tcPr>
                  <w:tcW w:w="1119" w:type="dxa"/>
                  <w:tcBorders>
                    <w:tl2br w:val="nil"/>
                    <w:tr2bl w:val="nil"/>
                  </w:tcBorders>
                  <w:noWrap w:val="0"/>
                  <w:vAlign w:val="center"/>
                </w:tcPr>
                <w:p w14:paraId="68B1C633">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4.11</w:t>
                  </w:r>
                </w:p>
              </w:tc>
              <w:tc>
                <w:tcPr>
                  <w:tcW w:w="1156" w:type="dxa"/>
                  <w:tcBorders>
                    <w:tl2br w:val="nil"/>
                    <w:tr2bl w:val="nil"/>
                  </w:tcBorders>
                  <w:noWrap w:val="0"/>
                  <w:vAlign w:val="center"/>
                </w:tcPr>
                <w:p w14:paraId="2EC3B9B6">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0.2603 </w:t>
                  </w:r>
                </w:p>
              </w:tc>
              <w:tc>
                <w:tcPr>
                  <w:tcW w:w="1030" w:type="dxa"/>
                  <w:tcBorders>
                    <w:tl2br w:val="nil"/>
                    <w:tr2bl w:val="nil"/>
                  </w:tcBorders>
                  <w:noWrap w:val="0"/>
                  <w:vAlign w:val="center"/>
                </w:tcPr>
                <w:p w14:paraId="683BDF53">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noWrap w:val="0"/>
                  <w:vAlign w:val="center"/>
                </w:tcPr>
                <w:p w14:paraId="4000100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noWrap w:val="0"/>
                  <w:vAlign w:val="center"/>
                </w:tcPr>
                <w:p w14:paraId="50331CF9">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0.3562 </w:t>
                  </w:r>
                </w:p>
              </w:tc>
            </w:tr>
            <w:tr w14:paraId="5703D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5A76EB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i w:val="0"/>
                      <w:color w:val="auto"/>
                      <w:sz w:val="21"/>
                      <w:szCs w:val="21"/>
                      <w:highlight w:val="none"/>
                      <w:u w:val="none"/>
                      <w:lang w:val="en-US" w:eastAsia="zh-CN"/>
                    </w:rPr>
                  </w:pPr>
                </w:p>
              </w:tc>
              <w:tc>
                <w:tcPr>
                  <w:tcW w:w="1443" w:type="dxa"/>
                  <w:vMerge w:val="restart"/>
                  <w:tcBorders>
                    <w:tl2br w:val="nil"/>
                    <w:tr2bl w:val="nil"/>
                  </w:tcBorders>
                  <w:noWrap w:val="0"/>
                  <w:vAlign w:val="center"/>
                </w:tcPr>
                <w:p w14:paraId="7C70DBF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b w:val="0"/>
                      <w:bCs w:val="0"/>
                      <w:color w:val="auto"/>
                      <w:lang w:val="en-US" w:eastAsia="zh-CN"/>
                    </w:rPr>
                    <w:t>设备清洗废水</w:t>
                  </w:r>
                  <w:r>
                    <w:rPr>
                      <w:rFonts w:hint="eastAsia" w:cs="Times New Roman"/>
                      <w:color w:val="auto"/>
                      <w:lang w:val="en-US" w:eastAsia="zh-CN"/>
                    </w:rPr>
                    <w:t>（</w:t>
                  </w:r>
                  <w:r>
                    <w:rPr>
                      <w:rFonts w:hint="eastAsia" w:cs="Times New Roman"/>
                      <w:b w:val="0"/>
                      <w:bCs w:val="0"/>
                      <w:color w:val="auto"/>
                      <w:sz w:val="21"/>
                      <w:szCs w:val="21"/>
                      <w:highlight w:val="none"/>
                      <w:lang w:val="en-US" w:eastAsia="zh-CN"/>
                    </w:rPr>
                    <w:t>9600</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color w:val="auto"/>
                      <w:lang w:val="en-US" w:eastAsia="zh-CN"/>
                    </w:rPr>
                    <w:t>）</w:t>
                  </w:r>
                </w:p>
              </w:tc>
              <w:tc>
                <w:tcPr>
                  <w:tcW w:w="1534" w:type="dxa"/>
                  <w:tcBorders>
                    <w:tl2br w:val="nil"/>
                    <w:tr2bl w:val="nil"/>
                  </w:tcBorders>
                  <w:noWrap w:val="0"/>
                  <w:vAlign w:val="center"/>
                </w:tcPr>
                <w:p w14:paraId="6A799C7D">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noWrap w:val="0"/>
                  <w:vAlign w:val="center"/>
                </w:tcPr>
                <w:p w14:paraId="24543EF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6-9</w:t>
                  </w:r>
                </w:p>
              </w:tc>
              <w:tc>
                <w:tcPr>
                  <w:tcW w:w="1101" w:type="dxa"/>
                  <w:tcBorders>
                    <w:tl2br w:val="nil"/>
                    <w:tr2bl w:val="nil"/>
                  </w:tcBorders>
                  <w:shd w:val="clear" w:color="auto" w:fill="auto"/>
                  <w:noWrap w:val="0"/>
                  <w:vAlign w:val="center"/>
                </w:tcPr>
                <w:p w14:paraId="38B40E5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500</w:t>
                  </w:r>
                </w:p>
              </w:tc>
              <w:tc>
                <w:tcPr>
                  <w:tcW w:w="1101" w:type="dxa"/>
                  <w:tcBorders>
                    <w:tl2br w:val="nil"/>
                    <w:tr2bl w:val="nil"/>
                  </w:tcBorders>
                  <w:shd w:val="clear" w:color="auto" w:fill="auto"/>
                  <w:noWrap w:val="0"/>
                  <w:vAlign w:val="center"/>
                </w:tcPr>
                <w:p w14:paraId="34F340C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300</w:t>
                  </w:r>
                </w:p>
              </w:tc>
              <w:tc>
                <w:tcPr>
                  <w:tcW w:w="1119" w:type="dxa"/>
                  <w:tcBorders>
                    <w:tl2br w:val="nil"/>
                    <w:tr2bl w:val="nil"/>
                  </w:tcBorders>
                  <w:shd w:val="clear" w:color="auto" w:fill="auto"/>
                  <w:noWrap w:val="0"/>
                  <w:vAlign w:val="center"/>
                </w:tcPr>
                <w:p w14:paraId="79D097A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300</w:t>
                  </w:r>
                </w:p>
              </w:tc>
              <w:tc>
                <w:tcPr>
                  <w:tcW w:w="1156" w:type="dxa"/>
                  <w:tcBorders>
                    <w:tl2br w:val="nil"/>
                    <w:tr2bl w:val="nil"/>
                  </w:tcBorders>
                  <w:shd w:val="clear" w:color="auto" w:fill="auto"/>
                  <w:noWrap w:val="0"/>
                  <w:vAlign w:val="center"/>
                </w:tcPr>
                <w:p w14:paraId="7E49530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40</w:t>
                  </w:r>
                </w:p>
              </w:tc>
              <w:tc>
                <w:tcPr>
                  <w:tcW w:w="1030" w:type="dxa"/>
                  <w:tcBorders>
                    <w:tl2br w:val="nil"/>
                    <w:tr2bl w:val="nil"/>
                  </w:tcBorders>
                  <w:shd w:val="clear" w:color="auto" w:fill="auto"/>
                  <w:noWrap w:val="0"/>
                  <w:vAlign w:val="center"/>
                </w:tcPr>
                <w:p w14:paraId="66B9811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shd w:val="clear" w:color="auto" w:fill="auto"/>
                  <w:noWrap w:val="0"/>
                  <w:vAlign w:val="center"/>
                </w:tcPr>
                <w:p w14:paraId="4D77281C">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shd w:val="clear" w:color="auto" w:fill="auto"/>
                  <w:noWrap w:val="0"/>
                  <w:vAlign w:val="center"/>
                </w:tcPr>
                <w:p w14:paraId="2F6F7EE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50</w:t>
                  </w:r>
                </w:p>
              </w:tc>
            </w:tr>
            <w:tr w14:paraId="51DA9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31FB851D">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continue"/>
                  <w:tcBorders>
                    <w:tl2br w:val="nil"/>
                    <w:tr2bl w:val="nil"/>
                  </w:tcBorders>
                  <w:noWrap w:val="0"/>
                  <w:vAlign w:val="center"/>
                </w:tcPr>
                <w:p w14:paraId="323BDAA8">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noWrap w:val="0"/>
                  <w:vAlign w:val="center"/>
                </w:tcPr>
                <w:p w14:paraId="00C22C6D">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22CEC60E">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1ABD3F2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4.8</w:t>
                  </w:r>
                </w:p>
              </w:tc>
              <w:tc>
                <w:tcPr>
                  <w:tcW w:w="1101" w:type="dxa"/>
                  <w:tcBorders>
                    <w:tl2br w:val="nil"/>
                    <w:tr2bl w:val="nil"/>
                  </w:tcBorders>
                  <w:noWrap w:val="0"/>
                  <w:vAlign w:val="center"/>
                </w:tcPr>
                <w:p w14:paraId="6B383F2F">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2.88</w:t>
                  </w:r>
                </w:p>
              </w:tc>
              <w:tc>
                <w:tcPr>
                  <w:tcW w:w="1119" w:type="dxa"/>
                  <w:tcBorders>
                    <w:tl2br w:val="nil"/>
                    <w:tr2bl w:val="nil"/>
                  </w:tcBorders>
                  <w:noWrap w:val="0"/>
                  <w:vAlign w:val="center"/>
                </w:tcPr>
                <w:p w14:paraId="4F013B6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2.88</w:t>
                  </w:r>
                </w:p>
              </w:tc>
              <w:tc>
                <w:tcPr>
                  <w:tcW w:w="1156" w:type="dxa"/>
                  <w:tcBorders>
                    <w:tl2br w:val="nil"/>
                    <w:tr2bl w:val="nil"/>
                  </w:tcBorders>
                  <w:noWrap w:val="0"/>
                  <w:vAlign w:val="center"/>
                </w:tcPr>
                <w:p w14:paraId="1D1409D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0.384</w:t>
                  </w:r>
                </w:p>
              </w:tc>
              <w:tc>
                <w:tcPr>
                  <w:tcW w:w="1030" w:type="dxa"/>
                  <w:tcBorders>
                    <w:tl2br w:val="nil"/>
                    <w:tr2bl w:val="nil"/>
                  </w:tcBorders>
                  <w:noWrap w:val="0"/>
                  <w:vAlign w:val="center"/>
                </w:tcPr>
                <w:p w14:paraId="587A359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noWrap w:val="0"/>
                  <w:vAlign w:val="center"/>
                </w:tcPr>
                <w:p w14:paraId="2553F799">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noWrap w:val="0"/>
                  <w:vAlign w:val="center"/>
                </w:tcPr>
                <w:p w14:paraId="04A1CD6A">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0.48</w:t>
                  </w:r>
                </w:p>
              </w:tc>
            </w:tr>
            <w:tr w14:paraId="6D1A2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4EBB89BE">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restart"/>
                  <w:tcBorders>
                    <w:tl2br w:val="nil"/>
                    <w:tr2bl w:val="nil"/>
                  </w:tcBorders>
                  <w:noWrap w:val="0"/>
                  <w:vAlign w:val="center"/>
                </w:tcPr>
                <w:p w14:paraId="4981697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cs="Times New Roman"/>
                      <w:i w:val="0"/>
                      <w:color w:val="auto"/>
                      <w:sz w:val="21"/>
                      <w:szCs w:val="21"/>
                      <w:highlight w:val="none"/>
                      <w:u w:val="none"/>
                      <w:lang w:val="en-US" w:eastAsia="zh-CN"/>
                    </w:rPr>
                  </w:pPr>
                  <w:r>
                    <w:rPr>
                      <w:rFonts w:hint="eastAsia" w:cs="Times New Roman"/>
                      <w:color w:val="auto"/>
                      <w:lang w:val="en-US" w:eastAsia="zh-CN"/>
                    </w:rPr>
                    <w:t>地面清洗废水（</w:t>
                  </w:r>
                  <w:r>
                    <w:rPr>
                      <w:rFonts w:hint="eastAsia" w:cs="Times New Roman"/>
                      <w:b w:val="0"/>
                      <w:bCs w:val="0"/>
                      <w:color w:val="auto"/>
                      <w:sz w:val="21"/>
                      <w:szCs w:val="21"/>
                      <w:highlight w:val="none"/>
                      <w:lang w:val="en-US" w:eastAsia="zh-CN"/>
                    </w:rPr>
                    <w:t>15021</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color w:val="auto"/>
                      <w:lang w:val="en-US" w:eastAsia="zh-CN"/>
                    </w:rPr>
                    <w:t>）</w:t>
                  </w:r>
                </w:p>
              </w:tc>
              <w:tc>
                <w:tcPr>
                  <w:tcW w:w="1534" w:type="dxa"/>
                  <w:tcBorders>
                    <w:tl2br w:val="nil"/>
                    <w:tr2bl w:val="nil"/>
                  </w:tcBorders>
                  <w:noWrap w:val="0"/>
                  <w:vAlign w:val="center"/>
                </w:tcPr>
                <w:p w14:paraId="2F584F8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noWrap w:val="0"/>
                  <w:vAlign w:val="center"/>
                </w:tcPr>
                <w:p w14:paraId="68070339">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6-9</w:t>
                  </w:r>
                </w:p>
              </w:tc>
              <w:tc>
                <w:tcPr>
                  <w:tcW w:w="1101" w:type="dxa"/>
                  <w:tcBorders>
                    <w:tl2br w:val="nil"/>
                    <w:tr2bl w:val="nil"/>
                  </w:tcBorders>
                  <w:shd w:val="clear" w:color="auto" w:fill="auto"/>
                  <w:noWrap w:val="0"/>
                  <w:vAlign w:val="center"/>
                </w:tcPr>
                <w:p w14:paraId="405BAB70">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200</w:t>
                  </w:r>
                </w:p>
              </w:tc>
              <w:tc>
                <w:tcPr>
                  <w:tcW w:w="1101" w:type="dxa"/>
                  <w:tcBorders>
                    <w:tl2br w:val="nil"/>
                    <w:tr2bl w:val="nil"/>
                  </w:tcBorders>
                  <w:shd w:val="clear" w:color="auto" w:fill="auto"/>
                  <w:noWrap w:val="0"/>
                  <w:vAlign w:val="center"/>
                </w:tcPr>
                <w:p w14:paraId="74E943D9">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150</w:t>
                  </w:r>
                </w:p>
              </w:tc>
              <w:tc>
                <w:tcPr>
                  <w:tcW w:w="1119" w:type="dxa"/>
                  <w:tcBorders>
                    <w:tl2br w:val="nil"/>
                    <w:tr2bl w:val="nil"/>
                  </w:tcBorders>
                  <w:shd w:val="clear" w:color="auto" w:fill="auto"/>
                  <w:noWrap w:val="0"/>
                  <w:vAlign w:val="center"/>
                </w:tcPr>
                <w:p w14:paraId="57238FC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300</w:t>
                  </w:r>
                </w:p>
              </w:tc>
              <w:tc>
                <w:tcPr>
                  <w:tcW w:w="1156" w:type="dxa"/>
                  <w:tcBorders>
                    <w:tl2br w:val="nil"/>
                    <w:tr2bl w:val="nil"/>
                  </w:tcBorders>
                  <w:shd w:val="clear" w:color="auto" w:fill="auto"/>
                  <w:noWrap w:val="0"/>
                  <w:vAlign w:val="center"/>
                </w:tcPr>
                <w:p w14:paraId="5C0733C3">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w:t>
                  </w:r>
                </w:p>
              </w:tc>
              <w:tc>
                <w:tcPr>
                  <w:tcW w:w="1030" w:type="dxa"/>
                  <w:tcBorders>
                    <w:tl2br w:val="nil"/>
                    <w:tr2bl w:val="nil"/>
                  </w:tcBorders>
                  <w:noWrap w:val="0"/>
                  <w:vAlign w:val="center"/>
                </w:tcPr>
                <w:p w14:paraId="676DDB6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noWrap w:val="0"/>
                  <w:vAlign w:val="center"/>
                </w:tcPr>
                <w:p w14:paraId="4EE9D76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noWrap w:val="0"/>
                  <w:vAlign w:val="center"/>
                </w:tcPr>
                <w:p w14:paraId="5166357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6A462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6C14E056">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continue"/>
                  <w:tcBorders>
                    <w:tl2br w:val="nil"/>
                    <w:tr2bl w:val="nil"/>
                  </w:tcBorders>
                  <w:noWrap w:val="0"/>
                  <w:vAlign w:val="center"/>
                </w:tcPr>
                <w:p w14:paraId="2A0CDD68">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noWrap w:val="0"/>
                  <w:vAlign w:val="center"/>
                </w:tcPr>
                <w:p w14:paraId="7F6F1F85">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534A23B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5C98384F">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3.0042 </w:t>
                  </w:r>
                </w:p>
              </w:tc>
              <w:tc>
                <w:tcPr>
                  <w:tcW w:w="1101" w:type="dxa"/>
                  <w:tcBorders>
                    <w:tl2br w:val="nil"/>
                    <w:tr2bl w:val="nil"/>
                  </w:tcBorders>
                  <w:noWrap w:val="0"/>
                  <w:vAlign w:val="center"/>
                </w:tcPr>
                <w:p w14:paraId="3698D3F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2.2532 </w:t>
                  </w:r>
                </w:p>
              </w:tc>
              <w:tc>
                <w:tcPr>
                  <w:tcW w:w="1119" w:type="dxa"/>
                  <w:tcBorders>
                    <w:tl2br w:val="nil"/>
                    <w:tr2bl w:val="nil"/>
                  </w:tcBorders>
                  <w:noWrap w:val="0"/>
                  <w:vAlign w:val="center"/>
                </w:tcPr>
                <w:p w14:paraId="217625C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4.5063 </w:t>
                  </w:r>
                </w:p>
              </w:tc>
              <w:tc>
                <w:tcPr>
                  <w:tcW w:w="1156" w:type="dxa"/>
                  <w:tcBorders>
                    <w:tl2br w:val="nil"/>
                    <w:tr2bl w:val="nil"/>
                  </w:tcBorders>
                  <w:noWrap w:val="0"/>
                  <w:vAlign w:val="center"/>
                </w:tcPr>
                <w:p w14:paraId="0DB8F833">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0.3004 </w:t>
                  </w:r>
                </w:p>
              </w:tc>
              <w:tc>
                <w:tcPr>
                  <w:tcW w:w="1030" w:type="dxa"/>
                  <w:tcBorders>
                    <w:tl2br w:val="nil"/>
                    <w:tr2bl w:val="nil"/>
                  </w:tcBorders>
                  <w:noWrap w:val="0"/>
                  <w:vAlign w:val="center"/>
                </w:tcPr>
                <w:p w14:paraId="55D5296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noWrap w:val="0"/>
                  <w:vAlign w:val="center"/>
                </w:tcPr>
                <w:p w14:paraId="027587EF">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noWrap w:val="0"/>
                  <w:vAlign w:val="center"/>
                </w:tcPr>
                <w:p w14:paraId="548AAE4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7BE4C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3610EAEB">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restart"/>
                  <w:tcBorders>
                    <w:tl2br w:val="nil"/>
                    <w:tr2bl w:val="nil"/>
                  </w:tcBorders>
                  <w:shd w:val="clear" w:color="auto" w:fill="auto"/>
                  <w:noWrap w:val="0"/>
                  <w:vAlign w:val="center"/>
                </w:tcPr>
                <w:p w14:paraId="23B3FD6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cs="Times New Roman"/>
                      <w:i w:val="0"/>
                      <w:color w:val="auto"/>
                      <w:sz w:val="21"/>
                      <w:szCs w:val="21"/>
                      <w:highlight w:val="none"/>
                      <w:u w:val="none"/>
                      <w:lang w:val="en-US" w:eastAsia="zh-CN"/>
                    </w:rPr>
                  </w:pPr>
                  <w:r>
                    <w:rPr>
                      <w:rFonts w:hint="eastAsia" w:cs="Times New Roman"/>
                      <w:color w:val="auto"/>
                      <w:sz w:val="21"/>
                      <w:szCs w:val="21"/>
                      <w:lang w:val="en-US" w:eastAsia="zh-CN"/>
                    </w:rPr>
                    <w:t>锅炉废水（</w:t>
                  </w:r>
                  <w:r>
                    <w:rPr>
                      <w:rFonts w:hint="default" w:ascii="Times New Roman" w:hAnsi="Times New Roman" w:cs="Times New Roman"/>
                      <w:b w:val="0"/>
                      <w:bCs w:val="0"/>
                      <w:color w:val="auto"/>
                      <w:sz w:val="21"/>
                      <w:szCs w:val="21"/>
                      <w:highlight w:val="none"/>
                      <w:lang w:val="en-US" w:eastAsia="zh-CN"/>
                    </w:rPr>
                    <w:t>2733.70</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color w:val="auto"/>
                      <w:sz w:val="21"/>
                      <w:szCs w:val="21"/>
                      <w:lang w:val="en-US" w:eastAsia="zh-CN"/>
                    </w:rPr>
                    <w:t>）</w:t>
                  </w:r>
                </w:p>
              </w:tc>
              <w:tc>
                <w:tcPr>
                  <w:tcW w:w="1534" w:type="dxa"/>
                  <w:tcBorders>
                    <w:tl2br w:val="nil"/>
                    <w:tr2bl w:val="nil"/>
                  </w:tcBorders>
                  <w:shd w:val="clear" w:color="auto" w:fill="auto"/>
                  <w:noWrap w:val="0"/>
                  <w:vAlign w:val="center"/>
                </w:tcPr>
                <w:p w14:paraId="7D131418">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shd w:val="clear" w:color="auto" w:fill="auto"/>
                  <w:noWrap w:val="0"/>
                  <w:vAlign w:val="center"/>
                </w:tcPr>
                <w:p w14:paraId="3B1D41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6-9</w:t>
                  </w:r>
                </w:p>
              </w:tc>
              <w:tc>
                <w:tcPr>
                  <w:tcW w:w="1101" w:type="dxa"/>
                  <w:tcBorders>
                    <w:tl2br w:val="nil"/>
                    <w:tr2bl w:val="nil"/>
                  </w:tcBorders>
                  <w:shd w:val="clear" w:color="auto" w:fill="auto"/>
                  <w:noWrap w:val="0"/>
                  <w:vAlign w:val="center"/>
                </w:tcPr>
                <w:p w14:paraId="6363205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80</w:t>
                  </w:r>
                </w:p>
              </w:tc>
              <w:tc>
                <w:tcPr>
                  <w:tcW w:w="1101" w:type="dxa"/>
                  <w:tcBorders>
                    <w:tl2br w:val="nil"/>
                    <w:tr2bl w:val="nil"/>
                  </w:tcBorders>
                  <w:shd w:val="clear" w:color="auto" w:fill="auto"/>
                  <w:noWrap w:val="0"/>
                  <w:vAlign w:val="center"/>
                </w:tcPr>
                <w:p w14:paraId="642F1646">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19" w:type="dxa"/>
                  <w:tcBorders>
                    <w:tl2br w:val="nil"/>
                    <w:tr2bl w:val="nil"/>
                  </w:tcBorders>
                  <w:shd w:val="clear" w:color="auto" w:fill="auto"/>
                  <w:noWrap w:val="0"/>
                  <w:vAlign w:val="center"/>
                </w:tcPr>
                <w:p w14:paraId="7CF4B9E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c>
                <w:tcPr>
                  <w:tcW w:w="1156" w:type="dxa"/>
                  <w:tcBorders>
                    <w:tl2br w:val="nil"/>
                    <w:tr2bl w:val="nil"/>
                  </w:tcBorders>
                  <w:noWrap w:val="0"/>
                  <w:vAlign w:val="center"/>
                </w:tcPr>
                <w:p w14:paraId="49C2A34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030" w:type="dxa"/>
                  <w:tcBorders>
                    <w:tl2br w:val="nil"/>
                    <w:tr2bl w:val="nil"/>
                  </w:tcBorders>
                  <w:noWrap w:val="0"/>
                  <w:vAlign w:val="center"/>
                </w:tcPr>
                <w:p w14:paraId="0154ABEB">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noWrap w:val="0"/>
                  <w:vAlign w:val="center"/>
                </w:tcPr>
                <w:p w14:paraId="565EABC6">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noWrap w:val="0"/>
                  <w:vAlign w:val="center"/>
                </w:tcPr>
                <w:p w14:paraId="269A0C8C">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5079E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400E0C98">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continue"/>
                  <w:tcBorders>
                    <w:tl2br w:val="nil"/>
                    <w:tr2bl w:val="nil"/>
                  </w:tcBorders>
                  <w:noWrap w:val="0"/>
                  <w:vAlign w:val="center"/>
                </w:tcPr>
                <w:p w14:paraId="3486DECD">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shd w:val="clear" w:color="auto" w:fill="auto"/>
                  <w:noWrap w:val="0"/>
                  <w:vAlign w:val="center"/>
                </w:tcPr>
                <w:p w14:paraId="72AEB733">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2A1186B5">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6E7AE992">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0.2187 </w:t>
                  </w:r>
                </w:p>
              </w:tc>
              <w:tc>
                <w:tcPr>
                  <w:tcW w:w="1101" w:type="dxa"/>
                  <w:tcBorders>
                    <w:tl2br w:val="nil"/>
                    <w:tr2bl w:val="nil"/>
                  </w:tcBorders>
                  <w:noWrap w:val="0"/>
                  <w:vAlign w:val="center"/>
                </w:tcPr>
                <w:p w14:paraId="78BA9C1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19" w:type="dxa"/>
                  <w:tcBorders>
                    <w:tl2br w:val="nil"/>
                    <w:tr2bl w:val="nil"/>
                  </w:tcBorders>
                  <w:noWrap w:val="0"/>
                  <w:vAlign w:val="center"/>
                </w:tcPr>
                <w:p w14:paraId="5692F131">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0.1367 </w:t>
                  </w:r>
                </w:p>
              </w:tc>
              <w:tc>
                <w:tcPr>
                  <w:tcW w:w="1156" w:type="dxa"/>
                  <w:tcBorders>
                    <w:tl2br w:val="nil"/>
                    <w:tr2bl w:val="nil"/>
                  </w:tcBorders>
                  <w:shd w:val="clear" w:color="auto" w:fill="auto"/>
                  <w:noWrap w:val="0"/>
                  <w:vAlign w:val="center"/>
                </w:tcPr>
                <w:p w14:paraId="2BFBA229">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030" w:type="dxa"/>
                  <w:tcBorders>
                    <w:tl2br w:val="nil"/>
                    <w:tr2bl w:val="nil"/>
                  </w:tcBorders>
                  <w:shd w:val="clear" w:color="auto" w:fill="auto"/>
                  <w:noWrap w:val="0"/>
                  <w:vAlign w:val="center"/>
                </w:tcPr>
                <w:p w14:paraId="593B3427">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shd w:val="clear" w:color="auto" w:fill="auto"/>
                  <w:noWrap w:val="0"/>
                  <w:vAlign w:val="center"/>
                </w:tcPr>
                <w:p w14:paraId="46C7E75C">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88" w:type="dxa"/>
                  <w:tcBorders>
                    <w:tl2br w:val="nil"/>
                    <w:tr2bl w:val="nil"/>
                  </w:tcBorders>
                  <w:shd w:val="clear" w:color="auto" w:fill="auto"/>
                  <w:noWrap w:val="0"/>
                  <w:vAlign w:val="center"/>
                </w:tcPr>
                <w:p w14:paraId="7903C705">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7569B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67FBF1DE">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restart"/>
                  <w:tcBorders>
                    <w:tl2br w:val="nil"/>
                    <w:tr2bl w:val="nil"/>
                  </w:tcBorders>
                  <w:noWrap w:val="0"/>
                  <w:vAlign w:val="center"/>
                </w:tcPr>
                <w:p w14:paraId="773F341A">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lang w:val="en-US" w:eastAsia="zh-CN"/>
                    </w:rPr>
                    <w:t>冷库除霜</w:t>
                  </w:r>
                  <w:r>
                    <w:rPr>
                      <w:rFonts w:hint="eastAsia"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水</w:t>
                  </w:r>
                  <w:r>
                    <w:rPr>
                      <w:rFonts w:hint="eastAsia" w:cs="Times New Roman"/>
                      <w:color w:val="auto"/>
                      <w:sz w:val="21"/>
                      <w:szCs w:val="21"/>
                      <w:lang w:val="en-US" w:eastAsia="zh-CN"/>
                    </w:rPr>
                    <w:t>（</w:t>
                  </w:r>
                  <w:r>
                    <w:rPr>
                      <w:rFonts w:hint="eastAsia" w:cs="Times New Roman"/>
                      <w:b w:val="0"/>
                      <w:bCs w:val="0"/>
                      <w:color w:val="auto"/>
                      <w:sz w:val="21"/>
                      <w:szCs w:val="21"/>
                      <w:highlight w:val="none"/>
                      <w:lang w:val="en-US" w:eastAsia="zh-CN"/>
                    </w:rPr>
                    <w:t>40</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color w:val="auto"/>
                      <w:sz w:val="21"/>
                      <w:szCs w:val="21"/>
                      <w:lang w:val="en-US" w:eastAsia="zh-CN"/>
                    </w:rPr>
                    <w:t>）</w:t>
                  </w:r>
                </w:p>
              </w:tc>
              <w:tc>
                <w:tcPr>
                  <w:tcW w:w="1534" w:type="dxa"/>
                  <w:tcBorders>
                    <w:tl2br w:val="nil"/>
                    <w:tr2bl w:val="nil"/>
                  </w:tcBorders>
                  <w:shd w:val="clear" w:color="auto" w:fill="auto"/>
                  <w:noWrap w:val="0"/>
                  <w:vAlign w:val="center"/>
                </w:tcPr>
                <w:p w14:paraId="2C489A21">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noWrap w:val="0"/>
                  <w:vAlign w:val="center"/>
                </w:tcPr>
                <w:p w14:paraId="35D38AB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6-9</w:t>
                  </w:r>
                </w:p>
              </w:tc>
              <w:tc>
                <w:tcPr>
                  <w:tcW w:w="1101" w:type="dxa"/>
                  <w:tcBorders>
                    <w:tl2br w:val="nil"/>
                    <w:tr2bl w:val="nil"/>
                  </w:tcBorders>
                  <w:shd w:val="clear" w:color="auto" w:fill="auto"/>
                  <w:noWrap w:val="0"/>
                  <w:vAlign w:val="center"/>
                </w:tcPr>
                <w:p w14:paraId="0B1FFA3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200</w:t>
                  </w:r>
                </w:p>
              </w:tc>
              <w:tc>
                <w:tcPr>
                  <w:tcW w:w="1101" w:type="dxa"/>
                  <w:tcBorders>
                    <w:tl2br w:val="nil"/>
                    <w:tr2bl w:val="nil"/>
                  </w:tcBorders>
                  <w:shd w:val="clear" w:color="auto" w:fill="auto"/>
                  <w:noWrap w:val="0"/>
                  <w:vAlign w:val="center"/>
                </w:tcPr>
                <w:p w14:paraId="1A25D37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150</w:t>
                  </w:r>
                </w:p>
              </w:tc>
              <w:tc>
                <w:tcPr>
                  <w:tcW w:w="1119" w:type="dxa"/>
                  <w:tcBorders>
                    <w:tl2br w:val="nil"/>
                    <w:tr2bl w:val="nil"/>
                  </w:tcBorders>
                  <w:shd w:val="clear" w:color="auto" w:fill="auto"/>
                  <w:noWrap w:val="0"/>
                  <w:vAlign w:val="center"/>
                </w:tcPr>
                <w:p w14:paraId="5A80E96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200</w:t>
                  </w:r>
                </w:p>
              </w:tc>
              <w:tc>
                <w:tcPr>
                  <w:tcW w:w="1156" w:type="dxa"/>
                  <w:tcBorders>
                    <w:tl2br w:val="nil"/>
                    <w:tr2bl w:val="nil"/>
                  </w:tcBorders>
                  <w:shd w:val="clear" w:color="auto" w:fill="auto"/>
                  <w:noWrap w:val="0"/>
                  <w:vAlign w:val="center"/>
                </w:tcPr>
                <w:p w14:paraId="685D671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w:t>
                  </w:r>
                </w:p>
              </w:tc>
              <w:tc>
                <w:tcPr>
                  <w:tcW w:w="1030" w:type="dxa"/>
                  <w:tcBorders>
                    <w:tl2br w:val="nil"/>
                    <w:tr2bl w:val="nil"/>
                  </w:tcBorders>
                  <w:shd w:val="clear" w:color="auto" w:fill="auto"/>
                  <w:noWrap w:val="0"/>
                  <w:vAlign w:val="center"/>
                </w:tcPr>
                <w:p w14:paraId="000DC5A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150" w:type="dxa"/>
                  <w:tcBorders>
                    <w:tl2br w:val="nil"/>
                    <w:tr2bl w:val="nil"/>
                  </w:tcBorders>
                  <w:shd w:val="clear" w:color="auto" w:fill="auto"/>
                  <w:noWrap w:val="0"/>
                  <w:vAlign w:val="center"/>
                </w:tcPr>
                <w:p w14:paraId="17A3F778">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288" w:type="dxa"/>
                  <w:tcBorders>
                    <w:tl2br w:val="nil"/>
                    <w:tr2bl w:val="nil"/>
                  </w:tcBorders>
                  <w:shd w:val="clear" w:color="auto" w:fill="auto"/>
                  <w:noWrap w:val="0"/>
                  <w:vAlign w:val="center"/>
                </w:tcPr>
                <w:p w14:paraId="67788B4A">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0BB0D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91" w:type="dxa"/>
                  <w:vMerge w:val="continue"/>
                  <w:tcBorders>
                    <w:tl2br w:val="nil"/>
                    <w:tr2bl w:val="nil"/>
                  </w:tcBorders>
                  <w:noWrap w:val="0"/>
                  <w:vAlign w:val="center"/>
                </w:tcPr>
                <w:p w14:paraId="2E705426">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443" w:type="dxa"/>
                  <w:vMerge w:val="continue"/>
                  <w:tcBorders>
                    <w:tl2br w:val="nil"/>
                    <w:tr2bl w:val="nil"/>
                  </w:tcBorders>
                  <w:noWrap w:val="0"/>
                  <w:vAlign w:val="center"/>
                </w:tcPr>
                <w:p w14:paraId="2866D901">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shd w:val="clear" w:color="auto" w:fill="auto"/>
                  <w:noWrap w:val="0"/>
                  <w:vAlign w:val="center"/>
                </w:tcPr>
                <w:p w14:paraId="73FA0C49">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08E6C1B3">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31E9B03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0.0080 </w:t>
                  </w:r>
                </w:p>
              </w:tc>
              <w:tc>
                <w:tcPr>
                  <w:tcW w:w="1101" w:type="dxa"/>
                  <w:tcBorders>
                    <w:tl2br w:val="nil"/>
                    <w:tr2bl w:val="nil"/>
                  </w:tcBorders>
                  <w:noWrap w:val="0"/>
                  <w:vAlign w:val="center"/>
                </w:tcPr>
                <w:p w14:paraId="5A1D613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0.0060 </w:t>
                  </w:r>
                </w:p>
              </w:tc>
              <w:tc>
                <w:tcPr>
                  <w:tcW w:w="1119" w:type="dxa"/>
                  <w:tcBorders>
                    <w:tl2br w:val="nil"/>
                    <w:tr2bl w:val="nil"/>
                  </w:tcBorders>
                  <w:noWrap w:val="0"/>
                  <w:vAlign w:val="center"/>
                </w:tcPr>
                <w:p w14:paraId="4C69FA9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0.0080 </w:t>
                  </w:r>
                </w:p>
              </w:tc>
              <w:tc>
                <w:tcPr>
                  <w:tcW w:w="1156" w:type="dxa"/>
                  <w:tcBorders>
                    <w:tl2br w:val="nil"/>
                    <w:tr2bl w:val="nil"/>
                  </w:tcBorders>
                  <w:shd w:val="clear" w:color="auto" w:fill="auto"/>
                  <w:noWrap w:val="0"/>
                  <w:vAlign w:val="center"/>
                </w:tcPr>
                <w:p w14:paraId="7994421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0.0008 </w:t>
                  </w:r>
                </w:p>
              </w:tc>
              <w:tc>
                <w:tcPr>
                  <w:tcW w:w="1030" w:type="dxa"/>
                  <w:tcBorders>
                    <w:tl2br w:val="nil"/>
                    <w:tr2bl w:val="nil"/>
                  </w:tcBorders>
                  <w:shd w:val="clear" w:color="auto" w:fill="auto"/>
                  <w:noWrap w:val="0"/>
                  <w:vAlign w:val="center"/>
                </w:tcPr>
                <w:p w14:paraId="10503F89">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150" w:type="dxa"/>
                  <w:tcBorders>
                    <w:tl2br w:val="nil"/>
                    <w:tr2bl w:val="nil"/>
                  </w:tcBorders>
                  <w:shd w:val="clear" w:color="auto" w:fill="auto"/>
                  <w:noWrap w:val="0"/>
                  <w:vAlign w:val="center"/>
                </w:tcPr>
                <w:p w14:paraId="1EC4C3CD">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288" w:type="dxa"/>
                  <w:tcBorders>
                    <w:tl2br w:val="nil"/>
                    <w:tr2bl w:val="nil"/>
                  </w:tcBorders>
                  <w:shd w:val="clear" w:color="auto" w:fill="auto"/>
                  <w:noWrap w:val="0"/>
                  <w:vAlign w:val="center"/>
                </w:tcPr>
                <w:p w14:paraId="34F629C6">
                  <w:pPr>
                    <w:pStyle w:val="1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50153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restart"/>
                  <w:tcBorders>
                    <w:tl2br w:val="nil"/>
                    <w:tr2bl w:val="nil"/>
                  </w:tcBorders>
                  <w:noWrap w:val="0"/>
                  <w:vAlign w:val="center"/>
                </w:tcPr>
                <w:p w14:paraId="6EB76E0D">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生活污水+生产废水</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b w:val="0"/>
                      <w:bCs w:val="0"/>
                      <w:color w:val="auto"/>
                      <w:sz w:val="21"/>
                      <w:szCs w:val="21"/>
                      <w:highlight w:val="none"/>
                      <w:lang w:val="en-US" w:eastAsia="zh-CN"/>
                    </w:rPr>
                    <w:t>136844.7</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p>
              </w:tc>
              <w:tc>
                <w:tcPr>
                  <w:tcW w:w="1534" w:type="dxa"/>
                  <w:tcBorders>
                    <w:tl2br w:val="nil"/>
                    <w:tr2bl w:val="nil"/>
                  </w:tcBorders>
                  <w:noWrap w:val="0"/>
                  <w:vAlign w:val="center"/>
                </w:tcPr>
                <w:p w14:paraId="4B246504">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产生浓度mg/L</w:t>
                  </w:r>
                </w:p>
              </w:tc>
              <w:tc>
                <w:tcPr>
                  <w:tcW w:w="831" w:type="dxa"/>
                  <w:tcBorders>
                    <w:tl2br w:val="nil"/>
                    <w:tr2bl w:val="nil"/>
                  </w:tcBorders>
                  <w:noWrap w:val="0"/>
                  <w:vAlign w:val="center"/>
                </w:tcPr>
                <w:p w14:paraId="127BF69E">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6-</w:t>
                  </w:r>
                  <w:r>
                    <w:rPr>
                      <w:rFonts w:hint="eastAsia" w:cs="Times New Roman"/>
                      <w:i w:val="0"/>
                      <w:color w:val="auto"/>
                      <w:sz w:val="21"/>
                      <w:szCs w:val="21"/>
                      <w:highlight w:val="none"/>
                      <w:u w:val="none"/>
                      <w:lang w:val="en-US" w:eastAsia="zh-CN"/>
                    </w:rPr>
                    <w:t>8.5</w:t>
                  </w:r>
                </w:p>
              </w:tc>
              <w:tc>
                <w:tcPr>
                  <w:tcW w:w="1101" w:type="dxa"/>
                  <w:tcBorders>
                    <w:tl2br w:val="nil"/>
                    <w:tr2bl w:val="nil"/>
                  </w:tcBorders>
                  <w:noWrap w:val="0"/>
                  <w:vAlign w:val="center"/>
                </w:tcPr>
                <w:p w14:paraId="7533707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1180.20 </w:t>
                  </w:r>
                </w:p>
              </w:tc>
              <w:tc>
                <w:tcPr>
                  <w:tcW w:w="1101" w:type="dxa"/>
                  <w:tcBorders>
                    <w:tl2br w:val="nil"/>
                    <w:tr2bl w:val="nil"/>
                  </w:tcBorders>
                  <w:noWrap w:val="0"/>
                  <w:vAlign w:val="center"/>
                </w:tcPr>
                <w:p w14:paraId="393C1A5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628.59 </w:t>
                  </w:r>
                </w:p>
              </w:tc>
              <w:tc>
                <w:tcPr>
                  <w:tcW w:w="1119" w:type="dxa"/>
                  <w:tcBorders>
                    <w:tl2br w:val="nil"/>
                    <w:tr2bl w:val="nil"/>
                  </w:tcBorders>
                  <w:noWrap w:val="0"/>
                  <w:vAlign w:val="center"/>
                </w:tcPr>
                <w:p w14:paraId="1AE0D72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647.14 </w:t>
                  </w:r>
                </w:p>
              </w:tc>
              <w:tc>
                <w:tcPr>
                  <w:tcW w:w="1156" w:type="dxa"/>
                  <w:tcBorders>
                    <w:tl2br w:val="nil"/>
                    <w:tr2bl w:val="nil"/>
                  </w:tcBorders>
                  <w:noWrap w:val="0"/>
                  <w:vAlign w:val="center"/>
                </w:tcPr>
                <w:p w14:paraId="47B5DE6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44.64 </w:t>
                  </w:r>
                </w:p>
              </w:tc>
              <w:tc>
                <w:tcPr>
                  <w:tcW w:w="1030" w:type="dxa"/>
                  <w:tcBorders>
                    <w:tl2br w:val="nil"/>
                    <w:tr2bl w:val="nil"/>
                  </w:tcBorders>
                  <w:shd w:val="clear" w:color="auto" w:fill="auto"/>
                  <w:noWrap w:val="0"/>
                  <w:vAlign w:val="center"/>
                </w:tcPr>
                <w:p w14:paraId="04F9F67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0.64 </w:t>
                  </w:r>
                </w:p>
              </w:tc>
              <w:tc>
                <w:tcPr>
                  <w:tcW w:w="1150" w:type="dxa"/>
                  <w:tcBorders>
                    <w:tl2br w:val="nil"/>
                    <w:tr2bl w:val="nil"/>
                  </w:tcBorders>
                  <w:noWrap w:val="0"/>
                  <w:vAlign w:val="center"/>
                </w:tcPr>
                <w:p w14:paraId="6128AA2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2.36 </w:t>
                  </w:r>
                </w:p>
              </w:tc>
              <w:tc>
                <w:tcPr>
                  <w:tcW w:w="1288" w:type="dxa"/>
                  <w:tcBorders>
                    <w:tl2br w:val="nil"/>
                    <w:tr2bl w:val="nil"/>
                  </w:tcBorders>
                  <w:noWrap w:val="0"/>
                  <w:vAlign w:val="center"/>
                </w:tcPr>
                <w:p w14:paraId="51636C1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58.08 </w:t>
                  </w:r>
                </w:p>
              </w:tc>
            </w:tr>
            <w:tr w14:paraId="16CFF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3BFCE09E">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noWrap w:val="0"/>
                  <w:vAlign w:val="center"/>
                </w:tcPr>
                <w:p w14:paraId="482952B9">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产生量t/a</w:t>
                  </w:r>
                </w:p>
              </w:tc>
              <w:tc>
                <w:tcPr>
                  <w:tcW w:w="831" w:type="dxa"/>
                  <w:tcBorders>
                    <w:tl2br w:val="nil"/>
                    <w:tr2bl w:val="nil"/>
                  </w:tcBorders>
                  <w:noWrap w:val="0"/>
                  <w:vAlign w:val="center"/>
                </w:tcPr>
                <w:p w14:paraId="4FDF1B0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3AE513D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161.5039 </w:t>
                  </w:r>
                </w:p>
              </w:tc>
              <w:tc>
                <w:tcPr>
                  <w:tcW w:w="1101" w:type="dxa"/>
                  <w:tcBorders>
                    <w:tl2br w:val="nil"/>
                    <w:tr2bl w:val="nil"/>
                  </w:tcBorders>
                  <w:noWrap w:val="0"/>
                  <w:vAlign w:val="center"/>
                </w:tcPr>
                <w:p w14:paraId="4D5B862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86.0198 </w:t>
                  </w:r>
                </w:p>
              </w:tc>
              <w:tc>
                <w:tcPr>
                  <w:tcW w:w="1119" w:type="dxa"/>
                  <w:tcBorders>
                    <w:tl2br w:val="nil"/>
                    <w:tr2bl w:val="nil"/>
                  </w:tcBorders>
                  <w:noWrap w:val="0"/>
                  <w:vAlign w:val="center"/>
                </w:tcPr>
                <w:p w14:paraId="7AEE46D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88.5574 </w:t>
                  </w:r>
                </w:p>
              </w:tc>
              <w:tc>
                <w:tcPr>
                  <w:tcW w:w="1156" w:type="dxa"/>
                  <w:tcBorders>
                    <w:tl2br w:val="nil"/>
                    <w:tr2bl w:val="nil"/>
                  </w:tcBorders>
                  <w:noWrap w:val="0"/>
                  <w:vAlign w:val="center"/>
                </w:tcPr>
                <w:p w14:paraId="251BA7B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6.1089 </w:t>
                  </w:r>
                </w:p>
              </w:tc>
              <w:tc>
                <w:tcPr>
                  <w:tcW w:w="1030" w:type="dxa"/>
                  <w:tcBorders>
                    <w:tl2br w:val="nil"/>
                    <w:tr2bl w:val="nil"/>
                  </w:tcBorders>
                  <w:noWrap w:val="0"/>
                  <w:vAlign w:val="center"/>
                </w:tcPr>
                <w:p w14:paraId="590835D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0.0875 </w:t>
                  </w:r>
                </w:p>
              </w:tc>
              <w:tc>
                <w:tcPr>
                  <w:tcW w:w="1150" w:type="dxa"/>
                  <w:tcBorders>
                    <w:tl2br w:val="nil"/>
                    <w:tr2bl w:val="nil"/>
                  </w:tcBorders>
                  <w:noWrap w:val="0"/>
                  <w:vAlign w:val="center"/>
                </w:tcPr>
                <w:p w14:paraId="7641E2E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0.3232 </w:t>
                  </w:r>
                </w:p>
              </w:tc>
              <w:tc>
                <w:tcPr>
                  <w:tcW w:w="1288" w:type="dxa"/>
                  <w:tcBorders>
                    <w:tl2br w:val="nil"/>
                    <w:tr2bl w:val="nil"/>
                  </w:tcBorders>
                  <w:noWrap w:val="0"/>
                  <w:vAlign w:val="center"/>
                </w:tcPr>
                <w:p w14:paraId="188CF61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7.9482 </w:t>
                  </w:r>
                </w:p>
              </w:tc>
            </w:tr>
            <w:tr w14:paraId="2ABA8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264D9D1B">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shd w:val="clear" w:color="auto" w:fill="auto"/>
                  <w:noWrap w:val="0"/>
                  <w:vAlign w:val="center"/>
                </w:tcPr>
                <w:p w14:paraId="4BDEBD9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治理措施</w:t>
                  </w:r>
                </w:p>
              </w:tc>
              <w:tc>
                <w:tcPr>
                  <w:tcW w:w="8776" w:type="dxa"/>
                  <w:gridSpan w:val="8"/>
                  <w:tcBorders>
                    <w:tl2br w:val="nil"/>
                    <w:tr2bl w:val="nil"/>
                  </w:tcBorders>
                  <w:shd w:val="clear" w:color="auto" w:fill="auto"/>
                  <w:noWrap w:val="0"/>
                  <w:vAlign w:val="center"/>
                </w:tcPr>
                <w:p w14:paraId="5833811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格栅-隔油池-调节池-A/O工艺</w:t>
                  </w:r>
                  <w:r>
                    <w:rPr>
                      <w:rFonts w:hint="eastAsia" w:ascii="Times New Roman" w:hAnsi="Times New Roman" w:eastAsia="宋体" w:cs="Times New Roman"/>
                      <w:i w:val="0"/>
                      <w:iCs w:val="0"/>
                      <w:color w:val="000000"/>
                      <w:kern w:val="0"/>
                      <w:sz w:val="21"/>
                      <w:szCs w:val="21"/>
                      <w:u w:val="none"/>
                      <w:lang w:val="en-US" w:eastAsia="zh-CN" w:bidi="ar"/>
                    </w:rPr>
                    <w:t>一体化设备-混凝沉淀池</w:t>
                  </w:r>
                </w:p>
              </w:tc>
            </w:tr>
            <w:tr w14:paraId="55E3F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746CBE3F">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noWrap w:val="0"/>
                  <w:vAlign w:val="center"/>
                </w:tcPr>
                <w:p w14:paraId="6BBDABD4">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sz w:val="21"/>
                      <w:szCs w:val="21"/>
                      <w:highlight w:val="none"/>
                      <w:u w:val="none"/>
                      <w:lang w:val="en-US" w:eastAsia="zh-CN"/>
                    </w:rPr>
                    <w:t>处理效率%</w:t>
                  </w:r>
                </w:p>
              </w:tc>
              <w:tc>
                <w:tcPr>
                  <w:tcW w:w="831" w:type="dxa"/>
                  <w:tcBorders>
                    <w:tl2br w:val="nil"/>
                    <w:tr2bl w:val="nil"/>
                  </w:tcBorders>
                  <w:noWrap w:val="0"/>
                  <w:vAlign w:val="center"/>
                </w:tcPr>
                <w:p w14:paraId="0F1250B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1C8764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101" w:type="dxa"/>
                  <w:tcBorders>
                    <w:tl2br w:val="nil"/>
                    <w:tr2bl w:val="nil"/>
                  </w:tcBorders>
                  <w:noWrap w:val="0"/>
                  <w:vAlign w:val="center"/>
                </w:tcPr>
                <w:p w14:paraId="3F8F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70</w:t>
                  </w:r>
                </w:p>
              </w:tc>
              <w:tc>
                <w:tcPr>
                  <w:tcW w:w="1119" w:type="dxa"/>
                  <w:tcBorders>
                    <w:tl2br w:val="nil"/>
                    <w:tr2bl w:val="nil"/>
                  </w:tcBorders>
                  <w:noWrap w:val="0"/>
                  <w:vAlign w:val="center"/>
                </w:tcPr>
                <w:p w14:paraId="4DF72E0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156" w:type="dxa"/>
                  <w:tcBorders>
                    <w:tl2br w:val="nil"/>
                    <w:tr2bl w:val="nil"/>
                  </w:tcBorders>
                  <w:noWrap w:val="0"/>
                  <w:vAlign w:val="center"/>
                </w:tcPr>
                <w:p w14:paraId="4B0E02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30" w:type="dxa"/>
                  <w:tcBorders>
                    <w:tl2br w:val="nil"/>
                    <w:tr2bl w:val="nil"/>
                  </w:tcBorders>
                  <w:noWrap w:val="0"/>
                  <w:vAlign w:val="center"/>
                </w:tcPr>
                <w:p w14:paraId="0DA07D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150" w:type="dxa"/>
                  <w:tcBorders>
                    <w:tl2br w:val="nil"/>
                    <w:tr2bl w:val="nil"/>
                  </w:tcBorders>
                  <w:noWrap w:val="0"/>
                  <w:vAlign w:val="center"/>
                </w:tcPr>
                <w:p w14:paraId="30AD4C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88" w:type="dxa"/>
                  <w:tcBorders>
                    <w:tl2br w:val="nil"/>
                    <w:tr2bl w:val="nil"/>
                  </w:tcBorders>
                  <w:noWrap w:val="0"/>
                  <w:vAlign w:val="center"/>
                </w:tcPr>
                <w:p w14:paraId="5DCF41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95</w:t>
                  </w:r>
                </w:p>
              </w:tc>
            </w:tr>
            <w:tr w14:paraId="743F1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346069B6">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noWrap w:val="0"/>
                  <w:vAlign w:val="center"/>
                </w:tcPr>
                <w:p w14:paraId="2C025913">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排放浓度mg/L</w:t>
                  </w:r>
                </w:p>
              </w:tc>
              <w:tc>
                <w:tcPr>
                  <w:tcW w:w="831" w:type="dxa"/>
                  <w:tcBorders>
                    <w:tl2br w:val="nil"/>
                    <w:tr2bl w:val="nil"/>
                  </w:tcBorders>
                  <w:noWrap w:val="0"/>
                  <w:vAlign w:val="center"/>
                </w:tcPr>
                <w:p w14:paraId="62B9E175">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6-</w:t>
                  </w:r>
                  <w:r>
                    <w:rPr>
                      <w:rFonts w:hint="eastAsia" w:cs="Times New Roman"/>
                      <w:i w:val="0"/>
                      <w:color w:val="auto"/>
                      <w:sz w:val="21"/>
                      <w:szCs w:val="21"/>
                      <w:highlight w:val="none"/>
                      <w:u w:val="none"/>
                      <w:lang w:val="en-US" w:eastAsia="zh-CN"/>
                    </w:rPr>
                    <w:t>8.5</w:t>
                  </w:r>
                </w:p>
              </w:tc>
              <w:tc>
                <w:tcPr>
                  <w:tcW w:w="1101" w:type="dxa"/>
                  <w:tcBorders>
                    <w:tl2br w:val="nil"/>
                    <w:tr2bl w:val="nil"/>
                  </w:tcBorders>
                  <w:noWrap w:val="0"/>
                  <w:vAlign w:val="center"/>
                </w:tcPr>
                <w:p w14:paraId="150A07B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236.04 </w:t>
                  </w:r>
                </w:p>
              </w:tc>
              <w:tc>
                <w:tcPr>
                  <w:tcW w:w="1101" w:type="dxa"/>
                  <w:tcBorders>
                    <w:tl2br w:val="nil"/>
                    <w:tr2bl w:val="nil"/>
                  </w:tcBorders>
                  <w:noWrap w:val="0"/>
                  <w:vAlign w:val="center"/>
                </w:tcPr>
                <w:p w14:paraId="27A6F0A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188.58 </w:t>
                  </w:r>
                </w:p>
              </w:tc>
              <w:tc>
                <w:tcPr>
                  <w:tcW w:w="1119" w:type="dxa"/>
                  <w:tcBorders>
                    <w:tl2br w:val="nil"/>
                    <w:tr2bl w:val="nil"/>
                  </w:tcBorders>
                  <w:noWrap w:val="0"/>
                  <w:vAlign w:val="center"/>
                </w:tcPr>
                <w:p w14:paraId="39DDA17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64.71 </w:t>
                  </w:r>
                </w:p>
              </w:tc>
              <w:tc>
                <w:tcPr>
                  <w:tcW w:w="1156" w:type="dxa"/>
                  <w:tcBorders>
                    <w:tl2br w:val="nil"/>
                    <w:tr2bl w:val="nil"/>
                  </w:tcBorders>
                  <w:noWrap w:val="0"/>
                  <w:vAlign w:val="center"/>
                </w:tcPr>
                <w:p w14:paraId="1F3C6AA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22.32 </w:t>
                  </w:r>
                </w:p>
              </w:tc>
              <w:tc>
                <w:tcPr>
                  <w:tcW w:w="1030" w:type="dxa"/>
                  <w:tcBorders>
                    <w:tl2br w:val="nil"/>
                    <w:tr2bl w:val="nil"/>
                  </w:tcBorders>
                  <w:shd w:val="clear" w:color="auto" w:fill="auto"/>
                  <w:noWrap w:val="0"/>
                  <w:vAlign w:val="center"/>
                </w:tcPr>
                <w:p w14:paraId="040D2A4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0.45 </w:t>
                  </w:r>
                </w:p>
              </w:tc>
              <w:tc>
                <w:tcPr>
                  <w:tcW w:w="1150" w:type="dxa"/>
                  <w:tcBorders>
                    <w:tl2br w:val="nil"/>
                    <w:tr2bl w:val="nil"/>
                  </w:tcBorders>
                  <w:noWrap w:val="0"/>
                  <w:vAlign w:val="center"/>
                </w:tcPr>
                <w:p w14:paraId="490C200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1.18 </w:t>
                  </w:r>
                </w:p>
              </w:tc>
              <w:tc>
                <w:tcPr>
                  <w:tcW w:w="1288" w:type="dxa"/>
                  <w:tcBorders>
                    <w:tl2br w:val="nil"/>
                    <w:tr2bl w:val="nil"/>
                  </w:tcBorders>
                  <w:noWrap w:val="0"/>
                  <w:vAlign w:val="center"/>
                </w:tcPr>
                <w:p w14:paraId="3E3259D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2.90 </w:t>
                  </w:r>
                </w:p>
              </w:tc>
            </w:tr>
            <w:tr w14:paraId="0BD10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noWrap w:val="0"/>
                  <w:vAlign w:val="center"/>
                </w:tcPr>
                <w:p w14:paraId="4A599D3E">
                  <w:pPr>
                    <w:keepNext w:val="0"/>
                    <w:keepLines w:val="0"/>
                    <w:pageBreakBefore w:val="0"/>
                    <w:widowControl/>
                    <w:kinsoku/>
                    <w:wordWrap/>
                    <w:overflowPunct/>
                    <w:topLinePunct w:val="0"/>
                    <w:autoSpaceDE/>
                    <w:autoSpaceDN/>
                    <w:bidi w:val="0"/>
                    <w:adjustRightInd/>
                    <w:snapToGrid w:val="0"/>
                    <w:spacing w:line="340" w:lineRule="exact"/>
                    <w:jc w:val="center"/>
                    <w:rPr>
                      <w:rFonts w:hint="eastAsia" w:cs="Times New Roman"/>
                      <w:i w:val="0"/>
                      <w:color w:val="auto"/>
                      <w:sz w:val="21"/>
                      <w:szCs w:val="21"/>
                      <w:highlight w:val="none"/>
                      <w:u w:val="none"/>
                      <w:lang w:val="en-US" w:eastAsia="zh-CN"/>
                    </w:rPr>
                  </w:pPr>
                </w:p>
              </w:tc>
              <w:tc>
                <w:tcPr>
                  <w:tcW w:w="1534" w:type="dxa"/>
                  <w:tcBorders>
                    <w:tl2br w:val="nil"/>
                    <w:tr2bl w:val="nil"/>
                  </w:tcBorders>
                  <w:noWrap w:val="0"/>
                  <w:vAlign w:val="center"/>
                </w:tcPr>
                <w:p w14:paraId="511C6BC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排放</w:t>
                  </w:r>
                  <w:r>
                    <w:rPr>
                      <w:rFonts w:hint="default" w:ascii="Times New Roman" w:hAnsi="Times New Roman" w:eastAsia="宋体" w:cs="Times New Roman"/>
                      <w:i w:val="0"/>
                      <w:color w:val="auto"/>
                      <w:kern w:val="0"/>
                      <w:sz w:val="21"/>
                      <w:szCs w:val="21"/>
                      <w:highlight w:val="none"/>
                      <w:u w:val="none"/>
                      <w:lang w:val="en-US" w:eastAsia="zh-CN" w:bidi="ar"/>
                    </w:rPr>
                    <w:t>量t/a</w:t>
                  </w:r>
                </w:p>
              </w:tc>
              <w:tc>
                <w:tcPr>
                  <w:tcW w:w="831" w:type="dxa"/>
                  <w:tcBorders>
                    <w:tl2br w:val="nil"/>
                    <w:tr2bl w:val="nil"/>
                  </w:tcBorders>
                  <w:noWrap w:val="0"/>
                  <w:vAlign w:val="center"/>
                </w:tcPr>
                <w:p w14:paraId="3DD0CEA1">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080E31B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32.3008 </w:t>
                  </w:r>
                </w:p>
              </w:tc>
              <w:tc>
                <w:tcPr>
                  <w:tcW w:w="1101" w:type="dxa"/>
                  <w:tcBorders>
                    <w:tl2br w:val="nil"/>
                    <w:tr2bl w:val="nil"/>
                  </w:tcBorders>
                  <w:noWrap w:val="0"/>
                  <w:vAlign w:val="center"/>
                </w:tcPr>
                <w:p w14:paraId="7A1AB60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25.8059 </w:t>
                  </w:r>
                </w:p>
              </w:tc>
              <w:tc>
                <w:tcPr>
                  <w:tcW w:w="1119" w:type="dxa"/>
                  <w:tcBorders>
                    <w:tl2br w:val="nil"/>
                    <w:tr2bl w:val="nil"/>
                  </w:tcBorders>
                  <w:noWrap w:val="0"/>
                  <w:vAlign w:val="center"/>
                </w:tcPr>
                <w:p w14:paraId="4411193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8.8557 </w:t>
                  </w:r>
                </w:p>
              </w:tc>
              <w:tc>
                <w:tcPr>
                  <w:tcW w:w="1156" w:type="dxa"/>
                  <w:tcBorders>
                    <w:tl2br w:val="nil"/>
                    <w:tr2bl w:val="nil"/>
                  </w:tcBorders>
                  <w:noWrap w:val="0"/>
                  <w:vAlign w:val="center"/>
                </w:tcPr>
                <w:p w14:paraId="6232F06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3.0544 </w:t>
                  </w:r>
                </w:p>
              </w:tc>
              <w:tc>
                <w:tcPr>
                  <w:tcW w:w="1030" w:type="dxa"/>
                  <w:tcBorders>
                    <w:tl2br w:val="nil"/>
                    <w:tr2bl w:val="nil"/>
                  </w:tcBorders>
                  <w:shd w:val="clear" w:color="auto" w:fill="auto"/>
                  <w:noWrap w:val="0"/>
                  <w:vAlign w:val="center"/>
                </w:tcPr>
                <w:p w14:paraId="21A9AD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0.0612 </w:t>
                  </w:r>
                </w:p>
              </w:tc>
              <w:tc>
                <w:tcPr>
                  <w:tcW w:w="1150" w:type="dxa"/>
                  <w:tcBorders>
                    <w:tl2br w:val="nil"/>
                    <w:tr2bl w:val="nil"/>
                  </w:tcBorders>
                  <w:noWrap w:val="0"/>
                  <w:vAlign w:val="center"/>
                </w:tcPr>
                <w:p w14:paraId="0A4C9DB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0.1616 </w:t>
                  </w:r>
                </w:p>
              </w:tc>
              <w:tc>
                <w:tcPr>
                  <w:tcW w:w="1288" w:type="dxa"/>
                  <w:tcBorders>
                    <w:tl2br w:val="nil"/>
                    <w:tr2bl w:val="nil"/>
                  </w:tcBorders>
                  <w:noWrap w:val="0"/>
                  <w:vAlign w:val="center"/>
                </w:tcPr>
                <w:p w14:paraId="016723C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0.3974 </w:t>
                  </w:r>
                </w:p>
              </w:tc>
            </w:tr>
            <w:tr w14:paraId="076FA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tcBorders>
                    <w:tl2br w:val="nil"/>
                    <w:tr2bl w:val="nil"/>
                  </w:tcBorders>
                  <w:shd w:val="clear" w:color="auto" w:fill="auto"/>
                  <w:noWrap w:val="0"/>
                  <w:vAlign w:val="center"/>
                </w:tcPr>
                <w:p w14:paraId="6B04F04D">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cs="Times New Roman"/>
                      <w:b/>
                      <w:bCs/>
                      <w:i w:val="0"/>
                      <w:color w:val="auto"/>
                      <w:sz w:val="21"/>
                      <w:szCs w:val="21"/>
                      <w:highlight w:val="none"/>
                      <w:u w:val="none"/>
                      <w:lang w:val="en-US" w:eastAsia="zh-CN"/>
                    </w:rPr>
                    <w:t>废水种类</w:t>
                  </w:r>
                </w:p>
              </w:tc>
              <w:tc>
                <w:tcPr>
                  <w:tcW w:w="1534" w:type="dxa"/>
                  <w:tcBorders>
                    <w:tl2br w:val="nil"/>
                    <w:tr2bl w:val="nil"/>
                  </w:tcBorders>
                  <w:shd w:val="clear" w:color="auto" w:fill="auto"/>
                  <w:noWrap w:val="0"/>
                  <w:vAlign w:val="center"/>
                </w:tcPr>
                <w:p w14:paraId="4D36B0D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主要项目</w:t>
                  </w:r>
                </w:p>
              </w:tc>
              <w:tc>
                <w:tcPr>
                  <w:tcW w:w="831" w:type="dxa"/>
                  <w:tcBorders>
                    <w:tl2br w:val="nil"/>
                    <w:tr2bl w:val="nil"/>
                  </w:tcBorders>
                  <w:shd w:val="clear" w:color="auto" w:fill="auto"/>
                  <w:noWrap w:val="0"/>
                  <w:vAlign w:val="center"/>
                </w:tcPr>
                <w:p w14:paraId="005AF23C">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cs="Times New Roman"/>
                      <w:b/>
                      <w:bCs/>
                      <w:i w:val="0"/>
                      <w:color w:val="auto"/>
                      <w:kern w:val="0"/>
                      <w:sz w:val="21"/>
                      <w:szCs w:val="21"/>
                      <w:highlight w:val="none"/>
                      <w:u w:val="none"/>
                      <w:lang w:val="en-US" w:eastAsia="zh-CN" w:bidi="ar"/>
                    </w:rPr>
                    <w:t>pH</w:t>
                  </w:r>
                </w:p>
              </w:tc>
              <w:tc>
                <w:tcPr>
                  <w:tcW w:w="1101" w:type="dxa"/>
                  <w:tcBorders>
                    <w:tl2br w:val="nil"/>
                    <w:tr2bl w:val="nil"/>
                  </w:tcBorders>
                  <w:shd w:val="clear" w:color="auto" w:fill="auto"/>
                  <w:noWrap w:val="0"/>
                  <w:vAlign w:val="center"/>
                </w:tcPr>
                <w:p w14:paraId="2556A962">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COD</w:t>
                  </w:r>
                  <w:r>
                    <w:rPr>
                      <w:rFonts w:hint="eastAsia" w:ascii="Times New Roman" w:hAnsi="Times New Roman" w:eastAsia="宋体" w:cs="Times New Roman"/>
                      <w:b/>
                      <w:bCs/>
                      <w:i w:val="0"/>
                      <w:color w:val="auto"/>
                      <w:kern w:val="0"/>
                      <w:sz w:val="21"/>
                      <w:szCs w:val="21"/>
                      <w:highlight w:val="none"/>
                      <w:u w:val="none"/>
                      <w:vertAlign w:val="subscript"/>
                      <w:lang w:val="en-US" w:eastAsia="zh-CN" w:bidi="ar"/>
                    </w:rPr>
                    <w:t>C</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r</w:t>
                  </w:r>
                </w:p>
              </w:tc>
              <w:tc>
                <w:tcPr>
                  <w:tcW w:w="1101" w:type="dxa"/>
                  <w:tcBorders>
                    <w:tl2br w:val="nil"/>
                    <w:tr2bl w:val="nil"/>
                  </w:tcBorders>
                  <w:shd w:val="clear" w:color="auto" w:fill="auto"/>
                  <w:noWrap w:val="0"/>
                  <w:vAlign w:val="center"/>
                </w:tcPr>
                <w:p w14:paraId="18735326">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BOD</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5</w:t>
                  </w:r>
                </w:p>
              </w:tc>
              <w:tc>
                <w:tcPr>
                  <w:tcW w:w="1119" w:type="dxa"/>
                  <w:tcBorders>
                    <w:tl2br w:val="nil"/>
                    <w:tr2bl w:val="nil"/>
                  </w:tcBorders>
                  <w:shd w:val="clear" w:color="auto" w:fill="auto"/>
                  <w:noWrap w:val="0"/>
                  <w:vAlign w:val="center"/>
                </w:tcPr>
                <w:p w14:paraId="104B46CD">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SS</w:t>
                  </w:r>
                </w:p>
              </w:tc>
              <w:tc>
                <w:tcPr>
                  <w:tcW w:w="1156" w:type="dxa"/>
                  <w:tcBorders>
                    <w:tl2br w:val="nil"/>
                    <w:tr2bl w:val="nil"/>
                  </w:tcBorders>
                  <w:shd w:val="clear" w:color="auto" w:fill="auto"/>
                  <w:noWrap w:val="0"/>
                  <w:vAlign w:val="center"/>
                </w:tcPr>
                <w:p w14:paraId="2608742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i w:val="0"/>
                      <w:color w:val="auto"/>
                      <w:kern w:val="0"/>
                      <w:sz w:val="21"/>
                      <w:szCs w:val="21"/>
                      <w:highlight w:val="none"/>
                      <w:u w:val="none"/>
                      <w:lang w:val="en-US" w:eastAsia="zh-CN" w:bidi="ar"/>
                    </w:rPr>
                    <w:t>NH</w:t>
                  </w:r>
                  <w:r>
                    <w:rPr>
                      <w:rFonts w:hint="eastAsia" w:cs="Times New Roman"/>
                      <w:b/>
                      <w:bCs/>
                      <w:i w:val="0"/>
                      <w:color w:val="auto"/>
                      <w:kern w:val="0"/>
                      <w:sz w:val="21"/>
                      <w:szCs w:val="21"/>
                      <w:highlight w:val="none"/>
                      <w:u w:val="none"/>
                      <w:vertAlign w:val="subscript"/>
                      <w:lang w:val="en-US" w:eastAsia="zh-CN" w:bidi="ar"/>
                    </w:rPr>
                    <w:t>3</w:t>
                  </w:r>
                  <w:r>
                    <w:rPr>
                      <w:rFonts w:hint="eastAsia" w:cs="Times New Roman"/>
                      <w:b/>
                      <w:bCs/>
                      <w:i w:val="0"/>
                      <w:color w:val="auto"/>
                      <w:kern w:val="0"/>
                      <w:sz w:val="21"/>
                      <w:szCs w:val="21"/>
                      <w:highlight w:val="none"/>
                      <w:u w:val="none"/>
                      <w:lang w:val="en-US" w:eastAsia="zh-CN" w:bidi="ar"/>
                    </w:rPr>
                    <w:t>-N</w:t>
                  </w:r>
                </w:p>
              </w:tc>
              <w:tc>
                <w:tcPr>
                  <w:tcW w:w="1030" w:type="dxa"/>
                  <w:tcBorders>
                    <w:tl2br w:val="nil"/>
                    <w:tr2bl w:val="nil"/>
                  </w:tcBorders>
                  <w:shd w:val="clear" w:color="auto" w:fill="auto"/>
                  <w:noWrap w:val="0"/>
                  <w:vAlign w:val="center"/>
                </w:tcPr>
                <w:p w14:paraId="56F287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color w:val="auto"/>
                      <w:sz w:val="21"/>
                      <w:szCs w:val="21"/>
                      <w:vertAlign w:val="baseline"/>
                      <w:lang w:val="en-US" w:eastAsia="zh-CN"/>
                    </w:rPr>
                    <w:t>TP</w:t>
                  </w:r>
                </w:p>
              </w:tc>
              <w:tc>
                <w:tcPr>
                  <w:tcW w:w="1150" w:type="dxa"/>
                  <w:tcBorders>
                    <w:tl2br w:val="nil"/>
                    <w:tr2bl w:val="nil"/>
                  </w:tcBorders>
                  <w:shd w:val="clear" w:color="auto" w:fill="auto"/>
                  <w:noWrap w:val="0"/>
                  <w:vAlign w:val="center"/>
                </w:tcPr>
                <w:p w14:paraId="30479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color w:val="auto"/>
                      <w:sz w:val="21"/>
                      <w:szCs w:val="21"/>
                      <w:vertAlign w:val="baseline"/>
                      <w:lang w:val="en-US" w:eastAsia="zh-CN"/>
                    </w:rPr>
                    <w:t>TN</w:t>
                  </w:r>
                </w:p>
              </w:tc>
              <w:tc>
                <w:tcPr>
                  <w:tcW w:w="1288" w:type="dxa"/>
                  <w:tcBorders>
                    <w:tl2br w:val="nil"/>
                    <w:tr2bl w:val="nil"/>
                  </w:tcBorders>
                  <w:shd w:val="clear" w:color="auto" w:fill="auto"/>
                  <w:noWrap w:val="0"/>
                  <w:vAlign w:val="center"/>
                </w:tcPr>
                <w:p w14:paraId="3A3BD9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color w:val="auto"/>
                      <w:sz w:val="21"/>
                      <w:szCs w:val="21"/>
                      <w:vertAlign w:val="baseline"/>
                      <w:lang w:val="en-US" w:eastAsia="zh-CN"/>
                    </w:rPr>
                    <w:t>动植物油</w:t>
                  </w:r>
                </w:p>
              </w:tc>
            </w:tr>
            <w:tr w14:paraId="2F0D6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restart"/>
                  <w:tcBorders>
                    <w:tl2br w:val="nil"/>
                    <w:tr2bl w:val="nil"/>
                  </w:tcBorders>
                  <w:shd w:val="clear" w:color="auto" w:fill="auto"/>
                  <w:noWrap w:val="0"/>
                  <w:vAlign w:val="center"/>
                </w:tcPr>
                <w:p w14:paraId="3D93BCBC">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b/>
                      <w:bCs/>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生活污水+生产废水</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b w:val="0"/>
                      <w:bCs w:val="0"/>
                      <w:color w:val="auto"/>
                      <w:sz w:val="21"/>
                      <w:szCs w:val="21"/>
                      <w:highlight w:val="none"/>
                      <w:lang w:val="en-US" w:eastAsia="zh-CN"/>
                    </w:rPr>
                    <w:t>136844.7</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p>
              </w:tc>
              <w:tc>
                <w:tcPr>
                  <w:tcW w:w="1534" w:type="dxa"/>
                  <w:tcBorders>
                    <w:tl2br w:val="nil"/>
                    <w:tr2bl w:val="nil"/>
                  </w:tcBorders>
                  <w:shd w:val="clear" w:color="auto" w:fill="auto"/>
                  <w:noWrap w:val="0"/>
                  <w:vAlign w:val="center"/>
                </w:tcPr>
                <w:p w14:paraId="494D98E4">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排放浓度mg/L</w:t>
                  </w:r>
                </w:p>
              </w:tc>
              <w:tc>
                <w:tcPr>
                  <w:tcW w:w="831" w:type="dxa"/>
                  <w:tcBorders>
                    <w:tl2br w:val="nil"/>
                    <w:tr2bl w:val="nil"/>
                  </w:tcBorders>
                  <w:shd w:val="clear" w:color="auto" w:fill="auto"/>
                  <w:noWrap w:val="0"/>
                  <w:vAlign w:val="center"/>
                </w:tcPr>
                <w:p w14:paraId="78DB706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cs="Times New Roman"/>
                      <w:i w:val="0"/>
                      <w:color w:val="auto"/>
                      <w:sz w:val="21"/>
                      <w:szCs w:val="21"/>
                      <w:highlight w:val="none"/>
                      <w:u w:val="none"/>
                      <w:lang w:val="en-US" w:eastAsia="zh-CN"/>
                    </w:rPr>
                    <w:t>6-</w:t>
                  </w:r>
                  <w:r>
                    <w:rPr>
                      <w:rFonts w:hint="eastAsia" w:cs="Times New Roman"/>
                      <w:i w:val="0"/>
                      <w:color w:val="auto"/>
                      <w:sz w:val="21"/>
                      <w:szCs w:val="21"/>
                      <w:highlight w:val="none"/>
                      <w:u w:val="none"/>
                      <w:lang w:val="en-US" w:eastAsia="zh-CN"/>
                    </w:rPr>
                    <w:t>8.5</w:t>
                  </w:r>
                </w:p>
              </w:tc>
              <w:tc>
                <w:tcPr>
                  <w:tcW w:w="1101" w:type="dxa"/>
                  <w:tcBorders>
                    <w:tl2br w:val="nil"/>
                    <w:tr2bl w:val="nil"/>
                  </w:tcBorders>
                  <w:shd w:val="clear" w:color="auto" w:fill="auto"/>
                  <w:noWrap w:val="0"/>
                  <w:vAlign w:val="center"/>
                </w:tcPr>
                <w:p w14:paraId="5B982B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236.04 </w:t>
                  </w:r>
                </w:p>
              </w:tc>
              <w:tc>
                <w:tcPr>
                  <w:tcW w:w="1101" w:type="dxa"/>
                  <w:tcBorders>
                    <w:tl2br w:val="nil"/>
                    <w:tr2bl w:val="nil"/>
                  </w:tcBorders>
                  <w:shd w:val="clear" w:color="auto" w:fill="auto"/>
                  <w:noWrap w:val="0"/>
                  <w:vAlign w:val="center"/>
                </w:tcPr>
                <w:p w14:paraId="3E09F8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188.58 </w:t>
                  </w:r>
                </w:p>
              </w:tc>
              <w:tc>
                <w:tcPr>
                  <w:tcW w:w="1119" w:type="dxa"/>
                  <w:tcBorders>
                    <w:tl2br w:val="nil"/>
                    <w:tr2bl w:val="nil"/>
                  </w:tcBorders>
                  <w:shd w:val="clear" w:color="auto" w:fill="auto"/>
                  <w:noWrap w:val="0"/>
                  <w:vAlign w:val="center"/>
                </w:tcPr>
                <w:p w14:paraId="00AA64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64.71 </w:t>
                  </w:r>
                </w:p>
              </w:tc>
              <w:tc>
                <w:tcPr>
                  <w:tcW w:w="1156" w:type="dxa"/>
                  <w:tcBorders>
                    <w:tl2br w:val="nil"/>
                    <w:tr2bl w:val="nil"/>
                  </w:tcBorders>
                  <w:shd w:val="clear" w:color="auto" w:fill="auto"/>
                  <w:noWrap w:val="0"/>
                  <w:vAlign w:val="center"/>
                </w:tcPr>
                <w:p w14:paraId="10B57D1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22.32 </w:t>
                  </w:r>
                </w:p>
              </w:tc>
              <w:tc>
                <w:tcPr>
                  <w:tcW w:w="1030" w:type="dxa"/>
                  <w:tcBorders>
                    <w:tl2br w:val="nil"/>
                    <w:tr2bl w:val="nil"/>
                  </w:tcBorders>
                  <w:shd w:val="clear" w:color="auto" w:fill="auto"/>
                  <w:noWrap w:val="0"/>
                  <w:vAlign w:val="center"/>
                </w:tcPr>
                <w:p w14:paraId="70DE6ED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0.45 </w:t>
                  </w:r>
                </w:p>
              </w:tc>
              <w:tc>
                <w:tcPr>
                  <w:tcW w:w="1150" w:type="dxa"/>
                  <w:tcBorders>
                    <w:tl2br w:val="nil"/>
                    <w:tr2bl w:val="nil"/>
                  </w:tcBorders>
                  <w:shd w:val="clear" w:color="auto" w:fill="auto"/>
                  <w:noWrap w:val="0"/>
                  <w:vAlign w:val="center"/>
                </w:tcPr>
                <w:p w14:paraId="0CA14F3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1.18 </w:t>
                  </w:r>
                </w:p>
              </w:tc>
              <w:tc>
                <w:tcPr>
                  <w:tcW w:w="1288" w:type="dxa"/>
                  <w:tcBorders>
                    <w:tl2br w:val="nil"/>
                    <w:tr2bl w:val="nil"/>
                  </w:tcBorders>
                  <w:shd w:val="clear" w:color="auto" w:fill="auto"/>
                  <w:noWrap w:val="0"/>
                  <w:vAlign w:val="center"/>
                </w:tcPr>
                <w:p w14:paraId="5E62B1A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2.90 </w:t>
                  </w:r>
                </w:p>
              </w:tc>
            </w:tr>
            <w:tr w14:paraId="551D8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shd w:val="clear" w:color="auto" w:fill="auto"/>
                  <w:noWrap w:val="0"/>
                  <w:vAlign w:val="center"/>
                </w:tcPr>
                <w:p w14:paraId="73444BFC">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b/>
                      <w:bCs/>
                      <w:i w:val="0"/>
                      <w:color w:val="auto"/>
                      <w:sz w:val="21"/>
                      <w:szCs w:val="21"/>
                      <w:highlight w:val="none"/>
                      <w:u w:val="none"/>
                      <w:lang w:val="en-US" w:eastAsia="zh-CN"/>
                    </w:rPr>
                  </w:pPr>
                </w:p>
              </w:tc>
              <w:tc>
                <w:tcPr>
                  <w:tcW w:w="1534" w:type="dxa"/>
                  <w:tcBorders>
                    <w:tl2br w:val="nil"/>
                    <w:tr2bl w:val="nil"/>
                  </w:tcBorders>
                  <w:shd w:val="clear" w:color="auto" w:fill="auto"/>
                  <w:noWrap w:val="0"/>
                  <w:vAlign w:val="center"/>
                </w:tcPr>
                <w:p w14:paraId="5E65256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排放</w:t>
                  </w:r>
                  <w:r>
                    <w:rPr>
                      <w:rFonts w:hint="default" w:ascii="Times New Roman" w:hAnsi="Times New Roman" w:eastAsia="宋体" w:cs="Times New Roman"/>
                      <w:i w:val="0"/>
                      <w:color w:val="auto"/>
                      <w:kern w:val="0"/>
                      <w:sz w:val="21"/>
                      <w:szCs w:val="21"/>
                      <w:highlight w:val="none"/>
                      <w:u w:val="none"/>
                      <w:lang w:val="en-US" w:eastAsia="zh-CN" w:bidi="ar"/>
                    </w:rPr>
                    <w:t>量t/a</w:t>
                  </w:r>
                </w:p>
              </w:tc>
              <w:tc>
                <w:tcPr>
                  <w:tcW w:w="831" w:type="dxa"/>
                  <w:tcBorders>
                    <w:tl2br w:val="nil"/>
                    <w:tr2bl w:val="nil"/>
                  </w:tcBorders>
                  <w:shd w:val="clear" w:color="auto" w:fill="auto"/>
                  <w:noWrap w:val="0"/>
                  <w:vAlign w:val="center"/>
                </w:tcPr>
                <w:p w14:paraId="49A5AF02">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shd w:val="clear" w:color="auto" w:fill="auto"/>
                  <w:noWrap w:val="0"/>
                  <w:vAlign w:val="center"/>
                </w:tcPr>
                <w:p w14:paraId="4A3E3F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32.3008 </w:t>
                  </w:r>
                </w:p>
              </w:tc>
              <w:tc>
                <w:tcPr>
                  <w:tcW w:w="1101" w:type="dxa"/>
                  <w:tcBorders>
                    <w:tl2br w:val="nil"/>
                    <w:tr2bl w:val="nil"/>
                  </w:tcBorders>
                  <w:shd w:val="clear" w:color="auto" w:fill="auto"/>
                  <w:noWrap w:val="0"/>
                  <w:vAlign w:val="center"/>
                </w:tcPr>
                <w:p w14:paraId="7FA36A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25.8059 </w:t>
                  </w:r>
                </w:p>
              </w:tc>
              <w:tc>
                <w:tcPr>
                  <w:tcW w:w="1119" w:type="dxa"/>
                  <w:tcBorders>
                    <w:tl2br w:val="nil"/>
                    <w:tr2bl w:val="nil"/>
                  </w:tcBorders>
                  <w:shd w:val="clear" w:color="auto" w:fill="auto"/>
                  <w:noWrap w:val="0"/>
                  <w:vAlign w:val="center"/>
                </w:tcPr>
                <w:p w14:paraId="266994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8.8557 </w:t>
                  </w:r>
                </w:p>
              </w:tc>
              <w:tc>
                <w:tcPr>
                  <w:tcW w:w="1156" w:type="dxa"/>
                  <w:tcBorders>
                    <w:tl2br w:val="nil"/>
                    <w:tr2bl w:val="nil"/>
                  </w:tcBorders>
                  <w:shd w:val="clear" w:color="auto" w:fill="auto"/>
                  <w:noWrap w:val="0"/>
                  <w:vAlign w:val="center"/>
                </w:tcPr>
                <w:p w14:paraId="6C405E7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3.0544 </w:t>
                  </w:r>
                </w:p>
              </w:tc>
              <w:tc>
                <w:tcPr>
                  <w:tcW w:w="1030" w:type="dxa"/>
                  <w:tcBorders>
                    <w:tl2br w:val="nil"/>
                    <w:tr2bl w:val="nil"/>
                  </w:tcBorders>
                  <w:shd w:val="clear" w:color="auto" w:fill="auto"/>
                  <w:noWrap w:val="0"/>
                  <w:vAlign w:val="center"/>
                </w:tcPr>
                <w:p w14:paraId="6E7018F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0.0612 </w:t>
                  </w:r>
                </w:p>
              </w:tc>
              <w:tc>
                <w:tcPr>
                  <w:tcW w:w="1150" w:type="dxa"/>
                  <w:tcBorders>
                    <w:tl2br w:val="nil"/>
                    <w:tr2bl w:val="nil"/>
                  </w:tcBorders>
                  <w:shd w:val="clear" w:color="auto" w:fill="auto"/>
                  <w:noWrap w:val="0"/>
                  <w:vAlign w:val="center"/>
                </w:tcPr>
                <w:p w14:paraId="30484FF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0.1616 </w:t>
                  </w:r>
                </w:p>
              </w:tc>
              <w:tc>
                <w:tcPr>
                  <w:tcW w:w="1288" w:type="dxa"/>
                  <w:tcBorders>
                    <w:tl2br w:val="nil"/>
                    <w:tr2bl w:val="nil"/>
                  </w:tcBorders>
                  <w:shd w:val="clear" w:color="auto" w:fill="auto"/>
                  <w:noWrap w:val="0"/>
                  <w:vAlign w:val="center"/>
                </w:tcPr>
                <w:p w14:paraId="400EE80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0.3974 </w:t>
                  </w:r>
                </w:p>
              </w:tc>
            </w:tr>
            <w:tr w14:paraId="4E11B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restart"/>
                  <w:tcBorders>
                    <w:tl2br w:val="nil"/>
                    <w:tr2bl w:val="nil"/>
                  </w:tcBorders>
                  <w:shd w:val="clear" w:color="auto" w:fill="auto"/>
                  <w:noWrap w:val="0"/>
                  <w:vAlign w:val="center"/>
                </w:tcPr>
                <w:p w14:paraId="008ED301">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cs="Times New Roman"/>
                      <w:b/>
                      <w:bCs/>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纯水制备浓水（</w:t>
                  </w:r>
                  <w:r>
                    <w:rPr>
                      <w:rFonts w:hint="eastAsia" w:ascii="Times New Roman" w:hAnsi="Times New Roman" w:cs="Times New Roman"/>
                      <w:color w:val="auto"/>
                      <w:sz w:val="21"/>
                      <w:szCs w:val="21"/>
                      <w:highlight w:val="none"/>
                      <w:lang w:val="en-US" w:eastAsia="zh-CN"/>
                    </w:rPr>
                    <w:t>51835.18</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i w:val="0"/>
                      <w:color w:val="auto"/>
                      <w:sz w:val="21"/>
                      <w:szCs w:val="21"/>
                      <w:highlight w:val="none"/>
                      <w:u w:val="none"/>
                      <w:lang w:val="en-US" w:eastAsia="zh-CN"/>
                    </w:rPr>
                    <w:t>）</w:t>
                  </w:r>
                </w:p>
              </w:tc>
              <w:tc>
                <w:tcPr>
                  <w:tcW w:w="1534" w:type="dxa"/>
                  <w:tcBorders>
                    <w:tl2br w:val="nil"/>
                    <w:tr2bl w:val="nil"/>
                  </w:tcBorders>
                  <w:shd w:val="clear" w:color="auto" w:fill="auto"/>
                  <w:noWrap w:val="0"/>
                  <w:vAlign w:val="center"/>
                </w:tcPr>
                <w:p w14:paraId="3ACE488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排放浓度mg/L</w:t>
                  </w:r>
                </w:p>
              </w:tc>
              <w:tc>
                <w:tcPr>
                  <w:tcW w:w="831" w:type="dxa"/>
                  <w:tcBorders>
                    <w:tl2br w:val="nil"/>
                    <w:tr2bl w:val="nil"/>
                  </w:tcBorders>
                  <w:shd w:val="clear" w:color="auto" w:fill="auto"/>
                  <w:noWrap w:val="0"/>
                  <w:vAlign w:val="center"/>
                </w:tcPr>
                <w:p w14:paraId="18BBD3FD">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6-9</w:t>
                  </w:r>
                </w:p>
              </w:tc>
              <w:tc>
                <w:tcPr>
                  <w:tcW w:w="1101" w:type="dxa"/>
                  <w:tcBorders>
                    <w:tl2br w:val="nil"/>
                    <w:tr2bl w:val="nil"/>
                  </w:tcBorders>
                  <w:shd w:val="clear" w:color="auto" w:fill="auto"/>
                  <w:noWrap w:val="0"/>
                  <w:vAlign w:val="center"/>
                </w:tcPr>
                <w:p w14:paraId="750F01D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50</w:t>
                  </w:r>
                </w:p>
              </w:tc>
              <w:tc>
                <w:tcPr>
                  <w:tcW w:w="1101" w:type="dxa"/>
                  <w:tcBorders>
                    <w:tl2br w:val="nil"/>
                    <w:tr2bl w:val="nil"/>
                  </w:tcBorders>
                  <w:shd w:val="clear" w:color="auto" w:fill="auto"/>
                  <w:noWrap w:val="0"/>
                  <w:vAlign w:val="center"/>
                </w:tcPr>
                <w:p w14:paraId="5649AE0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50</w:t>
                  </w:r>
                </w:p>
              </w:tc>
              <w:tc>
                <w:tcPr>
                  <w:tcW w:w="1119" w:type="dxa"/>
                  <w:tcBorders>
                    <w:tl2br w:val="nil"/>
                    <w:tr2bl w:val="nil"/>
                  </w:tcBorders>
                  <w:shd w:val="clear" w:color="auto" w:fill="auto"/>
                  <w:noWrap w:val="0"/>
                  <w:vAlign w:val="center"/>
                </w:tcPr>
                <w:p w14:paraId="6D7E821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60</w:t>
                  </w:r>
                </w:p>
              </w:tc>
              <w:tc>
                <w:tcPr>
                  <w:tcW w:w="1156" w:type="dxa"/>
                  <w:tcBorders>
                    <w:tl2br w:val="nil"/>
                    <w:tr2bl w:val="nil"/>
                  </w:tcBorders>
                  <w:shd w:val="clear" w:color="auto" w:fill="auto"/>
                  <w:noWrap w:val="0"/>
                  <w:vAlign w:val="center"/>
                </w:tcPr>
                <w:p w14:paraId="515650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030" w:type="dxa"/>
                  <w:tcBorders>
                    <w:tl2br w:val="nil"/>
                    <w:tr2bl w:val="nil"/>
                  </w:tcBorders>
                  <w:shd w:val="clear" w:color="auto" w:fill="auto"/>
                  <w:noWrap w:val="0"/>
                  <w:vAlign w:val="center"/>
                </w:tcPr>
                <w:p w14:paraId="7F4F44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150" w:type="dxa"/>
                  <w:tcBorders>
                    <w:tl2br w:val="nil"/>
                    <w:tr2bl w:val="nil"/>
                  </w:tcBorders>
                  <w:shd w:val="clear" w:color="auto" w:fill="auto"/>
                  <w:noWrap w:val="0"/>
                  <w:vAlign w:val="center"/>
                </w:tcPr>
                <w:p w14:paraId="192FCE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288" w:type="dxa"/>
                  <w:tcBorders>
                    <w:tl2br w:val="nil"/>
                    <w:tr2bl w:val="nil"/>
                  </w:tcBorders>
                  <w:shd w:val="clear" w:color="auto" w:fill="auto"/>
                  <w:noWrap w:val="0"/>
                  <w:vAlign w:val="center"/>
                </w:tcPr>
                <w:p w14:paraId="063092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r w14:paraId="27A39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shd w:val="clear" w:color="auto" w:fill="auto"/>
                  <w:noWrap w:val="0"/>
                  <w:vAlign w:val="center"/>
                </w:tcPr>
                <w:p w14:paraId="38DEC02F">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b/>
                      <w:bCs/>
                      <w:i w:val="0"/>
                      <w:color w:val="auto"/>
                      <w:sz w:val="21"/>
                      <w:szCs w:val="21"/>
                      <w:highlight w:val="none"/>
                      <w:u w:val="none"/>
                      <w:lang w:val="en-US" w:eastAsia="zh-CN"/>
                    </w:rPr>
                  </w:pPr>
                </w:p>
              </w:tc>
              <w:tc>
                <w:tcPr>
                  <w:tcW w:w="1534" w:type="dxa"/>
                  <w:tcBorders>
                    <w:tl2br w:val="nil"/>
                    <w:tr2bl w:val="nil"/>
                  </w:tcBorders>
                  <w:shd w:val="clear" w:color="auto" w:fill="auto"/>
                  <w:noWrap w:val="0"/>
                  <w:vAlign w:val="center"/>
                </w:tcPr>
                <w:p w14:paraId="3362FF1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排放</w:t>
                  </w:r>
                  <w:r>
                    <w:rPr>
                      <w:rFonts w:hint="default" w:ascii="Times New Roman" w:hAnsi="Times New Roman" w:eastAsia="宋体" w:cs="Times New Roman"/>
                      <w:i w:val="0"/>
                      <w:color w:val="auto"/>
                      <w:kern w:val="0"/>
                      <w:sz w:val="21"/>
                      <w:szCs w:val="21"/>
                      <w:highlight w:val="none"/>
                      <w:u w:val="none"/>
                      <w:lang w:val="en-US" w:eastAsia="zh-CN" w:bidi="ar"/>
                    </w:rPr>
                    <w:t>量t/a</w:t>
                  </w:r>
                </w:p>
              </w:tc>
              <w:tc>
                <w:tcPr>
                  <w:tcW w:w="831" w:type="dxa"/>
                  <w:tcBorders>
                    <w:tl2br w:val="nil"/>
                    <w:tr2bl w:val="nil"/>
                  </w:tcBorders>
                  <w:shd w:val="clear" w:color="auto" w:fill="auto"/>
                  <w:noWrap w:val="0"/>
                  <w:vAlign w:val="center"/>
                </w:tcPr>
                <w:p w14:paraId="79BAE7E3">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w:t>
                  </w:r>
                </w:p>
              </w:tc>
              <w:tc>
                <w:tcPr>
                  <w:tcW w:w="1101" w:type="dxa"/>
                  <w:tcBorders>
                    <w:tl2br w:val="nil"/>
                    <w:tr2bl w:val="nil"/>
                  </w:tcBorders>
                  <w:shd w:val="clear" w:color="auto" w:fill="auto"/>
                  <w:noWrap w:val="0"/>
                  <w:vAlign w:val="center"/>
                </w:tcPr>
                <w:p w14:paraId="0A3B334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2.5918 </w:t>
                  </w:r>
                </w:p>
              </w:tc>
              <w:tc>
                <w:tcPr>
                  <w:tcW w:w="1101" w:type="dxa"/>
                  <w:tcBorders>
                    <w:tl2br w:val="nil"/>
                    <w:tr2bl w:val="nil"/>
                  </w:tcBorders>
                  <w:shd w:val="clear" w:color="auto" w:fill="auto"/>
                  <w:noWrap w:val="0"/>
                  <w:vAlign w:val="center"/>
                </w:tcPr>
                <w:p w14:paraId="675AC55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2.5918 </w:t>
                  </w:r>
                </w:p>
              </w:tc>
              <w:tc>
                <w:tcPr>
                  <w:tcW w:w="1119" w:type="dxa"/>
                  <w:tcBorders>
                    <w:tl2br w:val="nil"/>
                    <w:tr2bl w:val="nil"/>
                  </w:tcBorders>
                  <w:shd w:val="clear" w:color="auto" w:fill="auto"/>
                  <w:noWrap w:val="0"/>
                  <w:vAlign w:val="center"/>
                </w:tcPr>
                <w:p w14:paraId="04EC59F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3.1101 </w:t>
                  </w:r>
                </w:p>
              </w:tc>
              <w:tc>
                <w:tcPr>
                  <w:tcW w:w="1156" w:type="dxa"/>
                  <w:tcBorders>
                    <w:tl2br w:val="nil"/>
                    <w:tr2bl w:val="nil"/>
                  </w:tcBorders>
                  <w:shd w:val="clear" w:color="auto" w:fill="auto"/>
                  <w:noWrap w:val="0"/>
                  <w:vAlign w:val="center"/>
                </w:tcPr>
                <w:p w14:paraId="79A418E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030" w:type="dxa"/>
                  <w:tcBorders>
                    <w:tl2br w:val="nil"/>
                    <w:tr2bl w:val="nil"/>
                  </w:tcBorders>
                  <w:shd w:val="clear" w:color="auto" w:fill="auto"/>
                  <w:noWrap w:val="0"/>
                  <w:vAlign w:val="center"/>
                </w:tcPr>
                <w:p w14:paraId="47C739A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150" w:type="dxa"/>
                  <w:tcBorders>
                    <w:tl2br w:val="nil"/>
                    <w:tr2bl w:val="nil"/>
                  </w:tcBorders>
                  <w:shd w:val="clear" w:color="auto" w:fill="auto"/>
                  <w:noWrap w:val="0"/>
                  <w:vAlign w:val="center"/>
                </w:tcPr>
                <w:p w14:paraId="5454A7C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288" w:type="dxa"/>
                  <w:tcBorders>
                    <w:tl2br w:val="nil"/>
                    <w:tr2bl w:val="nil"/>
                  </w:tcBorders>
                  <w:shd w:val="clear" w:color="auto" w:fill="auto"/>
                  <w:noWrap w:val="0"/>
                  <w:vAlign w:val="center"/>
                </w:tcPr>
                <w:p w14:paraId="211D6B1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r w14:paraId="7B809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restart"/>
                  <w:tcBorders>
                    <w:tl2br w:val="nil"/>
                    <w:tr2bl w:val="nil"/>
                  </w:tcBorders>
                  <w:shd w:val="clear" w:color="auto" w:fill="auto"/>
                  <w:noWrap w:val="0"/>
                  <w:vAlign w:val="center"/>
                </w:tcPr>
                <w:p w14:paraId="589881F4">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cs="Times New Roman"/>
                      <w:b/>
                      <w:bCs/>
                      <w:i w:val="0"/>
                      <w:color w:val="auto"/>
                      <w:sz w:val="21"/>
                      <w:szCs w:val="21"/>
                      <w:highlight w:val="none"/>
                      <w:u w:val="none"/>
                      <w:lang w:val="en-US" w:eastAsia="zh-CN"/>
                    </w:rPr>
                  </w:pPr>
                  <w:r>
                    <w:rPr>
                      <w:rFonts w:hint="eastAsia" w:cs="Times New Roman"/>
                      <w:b w:val="0"/>
                      <w:bCs w:val="0"/>
                      <w:i w:val="0"/>
                      <w:color w:val="auto"/>
                      <w:sz w:val="21"/>
                      <w:szCs w:val="21"/>
                      <w:highlight w:val="none"/>
                      <w:u w:val="none"/>
                      <w:lang w:val="en-US" w:eastAsia="zh-CN"/>
                    </w:rPr>
                    <w:t>综合废水</w:t>
                  </w:r>
                  <w:r>
                    <w:rPr>
                      <w:rFonts w:hint="eastAsia" w:cs="Times New Roman"/>
                      <w:i w:val="0"/>
                      <w:color w:val="auto"/>
                      <w:sz w:val="21"/>
                      <w:szCs w:val="21"/>
                      <w:highlight w:val="none"/>
                      <w:u w:val="none"/>
                      <w:lang w:val="en-US" w:eastAsia="zh-CN"/>
                    </w:rPr>
                    <w:t>（</w:t>
                  </w:r>
                  <w:r>
                    <w:rPr>
                      <w:rFonts w:hint="eastAsia" w:cs="Times New Roman"/>
                      <w:color w:val="auto"/>
                      <w:sz w:val="21"/>
                      <w:szCs w:val="21"/>
                      <w:highlight w:val="none"/>
                      <w:lang w:val="en-US" w:eastAsia="zh-CN"/>
                    </w:rPr>
                    <w:t>188679</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8</w:t>
                  </w:r>
                  <w:r>
                    <w:rPr>
                      <w:rFonts w:hint="eastAsia" w:ascii="Times New Roman" w:hAnsi="Times New Roman" w:cs="Times New Roman"/>
                      <w:color w:val="auto"/>
                      <w:sz w:val="21"/>
                      <w:szCs w:val="21"/>
                      <w:highlight w:val="none"/>
                      <w:lang w:val="en-US" w:eastAsia="zh-CN"/>
                    </w:rPr>
                    <w:t>8</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i w:val="0"/>
                      <w:color w:val="auto"/>
                      <w:sz w:val="21"/>
                      <w:szCs w:val="21"/>
                      <w:highlight w:val="none"/>
                      <w:u w:val="none"/>
                      <w:lang w:val="en-US" w:eastAsia="zh-CN"/>
                    </w:rPr>
                    <w:t>）</w:t>
                  </w:r>
                </w:p>
              </w:tc>
              <w:tc>
                <w:tcPr>
                  <w:tcW w:w="1534" w:type="dxa"/>
                  <w:tcBorders>
                    <w:tl2br w:val="nil"/>
                    <w:tr2bl w:val="nil"/>
                  </w:tcBorders>
                  <w:shd w:val="clear" w:color="auto" w:fill="auto"/>
                  <w:noWrap w:val="0"/>
                  <w:vAlign w:val="center"/>
                </w:tcPr>
                <w:p w14:paraId="309F80E0">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排放浓度mg/L</w:t>
                  </w:r>
                </w:p>
              </w:tc>
              <w:tc>
                <w:tcPr>
                  <w:tcW w:w="831" w:type="dxa"/>
                  <w:tcBorders>
                    <w:tl2br w:val="nil"/>
                    <w:tr2bl w:val="nil"/>
                  </w:tcBorders>
                  <w:shd w:val="clear" w:color="auto" w:fill="auto"/>
                  <w:noWrap w:val="0"/>
                  <w:vAlign w:val="center"/>
                </w:tcPr>
                <w:p w14:paraId="5FB656E9">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6-</w:t>
                  </w:r>
                  <w:r>
                    <w:rPr>
                      <w:rFonts w:hint="eastAsia" w:cs="Times New Roman"/>
                      <w:i w:val="0"/>
                      <w:color w:val="auto"/>
                      <w:sz w:val="21"/>
                      <w:szCs w:val="21"/>
                      <w:highlight w:val="none"/>
                      <w:u w:val="none"/>
                      <w:lang w:val="en-US" w:eastAsia="zh-CN"/>
                    </w:rPr>
                    <w:t>8.5</w:t>
                  </w:r>
                </w:p>
              </w:tc>
              <w:tc>
                <w:tcPr>
                  <w:tcW w:w="1101" w:type="dxa"/>
                  <w:tcBorders>
                    <w:tl2br w:val="nil"/>
                    <w:tr2bl w:val="nil"/>
                  </w:tcBorders>
                  <w:shd w:val="clear" w:color="auto" w:fill="auto"/>
                  <w:noWrap w:val="0"/>
                  <w:vAlign w:val="center"/>
                </w:tcPr>
                <w:p w14:paraId="24E4E17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184.93 </w:t>
                  </w:r>
                </w:p>
              </w:tc>
              <w:tc>
                <w:tcPr>
                  <w:tcW w:w="1101" w:type="dxa"/>
                  <w:tcBorders>
                    <w:tl2br w:val="nil"/>
                    <w:tr2bl w:val="nil"/>
                  </w:tcBorders>
                  <w:shd w:val="clear" w:color="auto" w:fill="auto"/>
                  <w:noWrap w:val="0"/>
                  <w:vAlign w:val="center"/>
                </w:tcPr>
                <w:p w14:paraId="77FE620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150.51 </w:t>
                  </w:r>
                </w:p>
              </w:tc>
              <w:tc>
                <w:tcPr>
                  <w:tcW w:w="1119" w:type="dxa"/>
                  <w:tcBorders>
                    <w:tl2br w:val="nil"/>
                    <w:tr2bl w:val="nil"/>
                  </w:tcBorders>
                  <w:shd w:val="clear" w:color="auto" w:fill="auto"/>
                  <w:noWrap w:val="0"/>
                  <w:vAlign w:val="center"/>
                </w:tcPr>
                <w:p w14:paraId="33F927D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63.42 </w:t>
                  </w:r>
                </w:p>
              </w:tc>
              <w:tc>
                <w:tcPr>
                  <w:tcW w:w="1156" w:type="dxa"/>
                  <w:tcBorders>
                    <w:tl2br w:val="nil"/>
                    <w:tr2bl w:val="nil"/>
                  </w:tcBorders>
                  <w:shd w:val="clear" w:color="auto" w:fill="auto"/>
                  <w:noWrap w:val="0"/>
                  <w:vAlign w:val="center"/>
                </w:tcPr>
                <w:p w14:paraId="5D7A81D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16.19 </w:t>
                  </w:r>
                </w:p>
              </w:tc>
              <w:tc>
                <w:tcPr>
                  <w:tcW w:w="1030" w:type="dxa"/>
                  <w:tcBorders>
                    <w:tl2br w:val="nil"/>
                    <w:tr2bl w:val="nil"/>
                  </w:tcBorders>
                  <w:shd w:val="clear" w:color="auto" w:fill="auto"/>
                  <w:noWrap w:val="0"/>
                  <w:vAlign w:val="center"/>
                </w:tcPr>
                <w:p w14:paraId="13DB562D">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0.32 </w:t>
                  </w:r>
                </w:p>
              </w:tc>
              <w:tc>
                <w:tcPr>
                  <w:tcW w:w="1150" w:type="dxa"/>
                  <w:tcBorders>
                    <w:tl2br w:val="nil"/>
                    <w:tr2bl w:val="nil"/>
                  </w:tcBorders>
                  <w:shd w:val="clear" w:color="auto" w:fill="auto"/>
                  <w:noWrap w:val="0"/>
                  <w:vAlign w:val="center"/>
                </w:tcPr>
                <w:p w14:paraId="5F74079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0.86 </w:t>
                  </w:r>
                </w:p>
              </w:tc>
              <w:tc>
                <w:tcPr>
                  <w:tcW w:w="1288" w:type="dxa"/>
                  <w:tcBorders>
                    <w:tl2br w:val="nil"/>
                    <w:tr2bl w:val="nil"/>
                  </w:tcBorders>
                  <w:shd w:val="clear" w:color="auto" w:fill="auto"/>
                  <w:noWrap w:val="0"/>
                  <w:vAlign w:val="center"/>
                </w:tcPr>
                <w:p w14:paraId="5318BEB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 xml:space="preserve">2.11 </w:t>
                  </w:r>
                </w:p>
              </w:tc>
            </w:tr>
            <w:tr w14:paraId="659F3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834" w:type="dxa"/>
                  <w:gridSpan w:val="2"/>
                  <w:vMerge w:val="continue"/>
                  <w:tcBorders>
                    <w:tl2br w:val="nil"/>
                    <w:tr2bl w:val="nil"/>
                  </w:tcBorders>
                  <w:shd w:val="clear" w:color="auto" w:fill="auto"/>
                  <w:noWrap w:val="0"/>
                  <w:vAlign w:val="center"/>
                </w:tcPr>
                <w:p w14:paraId="1CA4052C">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b/>
                      <w:bCs/>
                      <w:i w:val="0"/>
                      <w:color w:val="auto"/>
                      <w:sz w:val="21"/>
                      <w:szCs w:val="21"/>
                      <w:highlight w:val="none"/>
                      <w:u w:val="none"/>
                      <w:lang w:val="en-US" w:eastAsia="zh-CN"/>
                    </w:rPr>
                  </w:pPr>
                </w:p>
              </w:tc>
              <w:tc>
                <w:tcPr>
                  <w:tcW w:w="1534" w:type="dxa"/>
                  <w:tcBorders>
                    <w:tl2br w:val="nil"/>
                    <w:tr2bl w:val="nil"/>
                  </w:tcBorders>
                  <w:shd w:val="clear" w:color="auto" w:fill="auto"/>
                  <w:noWrap w:val="0"/>
                  <w:vAlign w:val="center"/>
                </w:tcPr>
                <w:p w14:paraId="70951FEF">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排放</w:t>
                  </w:r>
                  <w:r>
                    <w:rPr>
                      <w:rFonts w:hint="default" w:ascii="Times New Roman" w:hAnsi="Times New Roman" w:eastAsia="宋体" w:cs="Times New Roman"/>
                      <w:i w:val="0"/>
                      <w:color w:val="auto"/>
                      <w:kern w:val="0"/>
                      <w:sz w:val="21"/>
                      <w:szCs w:val="21"/>
                      <w:highlight w:val="none"/>
                      <w:u w:val="none"/>
                      <w:lang w:val="en-US" w:eastAsia="zh-CN" w:bidi="ar"/>
                    </w:rPr>
                    <w:t>量t/a</w:t>
                  </w:r>
                </w:p>
              </w:tc>
              <w:tc>
                <w:tcPr>
                  <w:tcW w:w="831" w:type="dxa"/>
                  <w:tcBorders>
                    <w:tl2br w:val="nil"/>
                    <w:tr2bl w:val="nil"/>
                  </w:tcBorders>
                  <w:shd w:val="clear" w:color="auto" w:fill="auto"/>
                  <w:noWrap w:val="0"/>
                  <w:vAlign w:val="center"/>
                </w:tcPr>
                <w:p w14:paraId="5C9FF924">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w:t>
                  </w:r>
                </w:p>
              </w:tc>
              <w:tc>
                <w:tcPr>
                  <w:tcW w:w="1101" w:type="dxa"/>
                  <w:tcBorders>
                    <w:tl2br w:val="nil"/>
                    <w:tr2bl w:val="nil"/>
                  </w:tcBorders>
                  <w:shd w:val="clear" w:color="auto" w:fill="auto"/>
                  <w:noWrap w:val="0"/>
                  <w:vAlign w:val="center"/>
                </w:tcPr>
                <w:p w14:paraId="431D3E91">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default" w:eastAsia="宋体" w:cs="Times New Roman"/>
                      <w:color w:val="auto"/>
                      <w:sz w:val="21"/>
                      <w:szCs w:val="21"/>
                      <w:vertAlign w:val="baseline"/>
                      <w:lang w:val="en-US" w:eastAsia="zh-CN"/>
                    </w:rPr>
                    <w:t xml:space="preserve">34.8925 </w:t>
                  </w:r>
                </w:p>
              </w:tc>
              <w:tc>
                <w:tcPr>
                  <w:tcW w:w="1101" w:type="dxa"/>
                  <w:tcBorders>
                    <w:tl2br w:val="nil"/>
                    <w:tr2bl w:val="nil"/>
                  </w:tcBorders>
                  <w:shd w:val="clear" w:color="auto" w:fill="auto"/>
                  <w:noWrap w:val="0"/>
                  <w:vAlign w:val="center"/>
                </w:tcPr>
                <w:p w14:paraId="4B77F5C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default" w:eastAsia="宋体" w:cs="Times New Roman"/>
                      <w:color w:val="auto"/>
                      <w:sz w:val="21"/>
                      <w:szCs w:val="21"/>
                      <w:vertAlign w:val="baseline"/>
                      <w:lang w:val="en-US" w:eastAsia="zh-CN"/>
                    </w:rPr>
                    <w:t xml:space="preserve">28.3977 </w:t>
                  </w:r>
                </w:p>
              </w:tc>
              <w:tc>
                <w:tcPr>
                  <w:tcW w:w="1119" w:type="dxa"/>
                  <w:tcBorders>
                    <w:tl2br w:val="nil"/>
                    <w:tr2bl w:val="nil"/>
                  </w:tcBorders>
                  <w:shd w:val="clear" w:color="auto" w:fill="auto"/>
                  <w:noWrap w:val="0"/>
                  <w:vAlign w:val="center"/>
                </w:tcPr>
                <w:p w14:paraId="7AD9F15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default" w:eastAsia="宋体" w:cs="Times New Roman"/>
                      <w:color w:val="auto"/>
                      <w:sz w:val="21"/>
                      <w:szCs w:val="21"/>
                      <w:vertAlign w:val="baseline"/>
                      <w:lang w:val="en-US" w:eastAsia="zh-CN"/>
                    </w:rPr>
                    <w:t xml:space="preserve">11.9658 </w:t>
                  </w:r>
                </w:p>
              </w:tc>
              <w:tc>
                <w:tcPr>
                  <w:tcW w:w="1156" w:type="dxa"/>
                  <w:tcBorders>
                    <w:tl2br w:val="nil"/>
                    <w:tr2bl w:val="nil"/>
                  </w:tcBorders>
                  <w:shd w:val="clear" w:color="auto" w:fill="auto"/>
                  <w:noWrap w:val="0"/>
                  <w:vAlign w:val="center"/>
                </w:tcPr>
                <w:p w14:paraId="022AC16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default" w:eastAsia="宋体" w:cs="Times New Roman"/>
                      <w:color w:val="auto"/>
                      <w:sz w:val="21"/>
                      <w:szCs w:val="21"/>
                      <w:vertAlign w:val="baseline"/>
                      <w:lang w:val="en-US" w:eastAsia="zh-CN"/>
                    </w:rPr>
                    <w:t xml:space="preserve">3.0544 </w:t>
                  </w:r>
                </w:p>
              </w:tc>
              <w:tc>
                <w:tcPr>
                  <w:tcW w:w="1030" w:type="dxa"/>
                  <w:tcBorders>
                    <w:tl2br w:val="nil"/>
                    <w:tr2bl w:val="nil"/>
                  </w:tcBorders>
                  <w:shd w:val="clear" w:color="auto" w:fill="auto"/>
                  <w:noWrap w:val="0"/>
                  <w:vAlign w:val="center"/>
                </w:tcPr>
                <w:p w14:paraId="3F7841E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default" w:eastAsia="宋体" w:cs="Times New Roman"/>
                      <w:color w:val="auto"/>
                      <w:sz w:val="21"/>
                      <w:szCs w:val="21"/>
                      <w:vertAlign w:val="baseline"/>
                      <w:lang w:val="en-US" w:eastAsia="zh-CN"/>
                    </w:rPr>
                    <w:t xml:space="preserve">0.0612 </w:t>
                  </w:r>
                </w:p>
              </w:tc>
              <w:tc>
                <w:tcPr>
                  <w:tcW w:w="1150" w:type="dxa"/>
                  <w:tcBorders>
                    <w:tl2br w:val="nil"/>
                    <w:tr2bl w:val="nil"/>
                  </w:tcBorders>
                  <w:shd w:val="clear" w:color="auto" w:fill="auto"/>
                  <w:noWrap w:val="0"/>
                  <w:vAlign w:val="center"/>
                </w:tcPr>
                <w:p w14:paraId="79F3894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default" w:eastAsia="宋体" w:cs="Times New Roman"/>
                      <w:color w:val="auto"/>
                      <w:sz w:val="21"/>
                      <w:szCs w:val="21"/>
                      <w:vertAlign w:val="baseline"/>
                      <w:lang w:val="en-US" w:eastAsia="zh-CN"/>
                    </w:rPr>
                    <w:t xml:space="preserve">0.1616 </w:t>
                  </w:r>
                </w:p>
              </w:tc>
              <w:tc>
                <w:tcPr>
                  <w:tcW w:w="1288" w:type="dxa"/>
                  <w:tcBorders>
                    <w:tl2br w:val="nil"/>
                    <w:tr2bl w:val="nil"/>
                  </w:tcBorders>
                  <w:shd w:val="clear" w:color="auto" w:fill="auto"/>
                  <w:noWrap w:val="0"/>
                  <w:vAlign w:val="center"/>
                </w:tcPr>
                <w:p w14:paraId="60F62F3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vertAlign w:val="baseline"/>
                      <w:lang w:val="en-US" w:eastAsia="zh-CN"/>
                    </w:rPr>
                  </w:pPr>
                  <w:r>
                    <w:rPr>
                      <w:rFonts w:hint="default" w:eastAsia="宋体" w:cs="Times New Roman"/>
                      <w:color w:val="auto"/>
                      <w:sz w:val="21"/>
                      <w:szCs w:val="21"/>
                      <w:vertAlign w:val="baseline"/>
                      <w:lang w:val="en-US" w:eastAsia="zh-CN"/>
                    </w:rPr>
                    <w:t xml:space="preserve">0.3974 </w:t>
                  </w:r>
                </w:p>
              </w:tc>
            </w:tr>
            <w:tr w14:paraId="2D199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368" w:type="dxa"/>
                  <w:gridSpan w:val="3"/>
                  <w:tcBorders>
                    <w:tl2br w:val="nil"/>
                    <w:tr2bl w:val="nil"/>
                  </w:tcBorders>
                  <w:noWrap w:val="0"/>
                  <w:vAlign w:val="center"/>
                </w:tcPr>
                <w:p w14:paraId="28279CC9">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《肉类加工工业水污染物排放标准》（</w:t>
                  </w:r>
                  <w:r>
                    <w:rPr>
                      <w:rFonts w:hint="default" w:ascii="Times New Roman" w:hAnsi="Times New Roman" w:eastAsia="宋体" w:cs="Times New Roman"/>
                      <w:i w:val="0"/>
                      <w:color w:val="auto"/>
                      <w:sz w:val="21"/>
                      <w:szCs w:val="21"/>
                      <w:highlight w:val="none"/>
                      <w:u w:val="none"/>
                      <w:lang w:val="en-US" w:eastAsia="zh-CN"/>
                    </w:rPr>
                    <w:t>GB13457-92</w:t>
                  </w:r>
                  <w:r>
                    <w:rPr>
                      <w:rFonts w:hint="eastAsia" w:ascii="Times New Roman" w:hAnsi="Times New Roman" w:eastAsia="宋体" w:cs="Times New Roman"/>
                      <w:i w:val="0"/>
                      <w:color w:val="auto"/>
                      <w:sz w:val="21"/>
                      <w:szCs w:val="21"/>
                      <w:highlight w:val="none"/>
                      <w:u w:val="none"/>
                      <w:lang w:val="en-US" w:eastAsia="zh-CN"/>
                    </w:rPr>
                    <w:t xml:space="preserve">）表 </w:t>
                  </w:r>
                  <w:r>
                    <w:rPr>
                      <w:rFonts w:hint="default" w:ascii="Times New Roman" w:hAnsi="Times New Roman" w:eastAsia="宋体" w:cs="Times New Roman"/>
                      <w:i w:val="0"/>
                      <w:color w:val="auto"/>
                      <w:sz w:val="21"/>
                      <w:szCs w:val="21"/>
                      <w:highlight w:val="none"/>
                      <w:u w:val="none"/>
                      <w:lang w:val="en-US" w:eastAsia="zh-CN"/>
                    </w:rPr>
                    <w:t xml:space="preserve">3 </w:t>
                  </w:r>
                  <w:r>
                    <w:rPr>
                      <w:rFonts w:hint="eastAsia" w:ascii="Times New Roman" w:hAnsi="Times New Roman" w:eastAsia="宋体" w:cs="Times New Roman"/>
                      <w:i w:val="0"/>
                      <w:color w:val="auto"/>
                      <w:sz w:val="21"/>
                      <w:szCs w:val="21"/>
                      <w:highlight w:val="none"/>
                      <w:u w:val="none"/>
                      <w:lang w:val="en-US" w:eastAsia="zh-CN"/>
                    </w:rPr>
                    <w:t>三级标准和宁都县第二污水处理厂接管标准较严值（mg/L）</w:t>
                  </w:r>
                </w:p>
              </w:tc>
              <w:tc>
                <w:tcPr>
                  <w:tcW w:w="831" w:type="dxa"/>
                  <w:tcBorders>
                    <w:tl2br w:val="nil"/>
                    <w:tr2bl w:val="nil"/>
                  </w:tcBorders>
                  <w:noWrap w:val="0"/>
                  <w:vAlign w:val="center"/>
                </w:tcPr>
                <w:p w14:paraId="66D886D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6-</w:t>
                  </w:r>
                  <w:r>
                    <w:rPr>
                      <w:rFonts w:hint="eastAsia" w:cs="Times New Roman"/>
                      <w:i w:val="0"/>
                      <w:color w:val="auto"/>
                      <w:sz w:val="21"/>
                      <w:szCs w:val="21"/>
                      <w:highlight w:val="none"/>
                      <w:u w:val="none"/>
                      <w:lang w:val="en-US" w:eastAsia="zh-CN"/>
                    </w:rPr>
                    <w:t>8.5</w:t>
                  </w:r>
                </w:p>
              </w:tc>
              <w:tc>
                <w:tcPr>
                  <w:tcW w:w="1101" w:type="dxa"/>
                  <w:tcBorders>
                    <w:tl2br w:val="nil"/>
                    <w:tr2bl w:val="nil"/>
                  </w:tcBorders>
                  <w:noWrap w:val="0"/>
                  <w:vAlign w:val="center"/>
                </w:tcPr>
                <w:p w14:paraId="0BD78586">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500</w:t>
                  </w:r>
                </w:p>
              </w:tc>
              <w:tc>
                <w:tcPr>
                  <w:tcW w:w="1101" w:type="dxa"/>
                  <w:tcBorders>
                    <w:tl2br w:val="nil"/>
                    <w:tr2bl w:val="nil"/>
                  </w:tcBorders>
                  <w:noWrap w:val="0"/>
                  <w:vAlign w:val="center"/>
                </w:tcPr>
                <w:p w14:paraId="12863DC6">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300</w:t>
                  </w:r>
                </w:p>
              </w:tc>
              <w:tc>
                <w:tcPr>
                  <w:tcW w:w="1119" w:type="dxa"/>
                  <w:tcBorders>
                    <w:tl2br w:val="nil"/>
                    <w:tr2bl w:val="nil"/>
                  </w:tcBorders>
                  <w:noWrap w:val="0"/>
                  <w:vAlign w:val="center"/>
                </w:tcPr>
                <w:p w14:paraId="3E04E252">
                  <w:pPr>
                    <w:pStyle w:val="13"/>
                    <w:bidi w:val="0"/>
                    <w:ind w:left="0" w:leftChars="0" w:firstLine="0" w:firstLineChars="0"/>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35</w:t>
                  </w:r>
                  <w:r>
                    <w:rPr>
                      <w:rFonts w:hint="default"/>
                      <w:color w:val="auto"/>
                      <w:highlight w:val="none"/>
                    </w:rPr>
                    <w:t>0</w:t>
                  </w:r>
                </w:p>
              </w:tc>
              <w:tc>
                <w:tcPr>
                  <w:tcW w:w="1156" w:type="dxa"/>
                  <w:tcBorders>
                    <w:tl2br w:val="nil"/>
                    <w:tr2bl w:val="nil"/>
                  </w:tcBorders>
                  <w:noWrap w:val="0"/>
                  <w:vAlign w:val="center"/>
                </w:tcPr>
                <w:p w14:paraId="7AF4ABC3">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50</w:t>
                  </w:r>
                </w:p>
              </w:tc>
              <w:tc>
                <w:tcPr>
                  <w:tcW w:w="1030" w:type="dxa"/>
                  <w:tcBorders>
                    <w:tl2br w:val="nil"/>
                    <w:tr2bl w:val="nil"/>
                  </w:tcBorders>
                  <w:noWrap w:val="0"/>
                  <w:vAlign w:val="center"/>
                </w:tcPr>
                <w:p w14:paraId="0D2E98EA">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5</w:t>
                  </w:r>
                </w:p>
              </w:tc>
              <w:tc>
                <w:tcPr>
                  <w:tcW w:w="1150" w:type="dxa"/>
                  <w:tcBorders>
                    <w:tl2br w:val="nil"/>
                    <w:tr2bl w:val="nil"/>
                  </w:tcBorders>
                  <w:noWrap w:val="0"/>
                  <w:vAlign w:val="center"/>
                </w:tcPr>
                <w:p w14:paraId="590336FF">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70</w:t>
                  </w:r>
                </w:p>
              </w:tc>
              <w:tc>
                <w:tcPr>
                  <w:tcW w:w="1288" w:type="dxa"/>
                  <w:tcBorders>
                    <w:tl2br w:val="nil"/>
                    <w:tr2bl w:val="nil"/>
                  </w:tcBorders>
                  <w:noWrap w:val="0"/>
                  <w:vAlign w:val="center"/>
                </w:tcPr>
                <w:p w14:paraId="06376E13">
                  <w:pPr>
                    <w:pStyle w:val="13"/>
                    <w:bidi w:val="0"/>
                    <w:ind w:left="0" w:leftChars="0" w:firstLine="0" w:firstLineChars="0"/>
                    <w:rPr>
                      <w:rFonts w:hint="default"/>
                      <w:color w:val="auto"/>
                      <w:highlight w:val="none"/>
                      <w:lang w:val="en-US" w:eastAsia="zh-CN"/>
                    </w:rPr>
                  </w:pPr>
                  <w:r>
                    <w:rPr>
                      <w:rFonts w:hint="eastAsia"/>
                      <w:color w:val="auto"/>
                      <w:highlight w:val="none"/>
                      <w:lang w:val="en-US" w:eastAsia="zh-CN"/>
                    </w:rPr>
                    <w:t>3</w:t>
                  </w:r>
                </w:p>
              </w:tc>
            </w:tr>
            <w:tr w14:paraId="184FA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368" w:type="dxa"/>
                  <w:gridSpan w:val="3"/>
                  <w:tcBorders>
                    <w:tl2br w:val="nil"/>
                    <w:tr2bl w:val="nil"/>
                  </w:tcBorders>
                  <w:noWrap w:val="0"/>
                  <w:vAlign w:val="center"/>
                </w:tcPr>
                <w:p w14:paraId="1DF3D701">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《城镇污水处理厂污染物排放标准》(GB18918-2002)</w:t>
                  </w:r>
                  <w:r>
                    <w:rPr>
                      <w:rFonts w:hint="eastAsia" w:cs="Times New Roman"/>
                      <w:color w:val="auto"/>
                      <w:highlight w:val="none"/>
                      <w:lang w:val="en-US" w:eastAsia="zh-CN"/>
                    </w:rPr>
                    <w:t>一级A标准</w:t>
                  </w:r>
                  <w:r>
                    <w:rPr>
                      <w:rFonts w:hint="default" w:ascii="Times New Roman" w:hAnsi="Times New Roman" w:cs="Times New Roman"/>
                      <w:color w:val="auto"/>
                      <w:sz w:val="21"/>
                      <w:szCs w:val="21"/>
                      <w:highlight w:val="none"/>
                      <w:lang w:val="en-US" w:eastAsia="zh-CN"/>
                    </w:rPr>
                    <w:t>(mg/L)</w:t>
                  </w:r>
                </w:p>
              </w:tc>
              <w:tc>
                <w:tcPr>
                  <w:tcW w:w="831" w:type="dxa"/>
                  <w:tcBorders>
                    <w:tl2br w:val="nil"/>
                    <w:tr2bl w:val="nil"/>
                  </w:tcBorders>
                  <w:noWrap w:val="0"/>
                  <w:vAlign w:val="center"/>
                </w:tcPr>
                <w:p w14:paraId="7D74B121">
                  <w:pPr>
                    <w:pStyle w:val="13"/>
                    <w:bidi w:val="0"/>
                    <w:ind w:left="0" w:leftChars="0" w:firstLine="0" w:firstLineChars="0"/>
                    <w:rPr>
                      <w:rFonts w:hint="default" w:ascii="Times New Roman" w:hAnsi="Times New Roman" w:cs="Times New Roman"/>
                      <w:i w:val="0"/>
                      <w:color w:val="auto"/>
                      <w:sz w:val="21"/>
                      <w:szCs w:val="21"/>
                      <w:highlight w:val="none"/>
                      <w:u w:val="none"/>
                      <w:lang w:val="en-US" w:eastAsia="zh-CN"/>
                    </w:rPr>
                  </w:pPr>
                  <w:r>
                    <w:rPr>
                      <w:rFonts w:hint="eastAsia"/>
                      <w:color w:val="auto"/>
                      <w:highlight w:val="none"/>
                      <w:lang w:val="en-US" w:eastAsia="zh-CN"/>
                    </w:rPr>
                    <w:t>6-9</w:t>
                  </w:r>
                </w:p>
              </w:tc>
              <w:tc>
                <w:tcPr>
                  <w:tcW w:w="1101" w:type="dxa"/>
                  <w:tcBorders>
                    <w:tl2br w:val="nil"/>
                    <w:tr2bl w:val="nil"/>
                  </w:tcBorders>
                  <w:noWrap w:val="0"/>
                  <w:vAlign w:val="center"/>
                </w:tcPr>
                <w:p w14:paraId="0C05AC0B">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50</w:t>
                  </w:r>
                </w:p>
              </w:tc>
              <w:tc>
                <w:tcPr>
                  <w:tcW w:w="1101" w:type="dxa"/>
                  <w:tcBorders>
                    <w:tl2br w:val="nil"/>
                    <w:tr2bl w:val="nil"/>
                  </w:tcBorders>
                  <w:noWrap w:val="0"/>
                  <w:vAlign w:val="center"/>
                </w:tcPr>
                <w:p w14:paraId="2CCF9E0C">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10</w:t>
                  </w:r>
                </w:p>
              </w:tc>
              <w:tc>
                <w:tcPr>
                  <w:tcW w:w="1119" w:type="dxa"/>
                  <w:tcBorders>
                    <w:tl2br w:val="nil"/>
                    <w:tr2bl w:val="nil"/>
                  </w:tcBorders>
                  <w:noWrap w:val="0"/>
                  <w:vAlign w:val="center"/>
                </w:tcPr>
                <w:p w14:paraId="245DB40E">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10</w:t>
                  </w:r>
                </w:p>
              </w:tc>
              <w:tc>
                <w:tcPr>
                  <w:tcW w:w="1156" w:type="dxa"/>
                  <w:tcBorders>
                    <w:tl2br w:val="nil"/>
                    <w:tr2bl w:val="nil"/>
                  </w:tcBorders>
                  <w:noWrap w:val="0"/>
                  <w:vAlign w:val="center"/>
                </w:tcPr>
                <w:p w14:paraId="558981FA">
                  <w:pPr>
                    <w:pStyle w:val="13"/>
                    <w:bidi w:val="0"/>
                    <w:ind w:left="0" w:leftChars="0" w:firstLine="0" w:firstLineChars="0"/>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5</w:t>
                  </w:r>
                </w:p>
              </w:tc>
              <w:tc>
                <w:tcPr>
                  <w:tcW w:w="1030" w:type="dxa"/>
                  <w:tcBorders>
                    <w:tl2br w:val="nil"/>
                    <w:tr2bl w:val="nil"/>
                  </w:tcBorders>
                  <w:noWrap w:val="0"/>
                  <w:vAlign w:val="center"/>
                </w:tcPr>
                <w:p w14:paraId="04EE592F">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0.5</w:t>
                  </w:r>
                </w:p>
              </w:tc>
              <w:tc>
                <w:tcPr>
                  <w:tcW w:w="1150" w:type="dxa"/>
                  <w:tcBorders>
                    <w:tl2br w:val="nil"/>
                    <w:tr2bl w:val="nil"/>
                  </w:tcBorders>
                  <w:noWrap w:val="0"/>
                  <w:vAlign w:val="center"/>
                </w:tcPr>
                <w:p w14:paraId="52BB46AE">
                  <w:pPr>
                    <w:pStyle w:val="13"/>
                    <w:bidi w:val="0"/>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15</w:t>
                  </w:r>
                </w:p>
              </w:tc>
              <w:tc>
                <w:tcPr>
                  <w:tcW w:w="1288" w:type="dxa"/>
                  <w:tcBorders>
                    <w:tl2br w:val="nil"/>
                    <w:tr2bl w:val="nil"/>
                  </w:tcBorders>
                  <w:noWrap w:val="0"/>
                  <w:vAlign w:val="center"/>
                </w:tcPr>
                <w:p w14:paraId="32AF48D0">
                  <w:pPr>
                    <w:pStyle w:val="13"/>
                    <w:bidi w:val="0"/>
                    <w:ind w:left="0" w:leftChars="0" w:firstLine="0" w:firstLineChars="0"/>
                    <w:rPr>
                      <w:rFonts w:hint="default"/>
                      <w:color w:val="auto"/>
                      <w:highlight w:val="none"/>
                      <w:lang w:val="en-US" w:eastAsia="zh-CN"/>
                    </w:rPr>
                  </w:pPr>
                  <w:r>
                    <w:rPr>
                      <w:rFonts w:hint="eastAsia"/>
                      <w:color w:val="auto"/>
                      <w:highlight w:val="none"/>
                      <w:lang w:val="en-US" w:eastAsia="zh-CN"/>
                    </w:rPr>
                    <w:t>1</w:t>
                  </w:r>
                </w:p>
              </w:tc>
            </w:tr>
            <w:tr w14:paraId="7789E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3368" w:type="dxa"/>
                  <w:gridSpan w:val="3"/>
                  <w:tcBorders>
                    <w:tl2br w:val="nil"/>
                    <w:tr2bl w:val="nil"/>
                  </w:tcBorders>
                  <w:noWrap w:val="0"/>
                  <w:vAlign w:val="center"/>
                </w:tcPr>
                <w:p w14:paraId="28095061">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i w:val="0"/>
                      <w:color w:val="auto"/>
                      <w:kern w:val="0"/>
                      <w:sz w:val="21"/>
                      <w:szCs w:val="21"/>
                      <w:highlight w:val="none"/>
                      <w:u w:val="none"/>
                      <w:lang w:val="en-US" w:eastAsia="zh-CN" w:bidi="ar"/>
                    </w:rPr>
                  </w:pPr>
                  <w:r>
                    <w:rPr>
                      <w:rFonts w:hint="eastAsia"/>
                      <w:color w:val="auto"/>
                      <w:highlight w:val="none"/>
                      <w:lang w:val="en-US" w:eastAsia="zh-CN"/>
                    </w:rPr>
                    <w:t>最终排入梅江排放量（t/a）</w:t>
                  </w:r>
                </w:p>
              </w:tc>
              <w:tc>
                <w:tcPr>
                  <w:tcW w:w="831" w:type="dxa"/>
                  <w:tcBorders>
                    <w:tl2br w:val="nil"/>
                    <w:tr2bl w:val="nil"/>
                  </w:tcBorders>
                  <w:noWrap w:val="0"/>
                  <w:vAlign w:val="center"/>
                </w:tcPr>
                <w:p w14:paraId="5CB81251">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w:t>
                  </w:r>
                </w:p>
              </w:tc>
              <w:tc>
                <w:tcPr>
                  <w:tcW w:w="1101" w:type="dxa"/>
                  <w:tcBorders>
                    <w:tl2br w:val="nil"/>
                    <w:tr2bl w:val="nil"/>
                  </w:tcBorders>
                  <w:noWrap w:val="0"/>
                  <w:vAlign w:val="center"/>
                </w:tcPr>
                <w:p w14:paraId="5265D000">
                  <w:pPr>
                    <w:pStyle w:val="13"/>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 xml:space="preserve">9.4340 </w:t>
                  </w:r>
                </w:p>
              </w:tc>
              <w:tc>
                <w:tcPr>
                  <w:tcW w:w="1101" w:type="dxa"/>
                  <w:tcBorders>
                    <w:tl2br w:val="nil"/>
                    <w:tr2bl w:val="nil"/>
                  </w:tcBorders>
                  <w:noWrap w:val="0"/>
                  <w:vAlign w:val="center"/>
                </w:tcPr>
                <w:p w14:paraId="6FB7DB7D">
                  <w:pPr>
                    <w:pStyle w:val="13"/>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 xml:space="preserve">1.8868 </w:t>
                  </w:r>
                </w:p>
              </w:tc>
              <w:tc>
                <w:tcPr>
                  <w:tcW w:w="1119" w:type="dxa"/>
                  <w:tcBorders>
                    <w:tl2br w:val="nil"/>
                    <w:tr2bl w:val="nil"/>
                  </w:tcBorders>
                  <w:noWrap w:val="0"/>
                  <w:vAlign w:val="center"/>
                </w:tcPr>
                <w:p w14:paraId="5CB82155">
                  <w:pPr>
                    <w:pStyle w:val="13"/>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 xml:space="preserve">1.8868 </w:t>
                  </w:r>
                </w:p>
              </w:tc>
              <w:tc>
                <w:tcPr>
                  <w:tcW w:w="1156" w:type="dxa"/>
                  <w:tcBorders>
                    <w:tl2br w:val="nil"/>
                    <w:tr2bl w:val="nil"/>
                  </w:tcBorders>
                  <w:noWrap w:val="0"/>
                  <w:vAlign w:val="center"/>
                </w:tcPr>
                <w:p w14:paraId="380BBEEB">
                  <w:pPr>
                    <w:pStyle w:val="13"/>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 xml:space="preserve">0.9434 </w:t>
                  </w:r>
                </w:p>
              </w:tc>
              <w:tc>
                <w:tcPr>
                  <w:tcW w:w="1030" w:type="dxa"/>
                  <w:tcBorders>
                    <w:tl2br w:val="nil"/>
                    <w:tr2bl w:val="nil"/>
                  </w:tcBorders>
                  <w:noWrap w:val="0"/>
                  <w:vAlign w:val="center"/>
                </w:tcPr>
                <w:p w14:paraId="4F18E45C">
                  <w:pPr>
                    <w:pStyle w:val="13"/>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 xml:space="preserve">0.0943 </w:t>
                  </w:r>
                </w:p>
              </w:tc>
              <w:tc>
                <w:tcPr>
                  <w:tcW w:w="1150" w:type="dxa"/>
                  <w:tcBorders>
                    <w:tl2br w:val="nil"/>
                    <w:tr2bl w:val="nil"/>
                  </w:tcBorders>
                  <w:noWrap w:val="0"/>
                  <w:vAlign w:val="center"/>
                </w:tcPr>
                <w:p w14:paraId="02896CB1">
                  <w:pPr>
                    <w:pStyle w:val="13"/>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 xml:space="preserve">2.8302 </w:t>
                  </w:r>
                </w:p>
              </w:tc>
              <w:tc>
                <w:tcPr>
                  <w:tcW w:w="1288" w:type="dxa"/>
                  <w:tcBorders>
                    <w:tl2br w:val="nil"/>
                    <w:tr2bl w:val="nil"/>
                  </w:tcBorders>
                  <w:noWrap w:val="0"/>
                  <w:vAlign w:val="center"/>
                </w:tcPr>
                <w:p w14:paraId="23F806EB">
                  <w:pPr>
                    <w:pStyle w:val="13"/>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 xml:space="preserve">0.1887 </w:t>
                  </w:r>
                </w:p>
              </w:tc>
            </w:tr>
          </w:tbl>
          <w:p w14:paraId="7A7F38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p>
        </w:tc>
      </w:tr>
    </w:tbl>
    <w:p w14:paraId="4C2B38B2">
      <w:pPr>
        <w:pStyle w:val="29"/>
        <w:adjustRightInd w:val="0"/>
        <w:snapToGrid w:val="0"/>
        <w:spacing w:before="0" w:beforeAutospacing="0" w:after="0" w:afterAutospacing="0"/>
        <w:jc w:val="center"/>
        <w:rPr>
          <w:rFonts w:hint="default" w:ascii="宋体" w:hAnsi="宋体" w:eastAsia="宋体" w:cs="宋体"/>
          <w:color w:val="auto"/>
          <w:kern w:val="0"/>
          <w:sz w:val="24"/>
          <w:szCs w:val="24"/>
          <w:lang w:val="en-US" w:eastAsia="zh-CN" w:bidi="ar-S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406"/>
      </w:tblGrid>
      <w:tr w14:paraId="53E6E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dxa"/>
            <w:noWrap w:val="0"/>
            <w:tcMar>
              <w:left w:w="28" w:type="dxa"/>
              <w:right w:w="28" w:type="dxa"/>
            </w:tcMar>
            <w:vAlign w:val="center"/>
          </w:tcPr>
          <w:p w14:paraId="48C559F7">
            <w:pPr>
              <w:pStyle w:val="29"/>
              <w:adjustRightInd w:val="0"/>
              <w:snapToGrid w:val="0"/>
              <w:spacing w:before="0" w:beforeAutospacing="0" w:after="0" w:afterAutospacing="0"/>
              <w:jc w:val="center"/>
              <w:rPr>
                <w:rFonts w:hint="default" w:ascii="宋体" w:hAnsi="宋体" w:eastAsia="宋体" w:cs="宋体"/>
                <w:color w:val="auto"/>
                <w:kern w:val="0"/>
                <w:sz w:val="24"/>
                <w:szCs w:val="24"/>
                <w:lang w:val="en-US" w:eastAsia="zh-CN" w:bidi="ar-SA"/>
              </w:rPr>
            </w:pPr>
            <w:r>
              <w:rPr>
                <w:rFonts w:hint="default" w:ascii="宋体" w:hAnsi="宋体" w:eastAsia="宋体" w:cs="宋体"/>
                <w:color w:val="auto"/>
                <w:kern w:val="0"/>
                <w:sz w:val="24"/>
                <w:szCs w:val="24"/>
                <w:lang w:val="en-US" w:eastAsia="zh-CN" w:bidi="ar-SA"/>
              </w:rPr>
              <w:t>运营期环境影响和保护措施</w:t>
            </w:r>
          </w:p>
        </w:tc>
        <w:tc>
          <w:tcPr>
            <w:tcW w:w="8406" w:type="dxa"/>
            <w:noWrap w:val="0"/>
            <w:vAlign w:val="center"/>
          </w:tcPr>
          <w:p w14:paraId="21193A64">
            <w:pPr>
              <w:widowControl w:val="0"/>
              <w:bidi w:val="0"/>
              <w:spacing w:line="360" w:lineRule="auto"/>
              <w:ind w:firstLine="482" w:firstLineChars="200"/>
              <w:jc w:val="both"/>
              <w:rPr>
                <w:rFonts w:hint="eastAsia" w:ascii="Times New Roman" w:hAnsi="Times New Roman" w:eastAsia="宋体" w:cs="Times New Roman"/>
                <w:b/>
                <w:bCs/>
                <w:color w:val="auto"/>
                <w:kern w:val="2"/>
                <w:sz w:val="24"/>
                <w:szCs w:val="24"/>
                <w:lang w:val="en-US" w:eastAsia="zh-CN" w:bidi="ar-SA"/>
              </w:rPr>
            </w:pPr>
            <w:r>
              <w:rPr>
                <w:rFonts w:hint="eastAsia"/>
                <w:b/>
                <w:bCs/>
                <w:color w:val="auto"/>
                <w:sz w:val="24"/>
                <w:szCs w:val="24"/>
                <w:highlight w:val="none"/>
                <w:lang w:val="en-US" w:eastAsia="zh-CN"/>
              </w:rPr>
              <w:t>3、</w:t>
            </w:r>
            <w:r>
              <w:rPr>
                <w:rFonts w:hint="eastAsia" w:ascii="Times New Roman" w:hAnsi="Times New Roman" w:eastAsia="宋体" w:cs="Times New Roman"/>
                <w:b/>
                <w:bCs/>
                <w:color w:val="auto"/>
                <w:kern w:val="2"/>
                <w:sz w:val="24"/>
                <w:szCs w:val="24"/>
                <w:lang w:val="en-US" w:eastAsia="zh-CN" w:bidi="ar-SA"/>
              </w:rPr>
              <w:t>废水排放口基本情况和执行标准</w:t>
            </w:r>
          </w:p>
          <w:p w14:paraId="44E894D1">
            <w:pPr>
              <w:pStyle w:val="129"/>
              <w:bidi w:val="0"/>
              <w:rPr>
                <w:rFonts w:hint="eastAsia"/>
                <w:color w:val="auto"/>
                <w:lang w:val="en-US" w:eastAsia="zh-CN"/>
              </w:rPr>
            </w:pPr>
            <w:r>
              <w:rPr>
                <w:rFonts w:hint="eastAsia"/>
                <w:color w:val="auto"/>
                <w:lang w:val="en-US" w:eastAsia="zh-CN"/>
              </w:rPr>
              <w:t>表4-20  废水类别、污染物及污染治理设施信息表</w:t>
            </w:r>
          </w:p>
          <w:tbl>
            <w:tblPr>
              <w:tblStyle w:val="3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3"/>
              <w:gridCol w:w="608"/>
              <w:gridCol w:w="866"/>
              <w:gridCol w:w="1016"/>
              <w:gridCol w:w="837"/>
              <w:gridCol w:w="654"/>
              <w:gridCol w:w="728"/>
              <w:gridCol w:w="772"/>
              <w:gridCol w:w="720"/>
              <w:gridCol w:w="14"/>
              <w:gridCol w:w="724"/>
              <w:gridCol w:w="702"/>
            </w:tblGrid>
            <w:tr w14:paraId="782AD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331" w:type="pct"/>
                  <w:vMerge w:val="restart"/>
                  <w:tcBorders>
                    <w:tl2br w:val="nil"/>
                    <w:tr2bl w:val="nil"/>
                  </w:tcBorders>
                  <w:noWrap w:val="0"/>
                  <w:vAlign w:val="center"/>
                </w:tcPr>
                <w:p w14:paraId="41EDE876">
                  <w:pPr>
                    <w:pStyle w:val="126"/>
                    <w:bidi w:val="0"/>
                    <w:rPr>
                      <w:color w:val="auto"/>
                    </w:rPr>
                  </w:pPr>
                  <w:r>
                    <w:rPr>
                      <w:rFonts w:hint="eastAsia"/>
                      <w:color w:val="auto"/>
                    </w:rPr>
                    <w:t>序号</w:t>
                  </w:r>
                </w:p>
              </w:tc>
              <w:tc>
                <w:tcPr>
                  <w:tcW w:w="371" w:type="pct"/>
                  <w:vMerge w:val="restart"/>
                  <w:tcBorders>
                    <w:tl2br w:val="nil"/>
                    <w:tr2bl w:val="nil"/>
                  </w:tcBorders>
                  <w:noWrap w:val="0"/>
                  <w:vAlign w:val="center"/>
                </w:tcPr>
                <w:p w14:paraId="4B028099">
                  <w:pPr>
                    <w:pStyle w:val="126"/>
                    <w:bidi w:val="0"/>
                    <w:rPr>
                      <w:color w:val="auto"/>
                    </w:rPr>
                  </w:pPr>
                  <w:r>
                    <w:rPr>
                      <w:rFonts w:hint="eastAsia"/>
                      <w:color w:val="auto"/>
                    </w:rPr>
                    <w:t>废水类别</w:t>
                  </w:r>
                </w:p>
              </w:tc>
              <w:tc>
                <w:tcPr>
                  <w:tcW w:w="529" w:type="pct"/>
                  <w:vMerge w:val="restart"/>
                  <w:tcBorders>
                    <w:tl2br w:val="nil"/>
                    <w:tr2bl w:val="nil"/>
                  </w:tcBorders>
                  <w:noWrap w:val="0"/>
                  <w:vAlign w:val="center"/>
                </w:tcPr>
                <w:p w14:paraId="093452DA">
                  <w:pPr>
                    <w:pStyle w:val="126"/>
                    <w:bidi w:val="0"/>
                    <w:rPr>
                      <w:color w:val="auto"/>
                    </w:rPr>
                  </w:pPr>
                  <w:r>
                    <w:rPr>
                      <w:rFonts w:hint="eastAsia"/>
                      <w:color w:val="auto"/>
                    </w:rPr>
                    <w:t>污染物</w:t>
                  </w:r>
                  <w:r>
                    <w:rPr>
                      <w:color w:val="auto"/>
                    </w:rPr>
                    <w:t>种类</w:t>
                  </w:r>
                </w:p>
              </w:tc>
              <w:tc>
                <w:tcPr>
                  <w:tcW w:w="620" w:type="pct"/>
                  <w:vMerge w:val="restart"/>
                  <w:tcBorders>
                    <w:tl2br w:val="nil"/>
                    <w:tr2bl w:val="nil"/>
                  </w:tcBorders>
                  <w:noWrap w:val="0"/>
                  <w:vAlign w:val="center"/>
                </w:tcPr>
                <w:p w14:paraId="088AE51E">
                  <w:pPr>
                    <w:pStyle w:val="126"/>
                    <w:bidi w:val="0"/>
                    <w:rPr>
                      <w:color w:val="auto"/>
                    </w:rPr>
                  </w:pPr>
                  <w:r>
                    <w:rPr>
                      <w:rFonts w:hint="eastAsia"/>
                      <w:color w:val="auto"/>
                    </w:rPr>
                    <w:t>排放去向</w:t>
                  </w:r>
                </w:p>
              </w:tc>
              <w:tc>
                <w:tcPr>
                  <w:tcW w:w="511" w:type="pct"/>
                  <w:vMerge w:val="restart"/>
                  <w:tcBorders>
                    <w:tl2br w:val="nil"/>
                    <w:tr2bl w:val="nil"/>
                  </w:tcBorders>
                  <w:noWrap w:val="0"/>
                  <w:vAlign w:val="center"/>
                </w:tcPr>
                <w:p w14:paraId="42EB9993">
                  <w:pPr>
                    <w:pStyle w:val="126"/>
                    <w:bidi w:val="0"/>
                    <w:rPr>
                      <w:color w:val="auto"/>
                    </w:rPr>
                  </w:pPr>
                  <w:r>
                    <w:rPr>
                      <w:rFonts w:hint="eastAsia"/>
                      <w:color w:val="auto"/>
                    </w:rPr>
                    <w:t>排放</w:t>
                  </w:r>
                  <w:r>
                    <w:rPr>
                      <w:color w:val="auto"/>
                    </w:rPr>
                    <w:t>规律</w:t>
                  </w:r>
                </w:p>
              </w:tc>
              <w:tc>
                <w:tcPr>
                  <w:tcW w:w="1315" w:type="pct"/>
                  <w:gridSpan w:val="3"/>
                  <w:tcBorders>
                    <w:tl2br w:val="nil"/>
                    <w:tr2bl w:val="nil"/>
                  </w:tcBorders>
                  <w:noWrap w:val="0"/>
                  <w:vAlign w:val="center"/>
                </w:tcPr>
                <w:p w14:paraId="44FEA733">
                  <w:pPr>
                    <w:pStyle w:val="126"/>
                    <w:bidi w:val="0"/>
                    <w:rPr>
                      <w:color w:val="auto"/>
                    </w:rPr>
                  </w:pPr>
                  <w:r>
                    <w:rPr>
                      <w:rFonts w:hint="eastAsia"/>
                      <w:color w:val="auto"/>
                    </w:rPr>
                    <w:t>污染</w:t>
                  </w:r>
                  <w:r>
                    <w:rPr>
                      <w:color w:val="auto"/>
                    </w:rPr>
                    <w:t>治理设施</w:t>
                  </w:r>
                </w:p>
              </w:tc>
              <w:tc>
                <w:tcPr>
                  <w:tcW w:w="448" w:type="pct"/>
                  <w:gridSpan w:val="2"/>
                  <w:vMerge w:val="restart"/>
                  <w:tcBorders>
                    <w:tl2br w:val="nil"/>
                    <w:tr2bl w:val="nil"/>
                  </w:tcBorders>
                  <w:noWrap w:val="0"/>
                  <w:vAlign w:val="center"/>
                </w:tcPr>
                <w:p w14:paraId="4A0FB31C">
                  <w:pPr>
                    <w:pStyle w:val="126"/>
                    <w:bidi w:val="0"/>
                    <w:rPr>
                      <w:color w:val="auto"/>
                    </w:rPr>
                  </w:pPr>
                  <w:r>
                    <w:rPr>
                      <w:rFonts w:hint="eastAsia"/>
                      <w:color w:val="auto"/>
                    </w:rPr>
                    <w:t>排放口</w:t>
                  </w:r>
                  <w:r>
                    <w:rPr>
                      <w:color w:val="auto"/>
                    </w:rPr>
                    <w:t>编号</w:t>
                  </w:r>
                </w:p>
              </w:tc>
              <w:tc>
                <w:tcPr>
                  <w:tcW w:w="442" w:type="pct"/>
                  <w:vMerge w:val="restart"/>
                  <w:tcBorders>
                    <w:tl2br w:val="nil"/>
                    <w:tr2bl w:val="nil"/>
                  </w:tcBorders>
                  <w:noWrap w:val="0"/>
                  <w:vAlign w:val="center"/>
                </w:tcPr>
                <w:p w14:paraId="2713F929">
                  <w:pPr>
                    <w:pStyle w:val="126"/>
                    <w:bidi w:val="0"/>
                    <w:rPr>
                      <w:color w:val="auto"/>
                    </w:rPr>
                  </w:pPr>
                  <w:r>
                    <w:rPr>
                      <w:rFonts w:hint="eastAsia"/>
                      <w:color w:val="auto"/>
                    </w:rPr>
                    <w:t>排放口</w:t>
                  </w:r>
                  <w:r>
                    <w:rPr>
                      <w:color w:val="auto"/>
                    </w:rPr>
                    <w:t>设置是否符合</w:t>
                  </w:r>
                  <w:r>
                    <w:rPr>
                      <w:rFonts w:hint="eastAsia"/>
                      <w:color w:val="auto"/>
                    </w:rPr>
                    <w:t>要求</w:t>
                  </w:r>
                </w:p>
              </w:tc>
              <w:tc>
                <w:tcPr>
                  <w:tcW w:w="428" w:type="pct"/>
                  <w:vMerge w:val="restart"/>
                  <w:tcBorders>
                    <w:tl2br w:val="nil"/>
                    <w:tr2bl w:val="nil"/>
                  </w:tcBorders>
                  <w:noWrap w:val="0"/>
                  <w:vAlign w:val="center"/>
                </w:tcPr>
                <w:p w14:paraId="6E18DC6D">
                  <w:pPr>
                    <w:pStyle w:val="126"/>
                    <w:bidi w:val="0"/>
                    <w:rPr>
                      <w:color w:val="auto"/>
                    </w:rPr>
                  </w:pPr>
                  <w:r>
                    <w:rPr>
                      <w:rFonts w:hint="eastAsia"/>
                      <w:color w:val="auto"/>
                    </w:rPr>
                    <w:t>排放口</w:t>
                  </w:r>
                  <w:r>
                    <w:rPr>
                      <w:color w:val="auto"/>
                    </w:rPr>
                    <w:t>类型</w:t>
                  </w:r>
                </w:p>
              </w:tc>
            </w:tr>
            <w:tr w14:paraId="7F320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331" w:type="pct"/>
                  <w:vMerge w:val="continue"/>
                  <w:tcBorders>
                    <w:tl2br w:val="nil"/>
                    <w:tr2bl w:val="nil"/>
                  </w:tcBorders>
                  <w:noWrap w:val="0"/>
                  <w:vAlign w:val="center"/>
                </w:tcPr>
                <w:p w14:paraId="099B5C68">
                  <w:pPr>
                    <w:pStyle w:val="126"/>
                    <w:bidi w:val="0"/>
                    <w:rPr>
                      <w:color w:val="auto"/>
                    </w:rPr>
                  </w:pPr>
                </w:p>
              </w:tc>
              <w:tc>
                <w:tcPr>
                  <w:tcW w:w="371" w:type="pct"/>
                  <w:vMerge w:val="continue"/>
                  <w:tcBorders>
                    <w:tl2br w:val="nil"/>
                    <w:tr2bl w:val="nil"/>
                  </w:tcBorders>
                  <w:noWrap w:val="0"/>
                  <w:vAlign w:val="center"/>
                </w:tcPr>
                <w:p w14:paraId="7CF2785C">
                  <w:pPr>
                    <w:pStyle w:val="126"/>
                    <w:bidi w:val="0"/>
                    <w:rPr>
                      <w:color w:val="auto"/>
                    </w:rPr>
                  </w:pPr>
                </w:p>
              </w:tc>
              <w:tc>
                <w:tcPr>
                  <w:tcW w:w="529" w:type="pct"/>
                  <w:vMerge w:val="continue"/>
                  <w:tcBorders>
                    <w:tl2br w:val="nil"/>
                    <w:tr2bl w:val="nil"/>
                  </w:tcBorders>
                  <w:noWrap w:val="0"/>
                  <w:vAlign w:val="center"/>
                </w:tcPr>
                <w:p w14:paraId="34513789">
                  <w:pPr>
                    <w:pStyle w:val="126"/>
                    <w:bidi w:val="0"/>
                    <w:rPr>
                      <w:color w:val="auto"/>
                    </w:rPr>
                  </w:pPr>
                </w:p>
              </w:tc>
              <w:tc>
                <w:tcPr>
                  <w:tcW w:w="620" w:type="pct"/>
                  <w:vMerge w:val="continue"/>
                  <w:tcBorders>
                    <w:tl2br w:val="nil"/>
                    <w:tr2bl w:val="nil"/>
                  </w:tcBorders>
                  <w:noWrap w:val="0"/>
                  <w:vAlign w:val="center"/>
                </w:tcPr>
                <w:p w14:paraId="77374B2D">
                  <w:pPr>
                    <w:pStyle w:val="126"/>
                    <w:bidi w:val="0"/>
                    <w:rPr>
                      <w:color w:val="auto"/>
                    </w:rPr>
                  </w:pPr>
                </w:p>
              </w:tc>
              <w:tc>
                <w:tcPr>
                  <w:tcW w:w="511" w:type="pct"/>
                  <w:vMerge w:val="continue"/>
                  <w:tcBorders>
                    <w:tl2br w:val="nil"/>
                    <w:tr2bl w:val="nil"/>
                  </w:tcBorders>
                  <w:noWrap w:val="0"/>
                  <w:vAlign w:val="center"/>
                </w:tcPr>
                <w:p w14:paraId="6E0A49CC">
                  <w:pPr>
                    <w:pStyle w:val="126"/>
                    <w:bidi w:val="0"/>
                    <w:rPr>
                      <w:color w:val="auto"/>
                    </w:rPr>
                  </w:pPr>
                </w:p>
              </w:tc>
              <w:tc>
                <w:tcPr>
                  <w:tcW w:w="399" w:type="pct"/>
                  <w:tcBorders>
                    <w:tl2br w:val="nil"/>
                    <w:tr2bl w:val="nil"/>
                  </w:tcBorders>
                  <w:noWrap w:val="0"/>
                  <w:vAlign w:val="center"/>
                </w:tcPr>
                <w:p w14:paraId="5719C67B">
                  <w:pPr>
                    <w:pStyle w:val="126"/>
                    <w:bidi w:val="0"/>
                    <w:rPr>
                      <w:rFonts w:hint="eastAsia"/>
                      <w:color w:val="auto"/>
                    </w:rPr>
                  </w:pPr>
                  <w:r>
                    <w:rPr>
                      <w:rFonts w:hint="eastAsia"/>
                      <w:color w:val="auto"/>
                    </w:rPr>
                    <w:t>污染治理设施编号</w:t>
                  </w:r>
                </w:p>
              </w:tc>
              <w:tc>
                <w:tcPr>
                  <w:tcW w:w="444" w:type="pct"/>
                  <w:tcBorders>
                    <w:tl2br w:val="nil"/>
                    <w:tr2bl w:val="nil"/>
                  </w:tcBorders>
                  <w:noWrap w:val="0"/>
                  <w:vAlign w:val="center"/>
                </w:tcPr>
                <w:p w14:paraId="2FA7A630">
                  <w:pPr>
                    <w:pStyle w:val="126"/>
                    <w:bidi w:val="0"/>
                    <w:rPr>
                      <w:rFonts w:hint="eastAsia" w:eastAsia="宋体"/>
                      <w:color w:val="auto"/>
                      <w:lang w:val="en-US" w:eastAsia="zh-CN"/>
                    </w:rPr>
                  </w:pPr>
                  <w:r>
                    <w:rPr>
                      <w:rFonts w:hint="eastAsia"/>
                      <w:color w:val="auto"/>
                    </w:rPr>
                    <w:t>污染治理设施</w:t>
                  </w:r>
                  <w:r>
                    <w:rPr>
                      <w:rFonts w:hint="eastAsia"/>
                      <w:color w:val="auto"/>
                      <w:lang w:val="en-US" w:eastAsia="zh-CN"/>
                    </w:rPr>
                    <w:t>名称</w:t>
                  </w:r>
                </w:p>
              </w:tc>
              <w:tc>
                <w:tcPr>
                  <w:tcW w:w="471" w:type="pct"/>
                  <w:tcBorders>
                    <w:tl2br w:val="nil"/>
                    <w:tr2bl w:val="nil"/>
                  </w:tcBorders>
                  <w:noWrap w:val="0"/>
                  <w:vAlign w:val="center"/>
                </w:tcPr>
                <w:p w14:paraId="6ECE5C36">
                  <w:pPr>
                    <w:pStyle w:val="126"/>
                    <w:bidi w:val="0"/>
                    <w:rPr>
                      <w:rFonts w:hint="eastAsia" w:eastAsia="宋体"/>
                      <w:color w:val="auto"/>
                      <w:lang w:val="en-US" w:eastAsia="zh-CN"/>
                    </w:rPr>
                  </w:pPr>
                  <w:r>
                    <w:rPr>
                      <w:rFonts w:hint="eastAsia"/>
                      <w:color w:val="auto"/>
                    </w:rPr>
                    <w:t>污染治理设施</w:t>
                  </w:r>
                  <w:r>
                    <w:rPr>
                      <w:rFonts w:hint="eastAsia"/>
                      <w:color w:val="auto"/>
                      <w:lang w:val="en-US" w:eastAsia="zh-CN"/>
                    </w:rPr>
                    <w:t>工艺</w:t>
                  </w:r>
                </w:p>
              </w:tc>
              <w:tc>
                <w:tcPr>
                  <w:tcW w:w="448" w:type="pct"/>
                  <w:gridSpan w:val="2"/>
                  <w:vMerge w:val="continue"/>
                  <w:tcBorders>
                    <w:tl2br w:val="nil"/>
                    <w:tr2bl w:val="nil"/>
                  </w:tcBorders>
                  <w:noWrap w:val="0"/>
                  <w:vAlign w:val="center"/>
                </w:tcPr>
                <w:p w14:paraId="53D64EFB">
                  <w:pPr>
                    <w:pStyle w:val="126"/>
                    <w:bidi w:val="0"/>
                    <w:rPr>
                      <w:rFonts w:hint="eastAsia"/>
                      <w:color w:val="auto"/>
                    </w:rPr>
                  </w:pPr>
                </w:p>
              </w:tc>
              <w:tc>
                <w:tcPr>
                  <w:tcW w:w="442" w:type="pct"/>
                  <w:vMerge w:val="continue"/>
                  <w:tcBorders>
                    <w:tl2br w:val="nil"/>
                    <w:tr2bl w:val="nil"/>
                  </w:tcBorders>
                  <w:noWrap w:val="0"/>
                  <w:vAlign w:val="center"/>
                </w:tcPr>
                <w:p w14:paraId="04CB0A84">
                  <w:pPr>
                    <w:pStyle w:val="126"/>
                    <w:bidi w:val="0"/>
                    <w:rPr>
                      <w:rFonts w:hint="eastAsia"/>
                      <w:color w:val="auto"/>
                    </w:rPr>
                  </w:pPr>
                </w:p>
              </w:tc>
              <w:tc>
                <w:tcPr>
                  <w:tcW w:w="428" w:type="pct"/>
                  <w:vMerge w:val="continue"/>
                  <w:tcBorders>
                    <w:tl2br w:val="nil"/>
                    <w:tr2bl w:val="nil"/>
                  </w:tcBorders>
                  <w:noWrap w:val="0"/>
                  <w:vAlign w:val="center"/>
                </w:tcPr>
                <w:p w14:paraId="4634B5E0">
                  <w:pPr>
                    <w:pStyle w:val="126"/>
                    <w:bidi w:val="0"/>
                    <w:rPr>
                      <w:rFonts w:hint="eastAsia"/>
                      <w:color w:val="auto"/>
                    </w:rPr>
                  </w:pPr>
                </w:p>
              </w:tc>
            </w:tr>
            <w:tr w14:paraId="6F2AE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tcBorders>
                    <w:tl2br w:val="nil"/>
                    <w:tr2bl w:val="nil"/>
                  </w:tcBorders>
                  <w:noWrap w:val="0"/>
                  <w:vAlign w:val="center"/>
                </w:tcPr>
                <w:p w14:paraId="67812A1E">
                  <w:pPr>
                    <w:pStyle w:val="127"/>
                    <w:bidi w:val="0"/>
                    <w:rPr>
                      <w:rFonts w:hint="eastAsia" w:eastAsia="宋体"/>
                      <w:color w:val="auto"/>
                      <w:lang w:val="en-US" w:eastAsia="zh-CN"/>
                    </w:rPr>
                  </w:pPr>
                  <w:r>
                    <w:rPr>
                      <w:rFonts w:hint="eastAsia"/>
                      <w:color w:val="auto"/>
                      <w:lang w:val="en-US" w:eastAsia="zh-CN"/>
                    </w:rPr>
                    <w:t>1</w:t>
                  </w:r>
                </w:p>
              </w:tc>
              <w:tc>
                <w:tcPr>
                  <w:tcW w:w="371" w:type="pct"/>
                  <w:tcBorders>
                    <w:tl2br w:val="nil"/>
                    <w:tr2bl w:val="nil"/>
                  </w:tcBorders>
                  <w:noWrap w:val="0"/>
                  <w:vAlign w:val="center"/>
                </w:tcPr>
                <w:p w14:paraId="34F1FC1E">
                  <w:pPr>
                    <w:pStyle w:val="127"/>
                    <w:bidi w:val="0"/>
                    <w:rPr>
                      <w:rFonts w:hint="default"/>
                      <w:color w:val="auto"/>
                      <w:lang w:val="en-US" w:eastAsia="zh-CN"/>
                    </w:rPr>
                  </w:pPr>
                  <w:r>
                    <w:rPr>
                      <w:rFonts w:hint="eastAsia"/>
                      <w:color w:val="auto"/>
                      <w:lang w:val="en-US" w:eastAsia="zh-CN"/>
                    </w:rPr>
                    <w:t>生活污水</w:t>
                  </w:r>
                </w:p>
              </w:tc>
              <w:tc>
                <w:tcPr>
                  <w:tcW w:w="529" w:type="pct"/>
                  <w:tcBorders>
                    <w:tl2br w:val="nil"/>
                    <w:tr2bl w:val="nil"/>
                  </w:tcBorders>
                  <w:noWrap w:val="0"/>
                  <w:vAlign w:val="center"/>
                </w:tcPr>
                <w:p w14:paraId="39ACA2D9">
                  <w:pPr>
                    <w:pStyle w:val="127"/>
                    <w:bidi w:val="0"/>
                    <w:rPr>
                      <w:rFonts w:hint="default"/>
                      <w:color w:val="auto"/>
                      <w:lang w:val="en-US"/>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s="Times New Roman"/>
                      <w:color w:val="auto"/>
                      <w:lang w:val="en-US" w:eastAsia="zh-CN"/>
                    </w:rPr>
                    <w:t>TP、</w:t>
                  </w:r>
                  <w:r>
                    <w:rPr>
                      <w:rFonts w:hint="eastAsia"/>
                      <w:color w:val="auto"/>
                      <w:lang w:val="en-US" w:eastAsia="zh-CN"/>
                    </w:rPr>
                    <w:t>TN、动植物油</w:t>
                  </w:r>
                </w:p>
              </w:tc>
              <w:tc>
                <w:tcPr>
                  <w:tcW w:w="620" w:type="pct"/>
                  <w:vMerge w:val="restart"/>
                  <w:tcBorders>
                    <w:tl2br w:val="nil"/>
                    <w:tr2bl w:val="nil"/>
                  </w:tcBorders>
                  <w:noWrap w:val="0"/>
                  <w:vAlign w:val="center"/>
                </w:tcPr>
                <w:p w14:paraId="4A6B57B8">
                  <w:pPr>
                    <w:pStyle w:val="127"/>
                    <w:bidi w:val="0"/>
                    <w:ind w:left="0" w:leftChars="0" w:right="0" w:rightChars="0"/>
                    <w:rPr>
                      <w:rFonts w:hint="default" w:ascii="Times New Roman" w:hAnsi="Times New Roman" w:eastAsia="宋体" w:cs="Times New Roman"/>
                      <w:color w:val="auto"/>
                      <w:lang w:val="en-US" w:eastAsia="zh-CN"/>
                    </w:rPr>
                  </w:pPr>
                  <w:r>
                    <w:rPr>
                      <w:rFonts w:hint="default" w:eastAsia="宋体"/>
                      <w:color w:val="auto"/>
                      <w:lang w:val="en-US" w:eastAsia="zh-CN"/>
                    </w:rPr>
                    <w:t>宁都县第二污水处理厂</w:t>
                  </w:r>
                </w:p>
              </w:tc>
              <w:tc>
                <w:tcPr>
                  <w:tcW w:w="511" w:type="pct"/>
                  <w:vMerge w:val="restart"/>
                  <w:tcBorders>
                    <w:tl2br w:val="nil"/>
                    <w:tr2bl w:val="nil"/>
                  </w:tcBorders>
                  <w:noWrap w:val="0"/>
                  <w:vAlign w:val="center"/>
                </w:tcPr>
                <w:p w14:paraId="6939E81D">
                  <w:pPr>
                    <w:pStyle w:val="127"/>
                    <w:bidi w:val="0"/>
                    <w:ind w:left="0" w:leftChars="0" w:right="0" w:rightChars="0"/>
                    <w:rPr>
                      <w:rFonts w:hint="eastAsia"/>
                      <w:color w:val="auto"/>
                      <w:lang w:val="en-US" w:eastAsia="zh-CN"/>
                    </w:rPr>
                  </w:pPr>
                  <w:r>
                    <w:rPr>
                      <w:rFonts w:hint="eastAsia"/>
                      <w:color w:val="auto"/>
                      <w:lang w:val="en-US" w:eastAsia="zh-CN"/>
                    </w:rPr>
                    <w:t>间接</w:t>
                  </w:r>
                  <w:r>
                    <w:rPr>
                      <w:color w:val="auto"/>
                    </w:rPr>
                    <w:t>排放</w:t>
                  </w:r>
                  <w:r>
                    <w:rPr>
                      <w:rFonts w:hint="eastAsia"/>
                      <w:color w:val="auto"/>
                      <w:highlight w:val="none"/>
                      <w:lang w:val="en-US" w:eastAsia="zh-CN"/>
                    </w:rPr>
                    <w:t>，排放期流量不稳定</w:t>
                  </w:r>
                </w:p>
              </w:tc>
              <w:tc>
                <w:tcPr>
                  <w:tcW w:w="399" w:type="pct"/>
                  <w:tcBorders>
                    <w:tl2br w:val="nil"/>
                    <w:tr2bl w:val="nil"/>
                  </w:tcBorders>
                  <w:noWrap w:val="0"/>
                  <w:vAlign w:val="center"/>
                </w:tcPr>
                <w:p w14:paraId="61385221">
                  <w:pPr>
                    <w:pStyle w:val="127"/>
                    <w:bidi w:val="0"/>
                    <w:rPr>
                      <w:rFonts w:hint="eastAsia" w:eastAsia="宋体"/>
                      <w:color w:val="auto"/>
                      <w:lang w:val="en-US" w:eastAsia="zh-CN"/>
                    </w:rPr>
                  </w:pPr>
                  <w:r>
                    <w:rPr>
                      <w:rFonts w:hint="eastAsia"/>
                      <w:color w:val="auto"/>
                    </w:rPr>
                    <w:t>TW</w:t>
                  </w:r>
                  <w:r>
                    <w:rPr>
                      <w:color w:val="auto"/>
                    </w:rPr>
                    <w:t>00</w:t>
                  </w:r>
                  <w:r>
                    <w:rPr>
                      <w:rFonts w:hint="eastAsia"/>
                      <w:color w:val="auto"/>
                      <w:lang w:val="en-US" w:eastAsia="zh-CN"/>
                    </w:rPr>
                    <w:t>1、</w:t>
                  </w:r>
                  <w:r>
                    <w:rPr>
                      <w:rFonts w:hint="eastAsia"/>
                      <w:color w:val="auto"/>
                    </w:rPr>
                    <w:t>TW</w:t>
                  </w:r>
                  <w:r>
                    <w:rPr>
                      <w:color w:val="auto"/>
                    </w:rPr>
                    <w:t>00</w:t>
                  </w:r>
                  <w:r>
                    <w:rPr>
                      <w:rFonts w:hint="eastAsia"/>
                      <w:color w:val="auto"/>
                      <w:lang w:val="en-US" w:eastAsia="zh-CN"/>
                    </w:rPr>
                    <w:t>2</w:t>
                  </w:r>
                </w:p>
              </w:tc>
              <w:tc>
                <w:tcPr>
                  <w:tcW w:w="444" w:type="pct"/>
                  <w:tcBorders>
                    <w:tl2br w:val="nil"/>
                    <w:tr2bl w:val="nil"/>
                  </w:tcBorders>
                  <w:noWrap w:val="0"/>
                  <w:vAlign w:val="center"/>
                </w:tcPr>
                <w:p w14:paraId="11050F63">
                  <w:pPr>
                    <w:pStyle w:val="127"/>
                    <w:bidi w:val="0"/>
                    <w:rPr>
                      <w:rFonts w:hint="default"/>
                      <w:color w:val="auto"/>
                      <w:highlight w:val="none"/>
                      <w:lang w:val="en-US" w:eastAsia="zh-CN"/>
                    </w:rPr>
                  </w:pPr>
                  <w:r>
                    <w:rPr>
                      <w:rFonts w:hint="eastAsia"/>
                      <w:color w:val="auto"/>
                      <w:highlight w:val="none"/>
                      <w:lang w:val="en-US" w:eastAsia="zh-CN"/>
                    </w:rPr>
                    <w:t>化粪池+污水处理站</w:t>
                  </w:r>
                </w:p>
              </w:tc>
              <w:tc>
                <w:tcPr>
                  <w:tcW w:w="471" w:type="pct"/>
                  <w:tcBorders>
                    <w:tl2br w:val="nil"/>
                    <w:tr2bl w:val="nil"/>
                  </w:tcBorders>
                  <w:noWrap w:val="0"/>
                  <w:vAlign w:val="center"/>
                </w:tcPr>
                <w:p w14:paraId="2200EFEE">
                  <w:pPr>
                    <w:pStyle w:val="127"/>
                    <w:bidi w:val="0"/>
                    <w:rPr>
                      <w:rFonts w:hint="default" w:cs="Times New Roman"/>
                      <w:color w:val="auto"/>
                      <w:sz w:val="21"/>
                      <w:szCs w:val="21"/>
                      <w:lang w:val="en-US" w:eastAsia="zh-CN"/>
                    </w:rPr>
                  </w:pPr>
                  <w:r>
                    <w:rPr>
                      <w:rFonts w:hint="eastAsia" w:cs="Times New Roman"/>
                      <w:color w:val="auto"/>
                      <w:sz w:val="21"/>
                      <w:szCs w:val="21"/>
                      <w:lang w:val="en-US" w:eastAsia="zh-CN"/>
                    </w:rPr>
                    <w:t>化粪池+</w:t>
                  </w:r>
                  <w:r>
                    <w:rPr>
                      <w:rFonts w:hint="default" w:ascii="Times New Roman" w:hAnsi="Times New Roman" w:eastAsia="宋体" w:cs="Times New Roman"/>
                      <w:i w:val="0"/>
                      <w:iCs w:val="0"/>
                      <w:color w:val="000000"/>
                      <w:kern w:val="0"/>
                      <w:sz w:val="21"/>
                      <w:szCs w:val="21"/>
                      <w:u w:val="none"/>
                      <w:lang w:val="en-US" w:eastAsia="zh-CN" w:bidi="ar"/>
                    </w:rPr>
                    <w:t>格栅-隔油池-调节池-A/O工艺</w:t>
                  </w:r>
                  <w:r>
                    <w:rPr>
                      <w:rFonts w:hint="eastAsia" w:ascii="Times New Roman" w:hAnsi="Times New Roman" w:eastAsia="宋体" w:cs="Times New Roman"/>
                      <w:i w:val="0"/>
                      <w:iCs w:val="0"/>
                      <w:color w:val="000000"/>
                      <w:kern w:val="0"/>
                      <w:sz w:val="21"/>
                      <w:szCs w:val="21"/>
                      <w:u w:val="none"/>
                      <w:lang w:val="en-US" w:eastAsia="zh-CN" w:bidi="ar"/>
                    </w:rPr>
                    <w:t>一体化设备-混凝沉淀池</w:t>
                  </w:r>
                </w:p>
              </w:tc>
              <w:tc>
                <w:tcPr>
                  <w:tcW w:w="439" w:type="pct"/>
                  <w:vMerge w:val="restart"/>
                  <w:tcBorders>
                    <w:tl2br w:val="nil"/>
                    <w:tr2bl w:val="nil"/>
                  </w:tcBorders>
                  <w:noWrap w:val="0"/>
                  <w:vAlign w:val="center"/>
                </w:tcPr>
                <w:p w14:paraId="72A53723">
                  <w:pPr>
                    <w:pStyle w:val="127"/>
                    <w:bidi w:val="0"/>
                    <w:ind w:left="0" w:leftChars="0" w:right="0" w:rightChars="0"/>
                    <w:rPr>
                      <w:color w:val="auto"/>
                      <w:highlight w:val="none"/>
                    </w:rPr>
                  </w:pPr>
                  <w:r>
                    <w:rPr>
                      <w:rFonts w:hint="eastAsia"/>
                      <w:color w:val="auto"/>
                    </w:rPr>
                    <w:t>DW001</w:t>
                  </w:r>
                </w:p>
              </w:tc>
              <w:tc>
                <w:tcPr>
                  <w:tcW w:w="450" w:type="pct"/>
                  <w:gridSpan w:val="2"/>
                  <w:vMerge w:val="restart"/>
                  <w:tcBorders>
                    <w:tl2br w:val="nil"/>
                    <w:tr2bl w:val="nil"/>
                  </w:tcBorders>
                  <w:noWrap w:val="0"/>
                  <w:vAlign w:val="center"/>
                </w:tcPr>
                <w:p w14:paraId="31D99FFE">
                  <w:pPr>
                    <w:pStyle w:val="127"/>
                    <w:bidi w:val="0"/>
                    <w:ind w:left="0" w:leftChars="0" w:right="0" w:rightChars="0"/>
                    <w:rPr>
                      <w:color w:val="auto"/>
                      <w:highlight w:val="none"/>
                    </w:rPr>
                  </w:pPr>
                  <w:r>
                    <w:rPr>
                      <w:rFonts w:hint="eastAsia"/>
                      <w:color w:val="auto"/>
                    </w:rPr>
                    <w:t>是</w:t>
                  </w:r>
                </w:p>
              </w:tc>
              <w:tc>
                <w:tcPr>
                  <w:tcW w:w="428" w:type="pct"/>
                  <w:vMerge w:val="restart"/>
                  <w:tcBorders>
                    <w:tl2br w:val="nil"/>
                    <w:tr2bl w:val="nil"/>
                  </w:tcBorders>
                  <w:noWrap w:val="0"/>
                  <w:vAlign w:val="center"/>
                </w:tcPr>
                <w:p w14:paraId="79F21906">
                  <w:pPr>
                    <w:pStyle w:val="127"/>
                    <w:bidi w:val="0"/>
                    <w:rPr>
                      <w:color w:val="auto"/>
                      <w:highlight w:val="none"/>
                    </w:rPr>
                  </w:pPr>
                  <w:r>
                    <w:rPr>
                      <w:rFonts w:hint="eastAsia"/>
                      <w:color w:val="auto"/>
                      <w:highlight w:val="none"/>
                    </w:rPr>
                    <w:t>一般</w:t>
                  </w:r>
                </w:p>
                <w:p w14:paraId="59545E28">
                  <w:pPr>
                    <w:pStyle w:val="127"/>
                    <w:bidi w:val="0"/>
                    <w:ind w:left="0" w:leftChars="0" w:right="0" w:rightChars="0"/>
                    <w:rPr>
                      <w:color w:val="auto"/>
                      <w:highlight w:val="none"/>
                    </w:rPr>
                  </w:pPr>
                  <w:r>
                    <w:rPr>
                      <w:color w:val="auto"/>
                      <w:highlight w:val="none"/>
                    </w:rPr>
                    <w:t>排放口</w:t>
                  </w:r>
                </w:p>
              </w:tc>
            </w:tr>
            <w:tr w14:paraId="51414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tcBorders>
                    <w:tl2br w:val="nil"/>
                    <w:tr2bl w:val="nil"/>
                  </w:tcBorders>
                  <w:noWrap w:val="0"/>
                  <w:vAlign w:val="center"/>
                </w:tcPr>
                <w:p w14:paraId="1377FC68">
                  <w:pPr>
                    <w:pStyle w:val="127"/>
                    <w:bidi w:val="0"/>
                    <w:rPr>
                      <w:rFonts w:hint="default"/>
                      <w:color w:val="auto"/>
                      <w:lang w:val="en-US" w:eastAsia="zh-CN"/>
                    </w:rPr>
                  </w:pPr>
                  <w:r>
                    <w:rPr>
                      <w:rFonts w:hint="eastAsia"/>
                      <w:color w:val="auto"/>
                      <w:lang w:val="en-US" w:eastAsia="zh-CN"/>
                    </w:rPr>
                    <w:t>2</w:t>
                  </w:r>
                </w:p>
              </w:tc>
              <w:tc>
                <w:tcPr>
                  <w:tcW w:w="371" w:type="pct"/>
                  <w:tcBorders>
                    <w:tl2br w:val="nil"/>
                    <w:tr2bl w:val="nil"/>
                  </w:tcBorders>
                  <w:noWrap w:val="0"/>
                  <w:vAlign w:val="center"/>
                </w:tcPr>
                <w:p w14:paraId="040DFAE0">
                  <w:pPr>
                    <w:pStyle w:val="127"/>
                    <w:bidi w:val="0"/>
                    <w:rPr>
                      <w:rFonts w:hint="default"/>
                      <w:color w:val="auto"/>
                      <w:lang w:val="en-US" w:eastAsia="zh-CN"/>
                    </w:rPr>
                  </w:pPr>
                  <w:r>
                    <w:rPr>
                      <w:rFonts w:hint="eastAsia"/>
                      <w:color w:val="auto"/>
                      <w:lang w:val="en-US" w:eastAsia="zh-CN"/>
                    </w:rPr>
                    <w:t>生产废水</w:t>
                  </w:r>
                </w:p>
              </w:tc>
              <w:tc>
                <w:tcPr>
                  <w:tcW w:w="529" w:type="pct"/>
                  <w:tcBorders>
                    <w:tl2br w:val="nil"/>
                    <w:tr2bl w:val="nil"/>
                  </w:tcBorders>
                  <w:noWrap w:val="0"/>
                  <w:vAlign w:val="center"/>
                </w:tcPr>
                <w:p w14:paraId="43CF84EF">
                  <w:pPr>
                    <w:pStyle w:val="127"/>
                    <w:bidi w:val="0"/>
                    <w:rPr>
                      <w:rFonts w:hint="eastAsia"/>
                      <w:color w:val="auto"/>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eastAsia"/>
                      <w:color w:val="auto"/>
                      <w:lang w:val="en-US" w:eastAsia="zh-CN"/>
                    </w:rPr>
                    <w:t>动植物油</w:t>
                  </w:r>
                </w:p>
              </w:tc>
              <w:tc>
                <w:tcPr>
                  <w:tcW w:w="620" w:type="pct"/>
                  <w:vMerge w:val="continue"/>
                  <w:tcBorders>
                    <w:tl2br w:val="nil"/>
                    <w:tr2bl w:val="nil"/>
                  </w:tcBorders>
                  <w:noWrap w:val="0"/>
                  <w:vAlign w:val="center"/>
                </w:tcPr>
                <w:p w14:paraId="54B18765">
                  <w:pPr>
                    <w:pStyle w:val="127"/>
                    <w:bidi w:val="0"/>
                    <w:rPr>
                      <w:rFonts w:hint="default" w:ascii="Times New Roman" w:hAnsi="Times New Roman" w:eastAsia="宋体" w:cs="Times New Roman"/>
                      <w:color w:val="auto"/>
                      <w:lang w:val="en-US" w:eastAsia="zh-CN"/>
                    </w:rPr>
                  </w:pPr>
                </w:p>
              </w:tc>
              <w:tc>
                <w:tcPr>
                  <w:tcW w:w="511" w:type="pct"/>
                  <w:vMerge w:val="continue"/>
                  <w:tcBorders>
                    <w:tl2br w:val="nil"/>
                    <w:tr2bl w:val="nil"/>
                  </w:tcBorders>
                  <w:noWrap w:val="0"/>
                  <w:vAlign w:val="center"/>
                </w:tcPr>
                <w:p w14:paraId="7F996775">
                  <w:pPr>
                    <w:pStyle w:val="127"/>
                    <w:bidi w:val="0"/>
                    <w:rPr>
                      <w:rFonts w:hint="eastAsia"/>
                      <w:color w:val="auto"/>
                      <w:lang w:val="en-US" w:eastAsia="zh-CN"/>
                    </w:rPr>
                  </w:pPr>
                </w:p>
              </w:tc>
              <w:tc>
                <w:tcPr>
                  <w:tcW w:w="399" w:type="pct"/>
                  <w:tcBorders>
                    <w:tl2br w:val="nil"/>
                    <w:tr2bl w:val="nil"/>
                  </w:tcBorders>
                  <w:noWrap w:val="0"/>
                  <w:vAlign w:val="center"/>
                </w:tcPr>
                <w:p w14:paraId="34488AE5">
                  <w:pPr>
                    <w:pStyle w:val="127"/>
                    <w:bidi w:val="0"/>
                    <w:rPr>
                      <w:rFonts w:hint="default" w:eastAsia="宋体"/>
                      <w:color w:val="auto"/>
                      <w:lang w:val="en-US" w:eastAsia="zh-CN"/>
                    </w:rPr>
                  </w:pPr>
                  <w:r>
                    <w:rPr>
                      <w:rFonts w:hint="eastAsia"/>
                      <w:color w:val="auto"/>
                      <w:lang w:val="en-US" w:eastAsia="zh-CN"/>
                    </w:rPr>
                    <w:t>TW002</w:t>
                  </w:r>
                </w:p>
              </w:tc>
              <w:tc>
                <w:tcPr>
                  <w:tcW w:w="444" w:type="pct"/>
                  <w:tcBorders>
                    <w:tl2br w:val="nil"/>
                    <w:tr2bl w:val="nil"/>
                  </w:tcBorders>
                  <w:noWrap w:val="0"/>
                  <w:vAlign w:val="center"/>
                </w:tcPr>
                <w:p w14:paraId="33325165">
                  <w:pPr>
                    <w:pStyle w:val="127"/>
                    <w:bidi w:val="0"/>
                    <w:jc w:val="center"/>
                    <w:rPr>
                      <w:rFonts w:hint="eastAsia"/>
                      <w:color w:val="auto"/>
                      <w:highlight w:val="none"/>
                      <w:lang w:val="en-US" w:eastAsia="zh-CN"/>
                    </w:rPr>
                  </w:pPr>
                  <w:r>
                    <w:rPr>
                      <w:rFonts w:hint="eastAsia"/>
                      <w:color w:val="auto"/>
                      <w:highlight w:val="none"/>
                      <w:lang w:val="en-US" w:eastAsia="zh-CN"/>
                    </w:rPr>
                    <w:t>污水处理站</w:t>
                  </w:r>
                </w:p>
              </w:tc>
              <w:tc>
                <w:tcPr>
                  <w:tcW w:w="471" w:type="pct"/>
                  <w:tcBorders>
                    <w:tl2br w:val="nil"/>
                    <w:tr2bl w:val="nil"/>
                  </w:tcBorders>
                  <w:noWrap w:val="0"/>
                  <w:vAlign w:val="center"/>
                </w:tcPr>
                <w:p w14:paraId="12B74CA3">
                  <w:pPr>
                    <w:pStyle w:val="127"/>
                    <w:bidi w:val="0"/>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格栅-隔油池-调节池-A/O工艺</w:t>
                  </w:r>
                  <w:r>
                    <w:rPr>
                      <w:rFonts w:hint="eastAsia" w:ascii="Times New Roman" w:hAnsi="Times New Roman" w:eastAsia="宋体" w:cs="Times New Roman"/>
                      <w:i w:val="0"/>
                      <w:iCs w:val="0"/>
                      <w:color w:val="000000"/>
                      <w:kern w:val="0"/>
                      <w:sz w:val="21"/>
                      <w:szCs w:val="21"/>
                      <w:u w:val="none"/>
                      <w:lang w:val="en-US" w:eastAsia="zh-CN" w:bidi="ar"/>
                    </w:rPr>
                    <w:t>一体化设备-混凝沉淀池</w:t>
                  </w:r>
                </w:p>
              </w:tc>
              <w:tc>
                <w:tcPr>
                  <w:tcW w:w="439" w:type="pct"/>
                  <w:vMerge w:val="continue"/>
                  <w:tcBorders>
                    <w:tl2br w:val="nil"/>
                    <w:tr2bl w:val="nil"/>
                  </w:tcBorders>
                  <w:noWrap w:val="0"/>
                  <w:vAlign w:val="center"/>
                </w:tcPr>
                <w:p w14:paraId="5239CF32">
                  <w:pPr>
                    <w:pStyle w:val="127"/>
                    <w:bidi w:val="0"/>
                    <w:rPr>
                      <w:color w:val="auto"/>
                      <w:highlight w:val="none"/>
                    </w:rPr>
                  </w:pPr>
                </w:p>
              </w:tc>
              <w:tc>
                <w:tcPr>
                  <w:tcW w:w="450" w:type="pct"/>
                  <w:gridSpan w:val="2"/>
                  <w:vMerge w:val="continue"/>
                  <w:tcBorders>
                    <w:tl2br w:val="nil"/>
                    <w:tr2bl w:val="nil"/>
                  </w:tcBorders>
                  <w:noWrap w:val="0"/>
                  <w:vAlign w:val="center"/>
                </w:tcPr>
                <w:p w14:paraId="2ED2807B">
                  <w:pPr>
                    <w:pStyle w:val="127"/>
                    <w:bidi w:val="0"/>
                    <w:rPr>
                      <w:color w:val="auto"/>
                      <w:highlight w:val="none"/>
                    </w:rPr>
                  </w:pPr>
                </w:p>
              </w:tc>
              <w:tc>
                <w:tcPr>
                  <w:tcW w:w="428" w:type="pct"/>
                  <w:vMerge w:val="continue"/>
                  <w:tcBorders>
                    <w:tl2br w:val="nil"/>
                    <w:tr2bl w:val="nil"/>
                  </w:tcBorders>
                  <w:noWrap w:val="0"/>
                  <w:vAlign w:val="center"/>
                </w:tcPr>
                <w:p w14:paraId="6742B27D">
                  <w:pPr>
                    <w:pStyle w:val="127"/>
                    <w:bidi w:val="0"/>
                    <w:rPr>
                      <w:color w:val="auto"/>
                      <w:highlight w:val="none"/>
                    </w:rPr>
                  </w:pPr>
                </w:p>
              </w:tc>
            </w:tr>
            <w:tr w14:paraId="5C504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tcBorders>
                    <w:tl2br w:val="nil"/>
                    <w:tr2bl w:val="nil"/>
                  </w:tcBorders>
                  <w:noWrap w:val="0"/>
                  <w:vAlign w:val="center"/>
                </w:tcPr>
                <w:p w14:paraId="356D883F">
                  <w:pPr>
                    <w:pStyle w:val="127"/>
                    <w:bidi w:val="0"/>
                    <w:rPr>
                      <w:rFonts w:hint="default"/>
                      <w:color w:val="auto"/>
                      <w:lang w:val="en-US" w:eastAsia="zh-CN"/>
                    </w:rPr>
                  </w:pPr>
                  <w:r>
                    <w:rPr>
                      <w:rFonts w:hint="eastAsia"/>
                      <w:color w:val="auto"/>
                      <w:lang w:val="en-US" w:eastAsia="zh-CN"/>
                    </w:rPr>
                    <w:t>3</w:t>
                  </w:r>
                </w:p>
              </w:tc>
              <w:tc>
                <w:tcPr>
                  <w:tcW w:w="371" w:type="pct"/>
                  <w:tcBorders>
                    <w:tl2br w:val="nil"/>
                    <w:tr2bl w:val="nil"/>
                  </w:tcBorders>
                  <w:shd w:val="clear" w:color="auto" w:fill="auto"/>
                  <w:noWrap w:val="0"/>
                  <w:vAlign w:val="center"/>
                </w:tcPr>
                <w:p w14:paraId="51FA2F04">
                  <w:pPr>
                    <w:pStyle w:val="127"/>
                    <w:bidi w:val="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纯水制备浓水</w:t>
                  </w:r>
                </w:p>
              </w:tc>
              <w:tc>
                <w:tcPr>
                  <w:tcW w:w="529" w:type="pct"/>
                  <w:tcBorders>
                    <w:tl2br w:val="nil"/>
                    <w:tr2bl w:val="nil"/>
                  </w:tcBorders>
                  <w:shd w:val="clear" w:color="auto" w:fill="auto"/>
                  <w:noWrap w:val="0"/>
                  <w:vAlign w:val="center"/>
                </w:tcPr>
                <w:p w14:paraId="36704353">
                  <w:pPr>
                    <w:pStyle w:val="127"/>
                    <w:bidi w:val="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、SS、</w:t>
                  </w:r>
                  <w:r>
                    <w:rPr>
                      <w:rFonts w:hint="eastAsia" w:cs="Times New Roman"/>
                      <w:color w:val="auto"/>
                      <w:lang w:val="en-US" w:eastAsia="zh-CN"/>
                    </w:rPr>
                    <w:t>全盐量</w:t>
                  </w:r>
                </w:p>
              </w:tc>
              <w:tc>
                <w:tcPr>
                  <w:tcW w:w="620" w:type="pct"/>
                  <w:vMerge w:val="continue"/>
                  <w:tcBorders>
                    <w:tl2br w:val="nil"/>
                    <w:tr2bl w:val="nil"/>
                  </w:tcBorders>
                  <w:noWrap w:val="0"/>
                  <w:vAlign w:val="center"/>
                </w:tcPr>
                <w:p w14:paraId="2B07DD37">
                  <w:pPr>
                    <w:pStyle w:val="127"/>
                    <w:bidi w:val="0"/>
                    <w:rPr>
                      <w:rFonts w:hint="default" w:ascii="Times New Roman" w:hAnsi="Times New Roman" w:eastAsia="宋体" w:cs="Times New Roman"/>
                      <w:color w:val="auto"/>
                      <w:lang w:val="en-US" w:eastAsia="zh-CN"/>
                    </w:rPr>
                  </w:pPr>
                </w:p>
              </w:tc>
              <w:tc>
                <w:tcPr>
                  <w:tcW w:w="511" w:type="pct"/>
                  <w:vMerge w:val="continue"/>
                  <w:tcBorders>
                    <w:tl2br w:val="nil"/>
                    <w:tr2bl w:val="nil"/>
                  </w:tcBorders>
                  <w:noWrap w:val="0"/>
                  <w:vAlign w:val="center"/>
                </w:tcPr>
                <w:p w14:paraId="435671EC">
                  <w:pPr>
                    <w:pStyle w:val="127"/>
                    <w:bidi w:val="0"/>
                    <w:rPr>
                      <w:rFonts w:hint="eastAsia"/>
                      <w:color w:val="auto"/>
                      <w:lang w:val="en-US" w:eastAsia="zh-CN"/>
                    </w:rPr>
                  </w:pPr>
                </w:p>
              </w:tc>
              <w:tc>
                <w:tcPr>
                  <w:tcW w:w="399" w:type="pct"/>
                  <w:tcBorders>
                    <w:tl2br w:val="nil"/>
                    <w:tr2bl w:val="nil"/>
                  </w:tcBorders>
                  <w:noWrap w:val="0"/>
                  <w:vAlign w:val="center"/>
                </w:tcPr>
                <w:p w14:paraId="7214EFCA">
                  <w:pPr>
                    <w:pStyle w:val="127"/>
                    <w:bidi w:val="0"/>
                    <w:rPr>
                      <w:rFonts w:hint="default"/>
                      <w:color w:val="auto"/>
                      <w:lang w:val="en-US" w:eastAsia="zh-CN"/>
                    </w:rPr>
                  </w:pPr>
                  <w:r>
                    <w:rPr>
                      <w:rFonts w:hint="eastAsia"/>
                      <w:color w:val="auto"/>
                      <w:lang w:val="en-US" w:eastAsia="zh-CN"/>
                    </w:rPr>
                    <w:t>/</w:t>
                  </w:r>
                </w:p>
              </w:tc>
              <w:tc>
                <w:tcPr>
                  <w:tcW w:w="444" w:type="pct"/>
                  <w:tcBorders>
                    <w:tl2br w:val="nil"/>
                    <w:tr2bl w:val="nil"/>
                  </w:tcBorders>
                  <w:noWrap w:val="0"/>
                  <w:vAlign w:val="center"/>
                </w:tcPr>
                <w:p w14:paraId="2DFF4A51">
                  <w:pPr>
                    <w:pStyle w:val="127"/>
                    <w:bidi w:val="0"/>
                    <w:jc w:val="center"/>
                    <w:rPr>
                      <w:rFonts w:hint="default"/>
                      <w:color w:val="auto"/>
                      <w:highlight w:val="none"/>
                      <w:lang w:val="en-US" w:eastAsia="zh-CN"/>
                    </w:rPr>
                  </w:pPr>
                  <w:r>
                    <w:rPr>
                      <w:rFonts w:hint="eastAsia"/>
                      <w:color w:val="auto"/>
                      <w:highlight w:val="none"/>
                      <w:lang w:val="en-US" w:eastAsia="zh-CN"/>
                    </w:rPr>
                    <w:t>/</w:t>
                  </w:r>
                </w:p>
              </w:tc>
              <w:tc>
                <w:tcPr>
                  <w:tcW w:w="471" w:type="pct"/>
                  <w:tcBorders>
                    <w:tl2br w:val="nil"/>
                    <w:tr2bl w:val="nil"/>
                  </w:tcBorders>
                  <w:noWrap w:val="0"/>
                  <w:vAlign w:val="center"/>
                </w:tcPr>
                <w:p w14:paraId="5C2A12C2">
                  <w:pPr>
                    <w:pStyle w:val="127"/>
                    <w:bidi w:val="0"/>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39" w:type="pct"/>
                  <w:vMerge w:val="continue"/>
                  <w:tcBorders>
                    <w:tl2br w:val="nil"/>
                    <w:tr2bl w:val="nil"/>
                  </w:tcBorders>
                  <w:noWrap w:val="0"/>
                  <w:vAlign w:val="center"/>
                </w:tcPr>
                <w:p w14:paraId="33686AEA">
                  <w:pPr>
                    <w:pStyle w:val="127"/>
                    <w:bidi w:val="0"/>
                    <w:rPr>
                      <w:color w:val="auto"/>
                      <w:highlight w:val="none"/>
                    </w:rPr>
                  </w:pPr>
                </w:p>
              </w:tc>
              <w:tc>
                <w:tcPr>
                  <w:tcW w:w="450" w:type="pct"/>
                  <w:gridSpan w:val="2"/>
                  <w:vMerge w:val="continue"/>
                  <w:tcBorders>
                    <w:tl2br w:val="nil"/>
                    <w:tr2bl w:val="nil"/>
                  </w:tcBorders>
                  <w:noWrap w:val="0"/>
                  <w:vAlign w:val="center"/>
                </w:tcPr>
                <w:p w14:paraId="33068BF2">
                  <w:pPr>
                    <w:pStyle w:val="127"/>
                    <w:bidi w:val="0"/>
                    <w:rPr>
                      <w:color w:val="auto"/>
                      <w:highlight w:val="none"/>
                    </w:rPr>
                  </w:pPr>
                </w:p>
              </w:tc>
              <w:tc>
                <w:tcPr>
                  <w:tcW w:w="428" w:type="pct"/>
                  <w:vMerge w:val="continue"/>
                  <w:tcBorders>
                    <w:tl2br w:val="nil"/>
                    <w:tr2bl w:val="nil"/>
                  </w:tcBorders>
                  <w:noWrap w:val="0"/>
                  <w:vAlign w:val="center"/>
                </w:tcPr>
                <w:p w14:paraId="46D4A532">
                  <w:pPr>
                    <w:pStyle w:val="127"/>
                    <w:bidi w:val="0"/>
                    <w:rPr>
                      <w:color w:val="auto"/>
                      <w:highlight w:val="none"/>
                    </w:rPr>
                  </w:pPr>
                </w:p>
              </w:tc>
            </w:tr>
            <w:tr w14:paraId="521A5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tcBorders>
                    <w:tl2br w:val="nil"/>
                    <w:tr2bl w:val="nil"/>
                  </w:tcBorders>
                  <w:noWrap w:val="0"/>
                  <w:vAlign w:val="center"/>
                </w:tcPr>
                <w:p w14:paraId="73E4237A">
                  <w:pPr>
                    <w:pStyle w:val="127"/>
                    <w:bidi w:val="0"/>
                    <w:rPr>
                      <w:rFonts w:hint="default"/>
                      <w:color w:val="auto"/>
                      <w:lang w:val="en-US" w:eastAsia="zh-CN"/>
                    </w:rPr>
                  </w:pPr>
                  <w:r>
                    <w:rPr>
                      <w:rFonts w:hint="eastAsia"/>
                      <w:color w:val="auto"/>
                      <w:lang w:val="en-US" w:eastAsia="zh-CN"/>
                    </w:rPr>
                    <w:t>4</w:t>
                  </w:r>
                </w:p>
              </w:tc>
              <w:tc>
                <w:tcPr>
                  <w:tcW w:w="371" w:type="pct"/>
                  <w:tcBorders>
                    <w:tl2br w:val="nil"/>
                    <w:tr2bl w:val="nil"/>
                  </w:tcBorders>
                  <w:shd w:val="clear" w:color="auto" w:fill="auto"/>
                  <w:noWrap w:val="0"/>
                  <w:vAlign w:val="center"/>
                </w:tcPr>
                <w:p w14:paraId="4502E4C0">
                  <w:pPr>
                    <w:pStyle w:val="127"/>
                    <w:bidi w:val="0"/>
                    <w:ind w:left="0" w:leftChars="0" w:right="0" w:rightChars="0"/>
                    <w:rPr>
                      <w:rFonts w:hint="default"/>
                      <w:color w:val="auto"/>
                      <w:lang w:val="en-US" w:eastAsia="zh-CN"/>
                    </w:rPr>
                  </w:pPr>
                  <w:r>
                    <w:rPr>
                      <w:rFonts w:hint="eastAsia"/>
                      <w:color w:val="auto"/>
                      <w:lang w:val="en-US" w:eastAsia="zh-CN"/>
                    </w:rPr>
                    <w:t>雨水</w:t>
                  </w:r>
                </w:p>
              </w:tc>
              <w:tc>
                <w:tcPr>
                  <w:tcW w:w="529" w:type="pct"/>
                  <w:tcBorders>
                    <w:tl2br w:val="nil"/>
                    <w:tr2bl w:val="nil"/>
                  </w:tcBorders>
                  <w:shd w:val="clear" w:color="auto" w:fill="auto"/>
                  <w:noWrap w:val="0"/>
                  <w:vAlign w:val="center"/>
                </w:tcPr>
                <w:p w14:paraId="37C59F2C">
                  <w:pPr>
                    <w:pStyle w:val="127"/>
                    <w:bidi w:val="0"/>
                    <w:ind w:left="0" w:leftChars="0" w:right="0" w:righ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pH、</w:t>
                  </w:r>
                  <w:r>
                    <w:rPr>
                      <w:rFonts w:hint="default" w:ascii="Times New Roman" w:hAnsi="Times New Roman" w:cs="Times New Roman"/>
                      <w:color w:val="auto"/>
                    </w:rPr>
                    <w:t>COD</w:t>
                  </w:r>
                  <w:r>
                    <w:rPr>
                      <w:rFonts w:hint="default" w:ascii="Times New Roman" w:hAnsi="Times New Roman" w:cs="Times New Roman"/>
                      <w:color w:val="auto"/>
                      <w:lang w:val="en-US" w:eastAsia="zh-CN"/>
                    </w:rPr>
                    <w:t>cr</w:t>
                  </w:r>
                  <w:r>
                    <w:rPr>
                      <w:rFonts w:hint="eastAsia" w:cs="Times New Roman"/>
                      <w:color w:val="auto"/>
                      <w:lang w:val="en-US" w:eastAsia="zh-CN"/>
                    </w:rPr>
                    <w:t>、</w:t>
                  </w:r>
                  <w:r>
                    <w:rPr>
                      <w:rFonts w:hint="default" w:ascii="Times New Roman" w:hAnsi="Times New Roman" w:cs="Times New Roman"/>
                      <w:color w:val="auto"/>
                    </w:rPr>
                    <w:t>SS</w:t>
                  </w:r>
                </w:p>
              </w:tc>
              <w:tc>
                <w:tcPr>
                  <w:tcW w:w="1016" w:type="dxa"/>
                  <w:tcBorders>
                    <w:tl2br w:val="nil"/>
                    <w:tr2bl w:val="nil"/>
                  </w:tcBorders>
                  <w:noWrap w:val="0"/>
                  <w:vAlign w:val="center"/>
                </w:tcPr>
                <w:p w14:paraId="33AF9A75">
                  <w:pPr>
                    <w:pStyle w:val="127"/>
                    <w:bidi w:val="0"/>
                    <w:ind w:left="0" w:leftChars="0" w:right="0" w:rightChars="0"/>
                    <w:rPr>
                      <w:rFonts w:hint="default" w:ascii="Times New Roman" w:hAnsi="Times New Roman" w:eastAsia="宋体" w:cs="Times New Roman"/>
                      <w:color w:val="auto"/>
                      <w:lang w:val="en-US" w:eastAsia="zh-CN"/>
                    </w:rPr>
                  </w:pPr>
                  <w:r>
                    <w:rPr>
                      <w:rFonts w:hint="eastAsia" w:eastAsia="宋体"/>
                      <w:color w:val="auto"/>
                      <w:lang w:val="en-US" w:eastAsia="zh-CN"/>
                    </w:rPr>
                    <w:t>园区雨水管网</w:t>
                  </w:r>
                </w:p>
              </w:tc>
              <w:tc>
                <w:tcPr>
                  <w:tcW w:w="837" w:type="dxa"/>
                  <w:tcBorders>
                    <w:tl2br w:val="nil"/>
                    <w:tr2bl w:val="nil"/>
                  </w:tcBorders>
                  <w:noWrap w:val="0"/>
                  <w:vAlign w:val="center"/>
                </w:tcPr>
                <w:p w14:paraId="1CDC813D">
                  <w:pPr>
                    <w:pStyle w:val="127"/>
                    <w:bidi w:val="0"/>
                    <w:ind w:left="0" w:leftChars="0" w:right="0" w:rightChars="0"/>
                    <w:rPr>
                      <w:rFonts w:hint="eastAsia"/>
                      <w:color w:val="auto"/>
                      <w:lang w:val="en-US" w:eastAsia="zh-CN"/>
                    </w:rPr>
                  </w:pPr>
                  <w:r>
                    <w:rPr>
                      <w:rFonts w:hint="eastAsia"/>
                      <w:color w:val="auto"/>
                      <w:lang w:val="en-US" w:eastAsia="zh-CN"/>
                    </w:rPr>
                    <w:t>间接</w:t>
                  </w:r>
                  <w:r>
                    <w:rPr>
                      <w:color w:val="auto"/>
                    </w:rPr>
                    <w:t>排放</w:t>
                  </w:r>
                  <w:r>
                    <w:rPr>
                      <w:rFonts w:hint="eastAsia"/>
                      <w:color w:val="auto"/>
                      <w:highlight w:val="none"/>
                      <w:lang w:val="en-US" w:eastAsia="zh-CN"/>
                    </w:rPr>
                    <w:t>，排放期流量不稳定</w:t>
                  </w:r>
                </w:p>
              </w:tc>
              <w:tc>
                <w:tcPr>
                  <w:tcW w:w="399" w:type="pct"/>
                  <w:tcBorders>
                    <w:tl2br w:val="nil"/>
                    <w:tr2bl w:val="nil"/>
                  </w:tcBorders>
                  <w:noWrap w:val="0"/>
                  <w:vAlign w:val="center"/>
                </w:tcPr>
                <w:p w14:paraId="054A1D0E">
                  <w:pPr>
                    <w:pStyle w:val="127"/>
                    <w:bidi w:val="0"/>
                    <w:rPr>
                      <w:rFonts w:hint="default"/>
                      <w:color w:val="auto"/>
                      <w:lang w:val="en-US" w:eastAsia="zh-CN"/>
                    </w:rPr>
                  </w:pPr>
                  <w:r>
                    <w:rPr>
                      <w:rFonts w:hint="eastAsia"/>
                      <w:color w:val="auto"/>
                      <w:lang w:val="en-US" w:eastAsia="zh-CN"/>
                    </w:rPr>
                    <w:t>/</w:t>
                  </w:r>
                </w:p>
              </w:tc>
              <w:tc>
                <w:tcPr>
                  <w:tcW w:w="444" w:type="pct"/>
                  <w:tcBorders>
                    <w:tl2br w:val="nil"/>
                    <w:tr2bl w:val="nil"/>
                  </w:tcBorders>
                  <w:noWrap w:val="0"/>
                  <w:vAlign w:val="center"/>
                </w:tcPr>
                <w:p w14:paraId="4C9BD146">
                  <w:pPr>
                    <w:pStyle w:val="127"/>
                    <w:bidi w:val="0"/>
                    <w:jc w:val="center"/>
                    <w:rPr>
                      <w:rFonts w:hint="default"/>
                      <w:color w:val="auto"/>
                      <w:highlight w:val="none"/>
                      <w:lang w:val="en-US" w:eastAsia="zh-CN"/>
                    </w:rPr>
                  </w:pPr>
                  <w:r>
                    <w:rPr>
                      <w:rFonts w:hint="eastAsia"/>
                      <w:color w:val="auto"/>
                      <w:highlight w:val="none"/>
                      <w:lang w:val="en-US" w:eastAsia="zh-CN"/>
                    </w:rPr>
                    <w:t>/</w:t>
                  </w:r>
                </w:p>
              </w:tc>
              <w:tc>
                <w:tcPr>
                  <w:tcW w:w="471" w:type="pct"/>
                  <w:tcBorders>
                    <w:tl2br w:val="nil"/>
                    <w:tr2bl w:val="nil"/>
                  </w:tcBorders>
                  <w:noWrap w:val="0"/>
                  <w:vAlign w:val="center"/>
                </w:tcPr>
                <w:p w14:paraId="37583C57">
                  <w:pPr>
                    <w:pStyle w:val="127"/>
                    <w:bidi w:val="0"/>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39" w:type="pct"/>
                  <w:tcBorders>
                    <w:tl2br w:val="nil"/>
                    <w:tr2bl w:val="nil"/>
                  </w:tcBorders>
                  <w:noWrap w:val="0"/>
                  <w:vAlign w:val="center"/>
                </w:tcPr>
                <w:p w14:paraId="47E99850">
                  <w:pPr>
                    <w:pStyle w:val="127"/>
                    <w:bidi w:val="0"/>
                    <w:rPr>
                      <w:color w:val="auto"/>
                      <w:highlight w:val="none"/>
                    </w:rPr>
                  </w:pPr>
                  <w:r>
                    <w:rPr>
                      <w:rFonts w:hint="eastAsia"/>
                      <w:color w:val="auto"/>
                      <w:lang w:val="en-US" w:eastAsia="zh-CN"/>
                    </w:rPr>
                    <w:t>YS001</w:t>
                  </w:r>
                </w:p>
              </w:tc>
              <w:tc>
                <w:tcPr>
                  <w:tcW w:w="450" w:type="pct"/>
                  <w:gridSpan w:val="2"/>
                  <w:tcBorders>
                    <w:tl2br w:val="nil"/>
                    <w:tr2bl w:val="nil"/>
                  </w:tcBorders>
                  <w:noWrap w:val="0"/>
                  <w:vAlign w:val="center"/>
                </w:tcPr>
                <w:p w14:paraId="452E68A9">
                  <w:pPr>
                    <w:pStyle w:val="127"/>
                    <w:bidi w:val="0"/>
                    <w:rPr>
                      <w:rFonts w:hint="default" w:eastAsia="宋体"/>
                      <w:color w:val="auto"/>
                      <w:highlight w:val="none"/>
                      <w:lang w:val="en-US" w:eastAsia="zh-CN"/>
                    </w:rPr>
                  </w:pPr>
                  <w:r>
                    <w:rPr>
                      <w:rFonts w:hint="eastAsia"/>
                      <w:color w:val="auto"/>
                      <w:highlight w:val="none"/>
                      <w:lang w:val="en-US" w:eastAsia="zh-CN"/>
                    </w:rPr>
                    <w:t>是</w:t>
                  </w:r>
                </w:p>
              </w:tc>
              <w:tc>
                <w:tcPr>
                  <w:tcW w:w="428" w:type="pct"/>
                  <w:tcBorders>
                    <w:tl2br w:val="nil"/>
                    <w:tr2bl w:val="nil"/>
                  </w:tcBorders>
                  <w:noWrap w:val="0"/>
                  <w:vAlign w:val="center"/>
                </w:tcPr>
                <w:p w14:paraId="528537A2">
                  <w:pPr>
                    <w:pStyle w:val="127"/>
                    <w:bidi w:val="0"/>
                    <w:rPr>
                      <w:rFonts w:hint="eastAsia" w:eastAsia="宋体"/>
                      <w:color w:val="auto"/>
                      <w:highlight w:val="none"/>
                      <w:lang w:val="en-US" w:eastAsia="zh-CN"/>
                    </w:rPr>
                  </w:pPr>
                  <w:r>
                    <w:rPr>
                      <w:rFonts w:hint="eastAsia"/>
                      <w:color w:val="auto"/>
                      <w:highlight w:val="none"/>
                      <w:lang w:val="en-US" w:eastAsia="zh-CN"/>
                    </w:rPr>
                    <w:t>一般排放口</w:t>
                  </w:r>
                </w:p>
              </w:tc>
            </w:tr>
          </w:tbl>
          <w:p w14:paraId="6E5E0AE2">
            <w:pPr>
              <w:pStyle w:val="129"/>
              <w:bidi w:val="0"/>
              <w:rPr>
                <w:rFonts w:hint="eastAsia"/>
                <w:color w:val="auto"/>
                <w:lang w:val="en-US" w:eastAsia="zh-CN"/>
              </w:rPr>
            </w:pPr>
            <w:r>
              <w:rPr>
                <w:rFonts w:hint="eastAsia"/>
                <w:color w:val="auto"/>
                <w:lang w:val="en-US" w:eastAsia="zh-CN"/>
              </w:rPr>
              <w:t>表4-21  废水污染物排放执行标准表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46"/>
              <w:gridCol w:w="929"/>
              <w:gridCol w:w="1179"/>
              <w:gridCol w:w="4045"/>
              <w:gridCol w:w="1088"/>
            </w:tblGrid>
            <w:tr w14:paraId="5C50F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Merge w:val="restart"/>
                  <w:tcBorders>
                    <w:tl2br w:val="nil"/>
                    <w:tr2bl w:val="nil"/>
                  </w:tcBorders>
                  <w:noWrap w:val="0"/>
                  <w:vAlign w:val="center"/>
                </w:tcPr>
                <w:p w14:paraId="0B2A189A">
                  <w:pPr>
                    <w:pStyle w:val="126"/>
                    <w:bidi w:val="0"/>
                    <w:rPr>
                      <w:color w:val="auto"/>
                    </w:rPr>
                  </w:pPr>
                  <w:r>
                    <w:rPr>
                      <w:color w:val="auto"/>
                    </w:rPr>
                    <w:t>序号</w:t>
                  </w:r>
                </w:p>
              </w:tc>
              <w:tc>
                <w:tcPr>
                  <w:tcW w:w="567" w:type="pct"/>
                  <w:vMerge w:val="restart"/>
                  <w:tcBorders>
                    <w:tl2br w:val="nil"/>
                    <w:tr2bl w:val="nil"/>
                  </w:tcBorders>
                  <w:noWrap w:val="0"/>
                  <w:vAlign w:val="center"/>
                </w:tcPr>
                <w:p w14:paraId="1A1E795F">
                  <w:pPr>
                    <w:pStyle w:val="126"/>
                    <w:bidi w:val="0"/>
                    <w:rPr>
                      <w:color w:val="auto"/>
                    </w:rPr>
                  </w:pPr>
                  <w:r>
                    <w:rPr>
                      <w:color w:val="auto"/>
                    </w:rPr>
                    <w:t>排放口</w:t>
                  </w:r>
                </w:p>
                <w:p w14:paraId="413587DD">
                  <w:pPr>
                    <w:pStyle w:val="126"/>
                    <w:bidi w:val="0"/>
                    <w:rPr>
                      <w:color w:val="auto"/>
                    </w:rPr>
                  </w:pPr>
                  <w:r>
                    <w:rPr>
                      <w:color w:val="auto"/>
                    </w:rPr>
                    <w:t>编号</w:t>
                  </w:r>
                </w:p>
              </w:tc>
              <w:tc>
                <w:tcPr>
                  <w:tcW w:w="720" w:type="pct"/>
                  <w:vMerge w:val="restart"/>
                  <w:tcBorders>
                    <w:tl2br w:val="nil"/>
                    <w:tr2bl w:val="nil"/>
                  </w:tcBorders>
                  <w:noWrap w:val="0"/>
                  <w:vAlign w:val="center"/>
                </w:tcPr>
                <w:p w14:paraId="48BF1355">
                  <w:pPr>
                    <w:pStyle w:val="126"/>
                    <w:bidi w:val="0"/>
                    <w:rPr>
                      <w:color w:val="auto"/>
                    </w:rPr>
                  </w:pPr>
                  <w:r>
                    <w:rPr>
                      <w:color w:val="auto"/>
                    </w:rPr>
                    <w:t>污染物种类</w:t>
                  </w:r>
                </w:p>
              </w:tc>
              <w:tc>
                <w:tcPr>
                  <w:tcW w:w="3134" w:type="pct"/>
                  <w:gridSpan w:val="2"/>
                  <w:tcBorders>
                    <w:tl2br w:val="nil"/>
                    <w:tr2bl w:val="nil"/>
                  </w:tcBorders>
                  <w:noWrap w:val="0"/>
                  <w:vAlign w:val="center"/>
                </w:tcPr>
                <w:p w14:paraId="0535E582">
                  <w:pPr>
                    <w:pStyle w:val="126"/>
                    <w:bidi w:val="0"/>
                    <w:rPr>
                      <w:color w:val="auto"/>
                    </w:rPr>
                  </w:pPr>
                  <w:r>
                    <w:rPr>
                      <w:color w:val="auto"/>
                    </w:rPr>
                    <w:t>国家或地方污染物排放标准及其他按规定商定的排放协议</w:t>
                  </w:r>
                </w:p>
              </w:tc>
            </w:tr>
            <w:tr w14:paraId="4C0FA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Merge w:val="continue"/>
                  <w:tcBorders>
                    <w:tl2br w:val="nil"/>
                    <w:tr2bl w:val="nil"/>
                  </w:tcBorders>
                  <w:noWrap w:val="0"/>
                  <w:vAlign w:val="center"/>
                </w:tcPr>
                <w:p w14:paraId="4D726697">
                  <w:pPr>
                    <w:pStyle w:val="126"/>
                    <w:bidi w:val="0"/>
                    <w:rPr>
                      <w:color w:val="auto"/>
                    </w:rPr>
                  </w:pPr>
                </w:p>
              </w:tc>
              <w:tc>
                <w:tcPr>
                  <w:tcW w:w="567" w:type="pct"/>
                  <w:vMerge w:val="continue"/>
                  <w:tcBorders>
                    <w:tl2br w:val="nil"/>
                    <w:tr2bl w:val="nil"/>
                  </w:tcBorders>
                  <w:noWrap w:val="0"/>
                  <w:vAlign w:val="center"/>
                </w:tcPr>
                <w:p w14:paraId="7469DAA1">
                  <w:pPr>
                    <w:pStyle w:val="126"/>
                    <w:bidi w:val="0"/>
                    <w:rPr>
                      <w:color w:val="auto"/>
                    </w:rPr>
                  </w:pPr>
                </w:p>
              </w:tc>
              <w:tc>
                <w:tcPr>
                  <w:tcW w:w="720" w:type="pct"/>
                  <w:vMerge w:val="continue"/>
                  <w:tcBorders>
                    <w:tl2br w:val="nil"/>
                    <w:tr2bl w:val="nil"/>
                  </w:tcBorders>
                  <w:noWrap w:val="0"/>
                  <w:vAlign w:val="center"/>
                </w:tcPr>
                <w:p w14:paraId="249CBEAC">
                  <w:pPr>
                    <w:pStyle w:val="126"/>
                    <w:bidi w:val="0"/>
                    <w:rPr>
                      <w:color w:val="auto"/>
                    </w:rPr>
                  </w:pPr>
                </w:p>
              </w:tc>
              <w:tc>
                <w:tcPr>
                  <w:tcW w:w="2470" w:type="pct"/>
                  <w:tcBorders>
                    <w:tl2br w:val="nil"/>
                    <w:tr2bl w:val="nil"/>
                  </w:tcBorders>
                  <w:noWrap w:val="0"/>
                  <w:vAlign w:val="center"/>
                </w:tcPr>
                <w:p w14:paraId="6BAC8DD5">
                  <w:pPr>
                    <w:pStyle w:val="126"/>
                    <w:bidi w:val="0"/>
                    <w:rPr>
                      <w:color w:val="auto"/>
                    </w:rPr>
                  </w:pPr>
                  <w:r>
                    <w:rPr>
                      <w:color w:val="auto"/>
                    </w:rPr>
                    <w:t>名称</w:t>
                  </w:r>
                </w:p>
              </w:tc>
              <w:tc>
                <w:tcPr>
                  <w:tcW w:w="664" w:type="pct"/>
                  <w:tcBorders>
                    <w:tl2br w:val="nil"/>
                    <w:tr2bl w:val="nil"/>
                  </w:tcBorders>
                  <w:noWrap w:val="0"/>
                  <w:vAlign w:val="center"/>
                </w:tcPr>
                <w:p w14:paraId="67B25B45">
                  <w:pPr>
                    <w:pStyle w:val="126"/>
                    <w:bidi w:val="0"/>
                    <w:rPr>
                      <w:color w:val="auto"/>
                    </w:rPr>
                  </w:pPr>
                  <w:r>
                    <w:rPr>
                      <w:color w:val="auto"/>
                    </w:rPr>
                    <w:t>浓度限值</w:t>
                  </w:r>
                </w:p>
                <w:p w14:paraId="1D928103">
                  <w:pPr>
                    <w:pStyle w:val="126"/>
                    <w:bidi w:val="0"/>
                    <w:rPr>
                      <w:color w:val="auto"/>
                    </w:rPr>
                  </w:pPr>
                  <w:r>
                    <w:rPr>
                      <w:color w:val="auto"/>
                    </w:rPr>
                    <w:t>/</w:t>
                  </w:r>
                  <w:r>
                    <w:rPr>
                      <w:rFonts w:hint="eastAsia"/>
                      <w:color w:val="auto"/>
                    </w:rPr>
                    <w:t>(</w:t>
                  </w:r>
                  <w:r>
                    <w:rPr>
                      <w:color w:val="auto"/>
                    </w:rPr>
                    <w:t>mg/L</w:t>
                  </w:r>
                  <w:r>
                    <w:rPr>
                      <w:rFonts w:hint="eastAsia"/>
                      <w:color w:val="auto"/>
                    </w:rPr>
                    <w:t>)</w:t>
                  </w:r>
                </w:p>
              </w:tc>
            </w:tr>
            <w:tr w14:paraId="3FDF8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tcBorders>
                    <w:tl2br w:val="nil"/>
                    <w:tr2bl w:val="nil"/>
                  </w:tcBorders>
                  <w:noWrap w:val="0"/>
                  <w:vAlign w:val="center"/>
                </w:tcPr>
                <w:p w14:paraId="564244C2">
                  <w:pPr>
                    <w:pStyle w:val="127"/>
                    <w:bidi w:val="0"/>
                    <w:ind w:left="0" w:leftChars="0" w:right="0" w:rightChars="0"/>
                    <w:rPr>
                      <w:color w:val="auto"/>
                    </w:rPr>
                  </w:pPr>
                  <w:r>
                    <w:rPr>
                      <w:color w:val="auto"/>
                    </w:rPr>
                    <w:t>1</w:t>
                  </w:r>
                </w:p>
              </w:tc>
              <w:tc>
                <w:tcPr>
                  <w:tcW w:w="567" w:type="pct"/>
                  <w:vMerge w:val="restart"/>
                  <w:tcBorders>
                    <w:tl2br w:val="nil"/>
                    <w:tr2bl w:val="nil"/>
                  </w:tcBorders>
                  <w:noWrap w:val="0"/>
                  <w:vAlign w:val="center"/>
                </w:tcPr>
                <w:p w14:paraId="374FC18F">
                  <w:pPr>
                    <w:pStyle w:val="127"/>
                    <w:bidi w:val="0"/>
                    <w:rPr>
                      <w:color w:val="auto"/>
                    </w:rPr>
                  </w:pPr>
                  <w:r>
                    <w:rPr>
                      <w:rFonts w:hint="eastAsia"/>
                      <w:color w:val="auto"/>
                    </w:rPr>
                    <w:t>DW001</w:t>
                  </w:r>
                </w:p>
              </w:tc>
              <w:tc>
                <w:tcPr>
                  <w:tcW w:w="720" w:type="pct"/>
                  <w:tcBorders>
                    <w:tl2br w:val="nil"/>
                    <w:tr2bl w:val="nil"/>
                  </w:tcBorders>
                  <w:noWrap w:val="0"/>
                  <w:vAlign w:val="center"/>
                </w:tcPr>
                <w:p w14:paraId="7CFF77D5">
                  <w:pPr>
                    <w:jc w:val="center"/>
                    <w:rPr>
                      <w:rFonts w:hint="default" w:eastAsia="宋体"/>
                      <w:color w:val="auto"/>
                      <w:lang w:val="en-US" w:eastAsia="zh-CN"/>
                    </w:rPr>
                  </w:pPr>
                  <w:r>
                    <w:rPr>
                      <w:rFonts w:hint="default"/>
                      <w:b w:val="0"/>
                      <w:bCs w:val="0"/>
                      <w:color w:val="auto"/>
                      <w:highlight w:val="none"/>
                    </w:rPr>
                    <w:t>pH</w:t>
                  </w:r>
                </w:p>
              </w:tc>
              <w:tc>
                <w:tcPr>
                  <w:tcW w:w="2470" w:type="pct"/>
                  <w:vMerge w:val="restart"/>
                  <w:tcBorders>
                    <w:tl2br w:val="nil"/>
                    <w:tr2bl w:val="nil"/>
                  </w:tcBorders>
                  <w:noWrap w:val="0"/>
                  <w:vAlign w:val="center"/>
                </w:tcPr>
                <w:p w14:paraId="70444369">
                  <w:pPr>
                    <w:pStyle w:val="127"/>
                    <w:bidi w:val="0"/>
                    <w:rPr>
                      <w:rFonts w:hint="default"/>
                      <w:color w:val="auto"/>
                      <w:lang w:val="en-US"/>
                    </w:rPr>
                  </w:pPr>
                  <w:r>
                    <w:rPr>
                      <w:rFonts w:hint="eastAsia" w:ascii="Times New Roman" w:hAnsi="Times New Roman" w:eastAsia="宋体" w:cs="Times New Roman"/>
                      <w:b w:val="0"/>
                      <w:bCs w:val="0"/>
                      <w:color w:val="auto"/>
                      <w:kern w:val="2"/>
                      <w:sz w:val="21"/>
                      <w:szCs w:val="24"/>
                      <w:highlight w:val="none"/>
                      <w:lang w:val="en-US" w:eastAsia="zh-CN" w:bidi="ar-SA"/>
                    </w:rPr>
                    <w:t>《肉类加工工业水污染物排放标准》（</w:t>
                  </w:r>
                  <w:r>
                    <w:rPr>
                      <w:rFonts w:hint="default" w:ascii="Times New Roman" w:hAnsi="Times New Roman" w:eastAsia="宋体" w:cs="Times New Roman"/>
                      <w:b w:val="0"/>
                      <w:bCs w:val="0"/>
                      <w:color w:val="auto"/>
                      <w:kern w:val="2"/>
                      <w:sz w:val="21"/>
                      <w:szCs w:val="24"/>
                      <w:highlight w:val="none"/>
                      <w:lang w:val="en-US" w:eastAsia="zh-CN" w:bidi="ar-SA"/>
                    </w:rPr>
                    <w:t>GB13457-92</w:t>
                  </w:r>
                  <w:r>
                    <w:rPr>
                      <w:rFonts w:hint="eastAsia" w:ascii="Times New Roman" w:hAnsi="Times New Roman" w:eastAsia="宋体" w:cs="Times New Roman"/>
                      <w:b w:val="0"/>
                      <w:bCs w:val="0"/>
                      <w:color w:val="auto"/>
                      <w:kern w:val="2"/>
                      <w:sz w:val="21"/>
                      <w:szCs w:val="24"/>
                      <w:highlight w:val="none"/>
                      <w:lang w:val="en-US" w:eastAsia="zh-CN" w:bidi="ar-SA"/>
                    </w:rPr>
                    <w:t xml:space="preserve">）表 </w:t>
                  </w:r>
                  <w:r>
                    <w:rPr>
                      <w:rFonts w:hint="default" w:ascii="Times New Roman" w:hAnsi="Times New Roman" w:eastAsia="宋体" w:cs="Times New Roman"/>
                      <w:b w:val="0"/>
                      <w:bCs w:val="0"/>
                      <w:color w:val="auto"/>
                      <w:kern w:val="2"/>
                      <w:sz w:val="21"/>
                      <w:szCs w:val="24"/>
                      <w:highlight w:val="none"/>
                      <w:lang w:val="en-US" w:eastAsia="zh-CN" w:bidi="ar-SA"/>
                    </w:rPr>
                    <w:t xml:space="preserve">3 </w:t>
                  </w:r>
                  <w:r>
                    <w:rPr>
                      <w:rFonts w:hint="eastAsia" w:ascii="Times New Roman" w:hAnsi="Times New Roman" w:eastAsia="宋体" w:cs="Times New Roman"/>
                      <w:b w:val="0"/>
                      <w:bCs w:val="0"/>
                      <w:color w:val="auto"/>
                      <w:kern w:val="2"/>
                      <w:sz w:val="21"/>
                      <w:szCs w:val="24"/>
                      <w:highlight w:val="none"/>
                      <w:lang w:val="en-US" w:eastAsia="zh-CN" w:bidi="ar-SA"/>
                    </w:rPr>
                    <w:t>三级标准和宁都县第二污水处理厂接管标准较严值</w:t>
                  </w:r>
                </w:p>
              </w:tc>
              <w:tc>
                <w:tcPr>
                  <w:tcW w:w="664" w:type="pct"/>
                  <w:tcBorders>
                    <w:tl2br w:val="nil"/>
                    <w:tr2bl w:val="nil"/>
                  </w:tcBorders>
                  <w:shd w:val="clear" w:color="auto" w:fill="auto"/>
                  <w:noWrap w:val="0"/>
                  <w:vAlign w:val="center"/>
                </w:tcPr>
                <w:p w14:paraId="445085AF">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6-8.5</w:t>
                  </w:r>
                </w:p>
              </w:tc>
            </w:tr>
            <w:tr w14:paraId="69CEE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tcBorders>
                    <w:tl2br w:val="nil"/>
                    <w:tr2bl w:val="nil"/>
                  </w:tcBorders>
                  <w:noWrap w:val="0"/>
                  <w:vAlign w:val="center"/>
                </w:tcPr>
                <w:p w14:paraId="4DE2AD73">
                  <w:pPr>
                    <w:pStyle w:val="127"/>
                    <w:bidi w:val="0"/>
                    <w:ind w:left="0" w:leftChars="0" w:right="0" w:rightChars="0"/>
                    <w:rPr>
                      <w:color w:val="auto"/>
                    </w:rPr>
                  </w:pPr>
                  <w:r>
                    <w:rPr>
                      <w:color w:val="auto"/>
                    </w:rPr>
                    <w:t>2</w:t>
                  </w:r>
                </w:p>
              </w:tc>
              <w:tc>
                <w:tcPr>
                  <w:tcW w:w="567" w:type="pct"/>
                  <w:vMerge w:val="continue"/>
                  <w:tcBorders>
                    <w:tl2br w:val="nil"/>
                    <w:tr2bl w:val="nil"/>
                  </w:tcBorders>
                  <w:noWrap w:val="0"/>
                  <w:vAlign w:val="center"/>
                </w:tcPr>
                <w:p w14:paraId="3048B2EF">
                  <w:pPr>
                    <w:pStyle w:val="127"/>
                    <w:bidi w:val="0"/>
                    <w:rPr>
                      <w:color w:val="auto"/>
                    </w:rPr>
                  </w:pPr>
                </w:p>
              </w:tc>
              <w:tc>
                <w:tcPr>
                  <w:tcW w:w="720" w:type="pct"/>
                  <w:tcBorders>
                    <w:tl2br w:val="nil"/>
                    <w:tr2bl w:val="nil"/>
                  </w:tcBorders>
                  <w:noWrap w:val="0"/>
                  <w:vAlign w:val="center"/>
                </w:tcPr>
                <w:p w14:paraId="5207A577">
                  <w:pPr>
                    <w:jc w:val="center"/>
                    <w:rPr>
                      <w:color w:val="auto"/>
                    </w:rPr>
                  </w:pPr>
                  <w:r>
                    <w:rPr>
                      <w:rFonts w:hint="default"/>
                      <w:b w:val="0"/>
                      <w:bCs w:val="0"/>
                      <w:color w:val="auto"/>
                      <w:highlight w:val="none"/>
                    </w:rPr>
                    <w:t>COD</w:t>
                  </w:r>
                  <w:r>
                    <w:rPr>
                      <w:rFonts w:hint="eastAsia"/>
                      <w:b w:val="0"/>
                      <w:bCs w:val="0"/>
                      <w:color w:val="auto"/>
                      <w:highlight w:val="none"/>
                      <w:lang w:val="en-US" w:eastAsia="zh-CN"/>
                    </w:rPr>
                    <w:t>cr</w:t>
                  </w:r>
                </w:p>
              </w:tc>
              <w:tc>
                <w:tcPr>
                  <w:tcW w:w="2470" w:type="pct"/>
                  <w:vMerge w:val="continue"/>
                  <w:tcBorders>
                    <w:tl2br w:val="nil"/>
                    <w:tr2bl w:val="nil"/>
                  </w:tcBorders>
                  <w:noWrap w:val="0"/>
                  <w:vAlign w:val="center"/>
                </w:tcPr>
                <w:p w14:paraId="6364CAC7">
                  <w:pPr>
                    <w:pStyle w:val="127"/>
                    <w:bidi w:val="0"/>
                    <w:rPr>
                      <w:rFonts w:hint="default"/>
                      <w:color w:val="auto"/>
                      <w:lang w:val="en-US"/>
                    </w:rPr>
                  </w:pPr>
                </w:p>
              </w:tc>
              <w:tc>
                <w:tcPr>
                  <w:tcW w:w="664" w:type="pct"/>
                  <w:tcBorders>
                    <w:tl2br w:val="nil"/>
                    <w:tr2bl w:val="nil"/>
                  </w:tcBorders>
                  <w:shd w:val="clear" w:color="auto" w:fill="auto"/>
                  <w:noWrap w:val="0"/>
                  <w:vAlign w:val="center"/>
                </w:tcPr>
                <w:p w14:paraId="6434A6BE">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500</w:t>
                  </w:r>
                </w:p>
              </w:tc>
            </w:tr>
            <w:tr w14:paraId="3FC91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tcBorders>
                    <w:tl2br w:val="nil"/>
                    <w:tr2bl w:val="nil"/>
                  </w:tcBorders>
                  <w:noWrap w:val="0"/>
                  <w:vAlign w:val="center"/>
                </w:tcPr>
                <w:p w14:paraId="3F0C2EA2">
                  <w:pPr>
                    <w:pStyle w:val="127"/>
                    <w:bidi w:val="0"/>
                    <w:ind w:left="0" w:leftChars="0" w:right="0" w:rightChars="0"/>
                    <w:rPr>
                      <w:color w:val="auto"/>
                    </w:rPr>
                  </w:pPr>
                  <w:r>
                    <w:rPr>
                      <w:rFonts w:hint="eastAsia"/>
                      <w:color w:val="auto"/>
                      <w:lang w:val="en-US" w:eastAsia="zh-CN"/>
                    </w:rPr>
                    <w:t>3</w:t>
                  </w:r>
                </w:p>
              </w:tc>
              <w:tc>
                <w:tcPr>
                  <w:tcW w:w="567" w:type="pct"/>
                  <w:vMerge w:val="continue"/>
                  <w:tcBorders>
                    <w:tl2br w:val="nil"/>
                    <w:tr2bl w:val="nil"/>
                  </w:tcBorders>
                  <w:noWrap w:val="0"/>
                  <w:vAlign w:val="center"/>
                </w:tcPr>
                <w:p w14:paraId="15F5714D">
                  <w:pPr>
                    <w:pStyle w:val="127"/>
                    <w:bidi w:val="0"/>
                    <w:rPr>
                      <w:color w:val="auto"/>
                    </w:rPr>
                  </w:pPr>
                </w:p>
              </w:tc>
              <w:tc>
                <w:tcPr>
                  <w:tcW w:w="720" w:type="pct"/>
                  <w:tcBorders>
                    <w:tl2br w:val="nil"/>
                    <w:tr2bl w:val="nil"/>
                  </w:tcBorders>
                  <w:noWrap w:val="0"/>
                  <w:vAlign w:val="center"/>
                </w:tcPr>
                <w:p w14:paraId="70EFB403">
                  <w:pPr>
                    <w:jc w:val="center"/>
                    <w:rPr>
                      <w:color w:val="auto"/>
                    </w:rPr>
                  </w:pPr>
                  <w:r>
                    <w:rPr>
                      <w:rFonts w:hint="default"/>
                      <w:b w:val="0"/>
                      <w:bCs w:val="0"/>
                      <w:color w:val="auto"/>
                      <w:highlight w:val="none"/>
                    </w:rPr>
                    <w:t>BOD</w:t>
                  </w:r>
                  <w:r>
                    <w:rPr>
                      <w:rFonts w:hint="default"/>
                      <w:b w:val="0"/>
                      <w:bCs w:val="0"/>
                      <w:color w:val="auto"/>
                      <w:highlight w:val="none"/>
                      <w:vertAlign w:val="subscript"/>
                    </w:rPr>
                    <w:t>5</w:t>
                  </w:r>
                </w:p>
              </w:tc>
              <w:tc>
                <w:tcPr>
                  <w:tcW w:w="2470" w:type="pct"/>
                  <w:vMerge w:val="continue"/>
                  <w:tcBorders>
                    <w:tl2br w:val="nil"/>
                    <w:tr2bl w:val="nil"/>
                  </w:tcBorders>
                  <w:noWrap w:val="0"/>
                  <w:vAlign w:val="center"/>
                </w:tcPr>
                <w:p w14:paraId="65993FF6">
                  <w:pPr>
                    <w:pStyle w:val="127"/>
                    <w:bidi w:val="0"/>
                    <w:rPr>
                      <w:color w:val="auto"/>
                    </w:rPr>
                  </w:pPr>
                </w:p>
              </w:tc>
              <w:tc>
                <w:tcPr>
                  <w:tcW w:w="664" w:type="pct"/>
                  <w:tcBorders>
                    <w:tl2br w:val="nil"/>
                    <w:tr2bl w:val="nil"/>
                  </w:tcBorders>
                  <w:shd w:val="clear" w:color="auto" w:fill="auto"/>
                  <w:noWrap w:val="0"/>
                  <w:vAlign w:val="center"/>
                </w:tcPr>
                <w:p w14:paraId="0188045D">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300</w:t>
                  </w:r>
                </w:p>
              </w:tc>
            </w:tr>
            <w:tr w14:paraId="77A2D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577" w:type="pct"/>
                  <w:tcBorders>
                    <w:tl2br w:val="nil"/>
                    <w:tr2bl w:val="nil"/>
                  </w:tcBorders>
                  <w:noWrap w:val="0"/>
                  <w:vAlign w:val="center"/>
                </w:tcPr>
                <w:p w14:paraId="23BF6A24">
                  <w:pPr>
                    <w:pStyle w:val="127"/>
                    <w:bidi w:val="0"/>
                    <w:ind w:left="0" w:leftChars="0" w:right="0" w:rightChars="0"/>
                    <w:rPr>
                      <w:rFonts w:hint="eastAsia" w:eastAsia="宋体"/>
                      <w:color w:val="auto"/>
                      <w:lang w:val="en-US" w:eastAsia="zh-CN"/>
                    </w:rPr>
                  </w:pPr>
                  <w:r>
                    <w:rPr>
                      <w:rFonts w:hint="eastAsia"/>
                      <w:color w:val="auto"/>
                      <w:lang w:val="en-US" w:eastAsia="zh-CN"/>
                    </w:rPr>
                    <w:t>4</w:t>
                  </w:r>
                </w:p>
              </w:tc>
              <w:tc>
                <w:tcPr>
                  <w:tcW w:w="567" w:type="pct"/>
                  <w:vMerge w:val="continue"/>
                  <w:tcBorders>
                    <w:tl2br w:val="nil"/>
                    <w:tr2bl w:val="nil"/>
                  </w:tcBorders>
                  <w:noWrap w:val="0"/>
                  <w:vAlign w:val="center"/>
                </w:tcPr>
                <w:p w14:paraId="303A0D27">
                  <w:pPr>
                    <w:pStyle w:val="127"/>
                    <w:bidi w:val="0"/>
                    <w:rPr>
                      <w:color w:val="auto"/>
                    </w:rPr>
                  </w:pPr>
                </w:p>
              </w:tc>
              <w:tc>
                <w:tcPr>
                  <w:tcW w:w="720" w:type="pct"/>
                  <w:tcBorders>
                    <w:tl2br w:val="nil"/>
                    <w:tr2bl w:val="nil"/>
                  </w:tcBorders>
                  <w:noWrap w:val="0"/>
                  <w:vAlign w:val="center"/>
                </w:tcPr>
                <w:p w14:paraId="337DB006">
                  <w:pPr>
                    <w:jc w:val="center"/>
                    <w:rPr>
                      <w:color w:val="auto"/>
                    </w:rPr>
                  </w:pPr>
                  <w:r>
                    <w:rPr>
                      <w:rFonts w:hint="default"/>
                      <w:b w:val="0"/>
                      <w:bCs w:val="0"/>
                      <w:color w:val="auto"/>
                      <w:highlight w:val="none"/>
                    </w:rPr>
                    <w:t>SS</w:t>
                  </w:r>
                </w:p>
              </w:tc>
              <w:tc>
                <w:tcPr>
                  <w:tcW w:w="2470" w:type="pct"/>
                  <w:vMerge w:val="continue"/>
                  <w:tcBorders>
                    <w:tl2br w:val="nil"/>
                    <w:tr2bl w:val="nil"/>
                  </w:tcBorders>
                  <w:noWrap w:val="0"/>
                  <w:vAlign w:val="center"/>
                </w:tcPr>
                <w:p w14:paraId="71DC3E2D">
                  <w:pPr>
                    <w:pStyle w:val="127"/>
                    <w:bidi w:val="0"/>
                    <w:rPr>
                      <w:color w:val="auto"/>
                    </w:rPr>
                  </w:pPr>
                </w:p>
              </w:tc>
              <w:tc>
                <w:tcPr>
                  <w:tcW w:w="664" w:type="pct"/>
                  <w:tcBorders>
                    <w:tl2br w:val="nil"/>
                    <w:tr2bl w:val="nil"/>
                  </w:tcBorders>
                  <w:shd w:val="clear" w:color="auto" w:fill="auto"/>
                  <w:noWrap w:val="0"/>
                  <w:vAlign w:val="center"/>
                </w:tcPr>
                <w:p w14:paraId="3A16591D">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350</w:t>
                  </w:r>
                </w:p>
              </w:tc>
            </w:tr>
            <w:tr w14:paraId="586BB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tcBorders>
                    <w:tl2br w:val="nil"/>
                    <w:tr2bl w:val="nil"/>
                  </w:tcBorders>
                  <w:noWrap w:val="0"/>
                  <w:vAlign w:val="center"/>
                </w:tcPr>
                <w:p w14:paraId="3BE0A54F">
                  <w:pPr>
                    <w:pStyle w:val="127"/>
                    <w:bidi w:val="0"/>
                    <w:ind w:left="0" w:leftChars="0" w:right="0" w:rightChars="0"/>
                    <w:rPr>
                      <w:rFonts w:hint="eastAsia" w:eastAsia="宋体"/>
                      <w:color w:val="auto"/>
                      <w:lang w:eastAsia="zh-CN"/>
                    </w:rPr>
                  </w:pPr>
                  <w:r>
                    <w:rPr>
                      <w:rFonts w:hint="eastAsia"/>
                      <w:color w:val="auto"/>
                      <w:lang w:val="en-US" w:eastAsia="zh-CN"/>
                    </w:rPr>
                    <w:t>5</w:t>
                  </w:r>
                </w:p>
              </w:tc>
              <w:tc>
                <w:tcPr>
                  <w:tcW w:w="567" w:type="pct"/>
                  <w:vMerge w:val="continue"/>
                  <w:tcBorders>
                    <w:tl2br w:val="nil"/>
                    <w:tr2bl w:val="nil"/>
                  </w:tcBorders>
                  <w:noWrap w:val="0"/>
                  <w:vAlign w:val="center"/>
                </w:tcPr>
                <w:p w14:paraId="61E58205">
                  <w:pPr>
                    <w:pStyle w:val="127"/>
                    <w:bidi w:val="0"/>
                    <w:rPr>
                      <w:color w:val="auto"/>
                    </w:rPr>
                  </w:pPr>
                </w:p>
              </w:tc>
              <w:tc>
                <w:tcPr>
                  <w:tcW w:w="720" w:type="pct"/>
                  <w:tcBorders>
                    <w:tl2br w:val="nil"/>
                    <w:tr2bl w:val="nil"/>
                  </w:tcBorders>
                  <w:noWrap w:val="0"/>
                  <w:vAlign w:val="center"/>
                </w:tcPr>
                <w:p w14:paraId="6B2707D9">
                  <w:pPr>
                    <w:jc w:val="center"/>
                    <w:rPr>
                      <w:color w:val="auto"/>
                    </w:rPr>
                  </w:pPr>
                  <w:r>
                    <w:rPr>
                      <w:rFonts w:hint="default"/>
                      <w:b w:val="0"/>
                      <w:bCs w:val="0"/>
                      <w:color w:val="auto"/>
                      <w:highlight w:val="none"/>
                    </w:rPr>
                    <w:t>NH</w:t>
                  </w:r>
                  <w:r>
                    <w:rPr>
                      <w:rFonts w:hint="default"/>
                      <w:b w:val="0"/>
                      <w:bCs w:val="0"/>
                      <w:color w:val="auto"/>
                      <w:highlight w:val="none"/>
                      <w:vertAlign w:val="subscript"/>
                    </w:rPr>
                    <w:t>3</w:t>
                  </w:r>
                  <w:r>
                    <w:rPr>
                      <w:rFonts w:hint="default"/>
                      <w:b w:val="0"/>
                      <w:bCs w:val="0"/>
                      <w:color w:val="auto"/>
                      <w:highlight w:val="none"/>
                    </w:rPr>
                    <w:t>-N</w:t>
                  </w:r>
                </w:p>
              </w:tc>
              <w:tc>
                <w:tcPr>
                  <w:tcW w:w="2470" w:type="pct"/>
                  <w:vMerge w:val="continue"/>
                  <w:tcBorders>
                    <w:tl2br w:val="nil"/>
                    <w:tr2bl w:val="nil"/>
                  </w:tcBorders>
                  <w:noWrap w:val="0"/>
                  <w:vAlign w:val="center"/>
                </w:tcPr>
                <w:p w14:paraId="58959454">
                  <w:pPr>
                    <w:pStyle w:val="127"/>
                    <w:bidi w:val="0"/>
                    <w:rPr>
                      <w:color w:val="auto"/>
                    </w:rPr>
                  </w:pPr>
                </w:p>
              </w:tc>
              <w:tc>
                <w:tcPr>
                  <w:tcW w:w="664" w:type="pct"/>
                  <w:tcBorders>
                    <w:tl2br w:val="nil"/>
                    <w:tr2bl w:val="nil"/>
                  </w:tcBorders>
                  <w:shd w:val="clear" w:color="auto" w:fill="auto"/>
                  <w:noWrap w:val="0"/>
                  <w:vAlign w:val="center"/>
                </w:tcPr>
                <w:p w14:paraId="693C6F5D">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50</w:t>
                  </w:r>
                </w:p>
              </w:tc>
            </w:tr>
            <w:tr w14:paraId="66FC5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tcBorders>
                    <w:tl2br w:val="nil"/>
                    <w:tr2bl w:val="nil"/>
                  </w:tcBorders>
                  <w:noWrap w:val="0"/>
                  <w:vAlign w:val="center"/>
                </w:tcPr>
                <w:p w14:paraId="276F77B7">
                  <w:pPr>
                    <w:pStyle w:val="127"/>
                    <w:bidi w:val="0"/>
                    <w:ind w:left="0" w:leftChars="0" w:right="0" w:rightChars="0"/>
                    <w:rPr>
                      <w:rFonts w:hint="default"/>
                      <w:color w:val="auto"/>
                      <w:lang w:val="en-US" w:eastAsia="zh-CN"/>
                    </w:rPr>
                  </w:pPr>
                  <w:r>
                    <w:rPr>
                      <w:rFonts w:hint="eastAsia"/>
                      <w:color w:val="auto"/>
                      <w:lang w:val="en-US" w:eastAsia="zh-CN"/>
                    </w:rPr>
                    <w:t>6</w:t>
                  </w:r>
                </w:p>
              </w:tc>
              <w:tc>
                <w:tcPr>
                  <w:tcW w:w="567" w:type="pct"/>
                  <w:vMerge w:val="continue"/>
                  <w:tcBorders>
                    <w:tl2br w:val="nil"/>
                    <w:tr2bl w:val="nil"/>
                  </w:tcBorders>
                  <w:noWrap w:val="0"/>
                  <w:vAlign w:val="center"/>
                </w:tcPr>
                <w:p w14:paraId="36F5434F">
                  <w:pPr>
                    <w:pStyle w:val="127"/>
                    <w:bidi w:val="0"/>
                    <w:rPr>
                      <w:color w:val="auto"/>
                    </w:rPr>
                  </w:pPr>
                </w:p>
              </w:tc>
              <w:tc>
                <w:tcPr>
                  <w:tcW w:w="720" w:type="pct"/>
                  <w:tcBorders>
                    <w:tl2br w:val="nil"/>
                    <w:tr2bl w:val="nil"/>
                  </w:tcBorders>
                  <w:noWrap w:val="0"/>
                  <w:vAlign w:val="center"/>
                </w:tcPr>
                <w:p w14:paraId="3A815BC5">
                  <w:pPr>
                    <w:jc w:val="center"/>
                    <w:rPr>
                      <w:rFonts w:hint="eastAsia"/>
                      <w:color w:val="auto"/>
                      <w:lang w:val="en-US" w:eastAsia="zh-CN"/>
                    </w:rPr>
                  </w:pPr>
                  <w:r>
                    <w:rPr>
                      <w:rFonts w:hint="eastAsia"/>
                      <w:b w:val="0"/>
                      <w:bCs w:val="0"/>
                      <w:color w:val="auto"/>
                      <w:highlight w:val="none"/>
                      <w:lang w:val="en-US" w:eastAsia="zh-CN"/>
                    </w:rPr>
                    <w:t>TP</w:t>
                  </w:r>
                </w:p>
              </w:tc>
              <w:tc>
                <w:tcPr>
                  <w:tcW w:w="2470" w:type="pct"/>
                  <w:vMerge w:val="continue"/>
                  <w:tcBorders>
                    <w:tl2br w:val="nil"/>
                    <w:tr2bl w:val="nil"/>
                  </w:tcBorders>
                  <w:noWrap w:val="0"/>
                  <w:vAlign w:val="center"/>
                </w:tcPr>
                <w:p w14:paraId="25DEB032">
                  <w:pPr>
                    <w:pStyle w:val="127"/>
                    <w:bidi w:val="0"/>
                    <w:rPr>
                      <w:color w:val="auto"/>
                    </w:rPr>
                  </w:pPr>
                </w:p>
              </w:tc>
              <w:tc>
                <w:tcPr>
                  <w:tcW w:w="664" w:type="pct"/>
                  <w:tcBorders>
                    <w:tl2br w:val="nil"/>
                    <w:tr2bl w:val="nil"/>
                  </w:tcBorders>
                  <w:shd w:val="clear" w:color="auto" w:fill="auto"/>
                  <w:noWrap w:val="0"/>
                  <w:vAlign w:val="center"/>
                </w:tcPr>
                <w:p w14:paraId="4D0D0366">
                  <w:pPr>
                    <w:jc w:val="center"/>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5</w:t>
                  </w:r>
                </w:p>
              </w:tc>
            </w:tr>
            <w:tr w14:paraId="203AC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tcBorders>
                    <w:tl2br w:val="nil"/>
                    <w:tr2bl w:val="nil"/>
                  </w:tcBorders>
                  <w:noWrap w:val="0"/>
                  <w:vAlign w:val="center"/>
                </w:tcPr>
                <w:p w14:paraId="07620E1E">
                  <w:pPr>
                    <w:pStyle w:val="127"/>
                    <w:bidi w:val="0"/>
                    <w:ind w:left="0" w:leftChars="0" w:right="0" w:rightChars="0"/>
                    <w:rPr>
                      <w:rFonts w:hint="default"/>
                      <w:color w:val="auto"/>
                      <w:lang w:val="en-US" w:eastAsia="zh-CN"/>
                    </w:rPr>
                  </w:pPr>
                  <w:r>
                    <w:rPr>
                      <w:rFonts w:hint="eastAsia"/>
                      <w:color w:val="auto"/>
                      <w:lang w:val="en-US" w:eastAsia="zh-CN"/>
                    </w:rPr>
                    <w:t>7</w:t>
                  </w:r>
                </w:p>
              </w:tc>
              <w:tc>
                <w:tcPr>
                  <w:tcW w:w="567" w:type="pct"/>
                  <w:vMerge w:val="continue"/>
                  <w:tcBorders>
                    <w:tl2br w:val="nil"/>
                    <w:tr2bl w:val="nil"/>
                  </w:tcBorders>
                  <w:noWrap w:val="0"/>
                  <w:vAlign w:val="center"/>
                </w:tcPr>
                <w:p w14:paraId="6AC51248">
                  <w:pPr>
                    <w:pStyle w:val="127"/>
                    <w:bidi w:val="0"/>
                    <w:rPr>
                      <w:color w:val="auto"/>
                    </w:rPr>
                  </w:pPr>
                </w:p>
              </w:tc>
              <w:tc>
                <w:tcPr>
                  <w:tcW w:w="720" w:type="pct"/>
                  <w:tcBorders>
                    <w:tl2br w:val="nil"/>
                    <w:tr2bl w:val="nil"/>
                  </w:tcBorders>
                  <w:noWrap w:val="0"/>
                  <w:vAlign w:val="center"/>
                </w:tcPr>
                <w:p w14:paraId="2D86F3FB">
                  <w:pPr>
                    <w:jc w:val="center"/>
                    <w:rPr>
                      <w:rFonts w:hint="eastAsia"/>
                      <w:color w:val="auto"/>
                      <w:lang w:val="en-US" w:eastAsia="zh-CN"/>
                    </w:rPr>
                  </w:pPr>
                  <w:r>
                    <w:rPr>
                      <w:rFonts w:hint="eastAsia"/>
                      <w:b w:val="0"/>
                      <w:bCs w:val="0"/>
                      <w:color w:val="auto"/>
                      <w:highlight w:val="none"/>
                      <w:lang w:val="en-US" w:eastAsia="zh-CN"/>
                    </w:rPr>
                    <w:t>TN</w:t>
                  </w:r>
                </w:p>
              </w:tc>
              <w:tc>
                <w:tcPr>
                  <w:tcW w:w="2470" w:type="pct"/>
                  <w:vMerge w:val="continue"/>
                  <w:tcBorders>
                    <w:tl2br w:val="nil"/>
                    <w:tr2bl w:val="nil"/>
                  </w:tcBorders>
                  <w:noWrap w:val="0"/>
                  <w:vAlign w:val="center"/>
                </w:tcPr>
                <w:p w14:paraId="72A3699D">
                  <w:pPr>
                    <w:pStyle w:val="127"/>
                    <w:bidi w:val="0"/>
                    <w:rPr>
                      <w:color w:val="auto"/>
                    </w:rPr>
                  </w:pPr>
                </w:p>
              </w:tc>
              <w:tc>
                <w:tcPr>
                  <w:tcW w:w="664" w:type="pct"/>
                  <w:tcBorders>
                    <w:tl2br w:val="nil"/>
                    <w:tr2bl w:val="nil"/>
                  </w:tcBorders>
                  <w:shd w:val="clear" w:color="auto" w:fill="auto"/>
                  <w:noWrap w:val="0"/>
                  <w:vAlign w:val="center"/>
                </w:tcPr>
                <w:p w14:paraId="539B8722">
                  <w:pPr>
                    <w:jc w:val="center"/>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70</w:t>
                  </w:r>
                </w:p>
              </w:tc>
            </w:tr>
            <w:tr w14:paraId="3EDFC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tcBorders>
                    <w:tl2br w:val="nil"/>
                    <w:tr2bl w:val="nil"/>
                  </w:tcBorders>
                  <w:noWrap w:val="0"/>
                  <w:vAlign w:val="center"/>
                </w:tcPr>
                <w:p w14:paraId="48A959E1">
                  <w:pPr>
                    <w:pStyle w:val="127"/>
                    <w:bidi w:val="0"/>
                    <w:ind w:left="0" w:leftChars="0" w:right="0" w:rightChars="0"/>
                    <w:rPr>
                      <w:rFonts w:hint="default"/>
                      <w:color w:val="auto"/>
                      <w:lang w:val="en-US" w:eastAsia="zh-CN"/>
                    </w:rPr>
                  </w:pPr>
                  <w:r>
                    <w:rPr>
                      <w:rFonts w:hint="eastAsia"/>
                      <w:color w:val="auto"/>
                      <w:lang w:val="en-US" w:eastAsia="zh-CN"/>
                    </w:rPr>
                    <w:t>8</w:t>
                  </w:r>
                </w:p>
              </w:tc>
              <w:tc>
                <w:tcPr>
                  <w:tcW w:w="567" w:type="pct"/>
                  <w:vMerge w:val="continue"/>
                  <w:tcBorders>
                    <w:tl2br w:val="nil"/>
                    <w:tr2bl w:val="nil"/>
                  </w:tcBorders>
                  <w:noWrap w:val="0"/>
                  <w:vAlign w:val="center"/>
                </w:tcPr>
                <w:p w14:paraId="0976616D">
                  <w:pPr>
                    <w:pStyle w:val="127"/>
                    <w:bidi w:val="0"/>
                    <w:rPr>
                      <w:color w:val="auto"/>
                    </w:rPr>
                  </w:pPr>
                </w:p>
              </w:tc>
              <w:tc>
                <w:tcPr>
                  <w:tcW w:w="720" w:type="pct"/>
                  <w:tcBorders>
                    <w:tl2br w:val="nil"/>
                    <w:tr2bl w:val="nil"/>
                  </w:tcBorders>
                  <w:noWrap w:val="0"/>
                  <w:vAlign w:val="center"/>
                </w:tcPr>
                <w:p w14:paraId="39A1D9E0">
                  <w:pPr>
                    <w:jc w:val="center"/>
                    <w:rPr>
                      <w:rFonts w:hint="eastAsia"/>
                      <w:color w:val="auto"/>
                      <w:lang w:val="en-US" w:eastAsia="zh-CN"/>
                    </w:rPr>
                  </w:pPr>
                  <w:r>
                    <w:rPr>
                      <w:rFonts w:hint="eastAsia"/>
                      <w:b w:val="0"/>
                      <w:bCs w:val="0"/>
                      <w:color w:val="auto"/>
                      <w:highlight w:val="none"/>
                      <w:lang w:val="en-US" w:eastAsia="zh-CN"/>
                    </w:rPr>
                    <w:t>动植物油</w:t>
                  </w:r>
                </w:p>
              </w:tc>
              <w:tc>
                <w:tcPr>
                  <w:tcW w:w="2470" w:type="pct"/>
                  <w:vMerge w:val="continue"/>
                  <w:tcBorders>
                    <w:tl2br w:val="nil"/>
                    <w:tr2bl w:val="nil"/>
                  </w:tcBorders>
                  <w:noWrap w:val="0"/>
                  <w:vAlign w:val="center"/>
                </w:tcPr>
                <w:p w14:paraId="2212564A">
                  <w:pPr>
                    <w:pStyle w:val="127"/>
                    <w:bidi w:val="0"/>
                    <w:rPr>
                      <w:color w:val="auto"/>
                    </w:rPr>
                  </w:pPr>
                </w:p>
              </w:tc>
              <w:tc>
                <w:tcPr>
                  <w:tcW w:w="664" w:type="pct"/>
                  <w:tcBorders>
                    <w:tl2br w:val="nil"/>
                    <w:tr2bl w:val="nil"/>
                  </w:tcBorders>
                  <w:shd w:val="clear" w:color="auto" w:fill="auto"/>
                  <w:noWrap w:val="0"/>
                  <w:vAlign w:val="center"/>
                </w:tcPr>
                <w:p w14:paraId="538CFF97">
                  <w:pPr>
                    <w:jc w:val="center"/>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Cs w:val="21"/>
                      <w:vertAlign w:val="baseline"/>
                      <w:lang w:val="en-US" w:eastAsia="zh-CN"/>
                    </w:rPr>
                    <w:t>3</w:t>
                  </w:r>
                </w:p>
              </w:tc>
            </w:tr>
          </w:tbl>
          <w:p w14:paraId="4DAE133E">
            <w:pPr>
              <w:pStyle w:val="129"/>
              <w:bidi w:val="0"/>
              <w:jc w:val="center"/>
              <w:rPr>
                <w:rFonts w:hint="eastAsia"/>
                <w:color w:val="auto"/>
                <w:lang w:val="en-US" w:eastAsia="zh-CN"/>
              </w:rPr>
            </w:pPr>
            <w:r>
              <w:rPr>
                <w:rFonts w:hint="eastAsia"/>
                <w:color w:val="auto"/>
                <w:lang w:val="en-US" w:eastAsia="zh-CN"/>
              </w:rPr>
              <w:t>表4-22  废水污染物排放信息表</w:t>
            </w:r>
          </w:p>
          <w:tbl>
            <w:tblPr>
              <w:tblStyle w:val="3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0"/>
              <w:gridCol w:w="1455"/>
              <w:gridCol w:w="1521"/>
              <w:gridCol w:w="1528"/>
              <w:gridCol w:w="1298"/>
              <w:gridCol w:w="1323"/>
            </w:tblGrid>
            <w:tr w14:paraId="6959A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647" w:type="pct"/>
                  <w:tcBorders>
                    <w:tl2br w:val="nil"/>
                    <w:tr2bl w:val="nil"/>
                  </w:tcBorders>
                  <w:noWrap w:val="0"/>
                  <w:vAlign w:val="center"/>
                </w:tcPr>
                <w:p w14:paraId="725EAB83">
                  <w:pPr>
                    <w:pStyle w:val="126"/>
                    <w:bidi w:val="0"/>
                    <w:rPr>
                      <w:color w:val="auto"/>
                    </w:rPr>
                  </w:pPr>
                  <w:r>
                    <w:rPr>
                      <w:rFonts w:hint="eastAsia"/>
                      <w:color w:val="auto"/>
                    </w:rPr>
                    <w:t>序号</w:t>
                  </w:r>
                </w:p>
              </w:tc>
              <w:tc>
                <w:tcPr>
                  <w:tcW w:w="888" w:type="pct"/>
                  <w:tcBorders>
                    <w:tl2br w:val="nil"/>
                    <w:tr2bl w:val="nil"/>
                  </w:tcBorders>
                  <w:noWrap w:val="0"/>
                  <w:vAlign w:val="center"/>
                </w:tcPr>
                <w:p w14:paraId="7350DD86">
                  <w:pPr>
                    <w:pStyle w:val="126"/>
                    <w:bidi w:val="0"/>
                    <w:rPr>
                      <w:color w:val="auto"/>
                    </w:rPr>
                  </w:pPr>
                  <w:r>
                    <w:rPr>
                      <w:rFonts w:hint="eastAsia"/>
                      <w:color w:val="auto"/>
                    </w:rPr>
                    <w:t>排放口编号</w:t>
                  </w:r>
                </w:p>
              </w:tc>
              <w:tc>
                <w:tcPr>
                  <w:tcW w:w="929" w:type="pct"/>
                  <w:tcBorders>
                    <w:tl2br w:val="nil"/>
                    <w:tr2bl w:val="nil"/>
                  </w:tcBorders>
                  <w:noWrap w:val="0"/>
                  <w:vAlign w:val="center"/>
                </w:tcPr>
                <w:p w14:paraId="6F148A9D">
                  <w:pPr>
                    <w:pStyle w:val="126"/>
                    <w:bidi w:val="0"/>
                    <w:rPr>
                      <w:color w:val="auto"/>
                    </w:rPr>
                  </w:pPr>
                  <w:r>
                    <w:rPr>
                      <w:rFonts w:hint="eastAsia"/>
                      <w:color w:val="auto"/>
                    </w:rPr>
                    <w:t>污染物</w:t>
                  </w:r>
                  <w:r>
                    <w:rPr>
                      <w:color w:val="auto"/>
                    </w:rPr>
                    <w:t>种类</w:t>
                  </w:r>
                </w:p>
              </w:tc>
              <w:tc>
                <w:tcPr>
                  <w:tcW w:w="933" w:type="pct"/>
                  <w:tcBorders>
                    <w:tl2br w:val="nil"/>
                    <w:tr2bl w:val="nil"/>
                  </w:tcBorders>
                  <w:noWrap w:val="0"/>
                  <w:vAlign w:val="center"/>
                </w:tcPr>
                <w:p w14:paraId="790BF7D5">
                  <w:pPr>
                    <w:pStyle w:val="126"/>
                    <w:bidi w:val="0"/>
                    <w:rPr>
                      <w:color w:val="auto"/>
                    </w:rPr>
                  </w:pPr>
                  <w:r>
                    <w:rPr>
                      <w:rFonts w:hint="eastAsia"/>
                      <w:color w:val="auto"/>
                    </w:rPr>
                    <w:t>排放</w:t>
                  </w:r>
                  <w:r>
                    <w:rPr>
                      <w:color w:val="auto"/>
                    </w:rPr>
                    <w:t>浓度mg/L</w:t>
                  </w:r>
                </w:p>
              </w:tc>
              <w:tc>
                <w:tcPr>
                  <w:tcW w:w="792" w:type="pct"/>
                  <w:tcBorders>
                    <w:tl2br w:val="nil"/>
                    <w:tr2bl w:val="nil"/>
                  </w:tcBorders>
                  <w:noWrap w:val="0"/>
                  <w:vAlign w:val="center"/>
                </w:tcPr>
                <w:p w14:paraId="799F268C">
                  <w:pPr>
                    <w:pStyle w:val="126"/>
                    <w:bidi w:val="0"/>
                    <w:rPr>
                      <w:color w:val="auto"/>
                    </w:rPr>
                  </w:pPr>
                  <w:r>
                    <w:rPr>
                      <w:rFonts w:hint="eastAsia"/>
                      <w:color w:val="auto"/>
                    </w:rPr>
                    <w:t>日</w:t>
                  </w:r>
                  <w:r>
                    <w:rPr>
                      <w:color w:val="auto"/>
                    </w:rPr>
                    <w:t>排放量</w:t>
                  </w:r>
                  <w:r>
                    <w:rPr>
                      <w:rFonts w:hint="eastAsia"/>
                      <w:color w:val="auto"/>
                      <w:lang w:val="en-US" w:eastAsia="zh-CN"/>
                    </w:rPr>
                    <w:t>kg</w:t>
                  </w:r>
                  <w:r>
                    <w:rPr>
                      <w:color w:val="auto"/>
                    </w:rPr>
                    <w:t>/d</w:t>
                  </w:r>
                </w:p>
              </w:tc>
              <w:tc>
                <w:tcPr>
                  <w:tcW w:w="808" w:type="pct"/>
                  <w:tcBorders>
                    <w:tl2br w:val="nil"/>
                    <w:tr2bl w:val="nil"/>
                  </w:tcBorders>
                  <w:noWrap w:val="0"/>
                  <w:vAlign w:val="center"/>
                </w:tcPr>
                <w:p w14:paraId="391767C3">
                  <w:pPr>
                    <w:pStyle w:val="126"/>
                    <w:bidi w:val="0"/>
                    <w:rPr>
                      <w:color w:val="auto"/>
                    </w:rPr>
                  </w:pPr>
                  <w:r>
                    <w:rPr>
                      <w:rFonts w:hint="eastAsia"/>
                      <w:color w:val="auto"/>
                    </w:rPr>
                    <w:t>年</w:t>
                  </w:r>
                  <w:r>
                    <w:rPr>
                      <w:color w:val="auto"/>
                    </w:rPr>
                    <w:t>排放量t/a</w:t>
                  </w:r>
                </w:p>
              </w:tc>
            </w:tr>
            <w:tr w14:paraId="3994A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7" w:type="pct"/>
                  <w:vMerge w:val="restart"/>
                  <w:tcBorders>
                    <w:tl2br w:val="nil"/>
                    <w:tr2bl w:val="nil"/>
                  </w:tcBorders>
                  <w:noWrap w:val="0"/>
                  <w:vAlign w:val="center"/>
                </w:tcPr>
                <w:p w14:paraId="57DB468F">
                  <w:pPr>
                    <w:pStyle w:val="127"/>
                    <w:bidi w:val="0"/>
                    <w:rPr>
                      <w:rFonts w:hint="eastAsia" w:eastAsia="宋体"/>
                      <w:color w:val="auto"/>
                      <w:lang w:val="en-US" w:eastAsia="zh-CN"/>
                    </w:rPr>
                  </w:pPr>
                  <w:r>
                    <w:rPr>
                      <w:rFonts w:hint="eastAsia"/>
                      <w:color w:val="auto"/>
                      <w:lang w:val="en-US" w:eastAsia="zh-CN"/>
                    </w:rPr>
                    <w:t>1</w:t>
                  </w:r>
                </w:p>
              </w:tc>
              <w:tc>
                <w:tcPr>
                  <w:tcW w:w="888" w:type="pct"/>
                  <w:vMerge w:val="restart"/>
                  <w:tcBorders>
                    <w:tl2br w:val="nil"/>
                    <w:tr2bl w:val="nil"/>
                  </w:tcBorders>
                  <w:noWrap w:val="0"/>
                  <w:vAlign w:val="center"/>
                </w:tcPr>
                <w:p w14:paraId="5FF9863D">
                  <w:pPr>
                    <w:pStyle w:val="127"/>
                    <w:bidi w:val="0"/>
                    <w:rPr>
                      <w:rFonts w:hint="default" w:eastAsia="宋体"/>
                      <w:color w:val="auto"/>
                      <w:lang w:val="en-US" w:eastAsia="zh-CN"/>
                    </w:rPr>
                  </w:pPr>
                  <w:r>
                    <w:rPr>
                      <w:rFonts w:hint="eastAsia"/>
                      <w:color w:val="auto"/>
                      <w:lang w:val="en-US" w:eastAsia="zh-CN"/>
                    </w:rPr>
                    <w:t>DW001</w:t>
                  </w:r>
                </w:p>
              </w:tc>
              <w:tc>
                <w:tcPr>
                  <w:tcW w:w="929" w:type="pct"/>
                  <w:tcBorders>
                    <w:tl2br w:val="nil"/>
                    <w:tr2bl w:val="nil"/>
                  </w:tcBorders>
                  <w:noWrap w:val="0"/>
                  <w:vAlign w:val="center"/>
                </w:tcPr>
                <w:p w14:paraId="6AB5242D">
                  <w:pPr>
                    <w:pStyle w:val="127"/>
                    <w:bidi w:val="0"/>
                    <w:rPr>
                      <w:color w:val="auto"/>
                    </w:rPr>
                  </w:pPr>
                  <w:r>
                    <w:rPr>
                      <w:rFonts w:hint="eastAsia"/>
                      <w:color w:val="auto"/>
                    </w:rPr>
                    <w:t>COD</w:t>
                  </w:r>
                  <w:r>
                    <w:rPr>
                      <w:rFonts w:hint="eastAsia"/>
                      <w:color w:val="auto"/>
                      <w:vertAlign w:val="subscript"/>
                      <w:lang w:val="en-US" w:eastAsia="zh-CN"/>
                    </w:rPr>
                    <w:t>cr</w:t>
                  </w:r>
                </w:p>
              </w:tc>
              <w:tc>
                <w:tcPr>
                  <w:tcW w:w="933" w:type="pct"/>
                  <w:tcBorders>
                    <w:tl2br w:val="nil"/>
                    <w:tr2bl w:val="nil"/>
                  </w:tcBorders>
                  <w:noWrap w:val="0"/>
                  <w:vAlign w:val="center"/>
                </w:tcPr>
                <w:p w14:paraId="4CA11C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184.93</w:t>
                  </w:r>
                </w:p>
              </w:tc>
              <w:tc>
                <w:tcPr>
                  <w:tcW w:w="792" w:type="pct"/>
                  <w:tcBorders>
                    <w:tl2br w:val="nil"/>
                    <w:tr2bl w:val="nil"/>
                  </w:tcBorders>
                  <w:noWrap w:val="0"/>
                  <w:vAlign w:val="center"/>
                </w:tcPr>
                <w:p w14:paraId="0AD450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116.3083 </w:t>
                  </w:r>
                </w:p>
              </w:tc>
              <w:tc>
                <w:tcPr>
                  <w:tcW w:w="808" w:type="pct"/>
                  <w:tcBorders>
                    <w:tl2br w:val="nil"/>
                    <w:tr2bl w:val="nil"/>
                  </w:tcBorders>
                  <w:noWrap w:val="0"/>
                  <w:vAlign w:val="center"/>
                </w:tcPr>
                <w:p w14:paraId="317E2A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34.8925</w:t>
                  </w:r>
                </w:p>
              </w:tc>
            </w:tr>
            <w:tr w14:paraId="5BA79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7" w:type="pct"/>
                  <w:vMerge w:val="continue"/>
                  <w:tcBorders>
                    <w:tl2br w:val="nil"/>
                    <w:tr2bl w:val="nil"/>
                  </w:tcBorders>
                  <w:noWrap w:val="0"/>
                  <w:vAlign w:val="center"/>
                </w:tcPr>
                <w:p w14:paraId="2DF77BD0">
                  <w:pPr>
                    <w:pStyle w:val="127"/>
                    <w:bidi w:val="0"/>
                    <w:rPr>
                      <w:rFonts w:hint="eastAsia"/>
                      <w:color w:val="auto"/>
                    </w:rPr>
                  </w:pPr>
                </w:p>
              </w:tc>
              <w:tc>
                <w:tcPr>
                  <w:tcW w:w="888" w:type="pct"/>
                  <w:vMerge w:val="continue"/>
                  <w:tcBorders>
                    <w:tl2br w:val="nil"/>
                    <w:tr2bl w:val="nil"/>
                  </w:tcBorders>
                  <w:noWrap w:val="0"/>
                  <w:vAlign w:val="center"/>
                </w:tcPr>
                <w:p w14:paraId="3F113DED">
                  <w:pPr>
                    <w:pStyle w:val="127"/>
                    <w:bidi w:val="0"/>
                    <w:rPr>
                      <w:rFonts w:hint="eastAsia"/>
                      <w:color w:val="auto"/>
                    </w:rPr>
                  </w:pPr>
                </w:p>
              </w:tc>
              <w:tc>
                <w:tcPr>
                  <w:tcW w:w="929" w:type="pct"/>
                  <w:tcBorders>
                    <w:tl2br w:val="nil"/>
                    <w:tr2bl w:val="nil"/>
                  </w:tcBorders>
                  <w:noWrap w:val="0"/>
                  <w:vAlign w:val="center"/>
                </w:tcPr>
                <w:p w14:paraId="4FBCBABE">
                  <w:pPr>
                    <w:pStyle w:val="127"/>
                    <w:bidi w:val="0"/>
                    <w:rPr>
                      <w:rFonts w:hint="default" w:eastAsia="宋体"/>
                      <w:color w:val="auto"/>
                      <w:vertAlign w:val="subscript"/>
                      <w:lang w:val="en-US" w:eastAsia="zh-CN"/>
                    </w:rPr>
                  </w:pPr>
                  <w:r>
                    <w:rPr>
                      <w:rFonts w:hint="eastAsia"/>
                      <w:color w:val="auto"/>
                      <w:lang w:val="en-US" w:eastAsia="zh-CN"/>
                    </w:rPr>
                    <w:t>BOD</w:t>
                  </w:r>
                  <w:r>
                    <w:rPr>
                      <w:rFonts w:hint="eastAsia"/>
                      <w:color w:val="auto"/>
                      <w:vertAlign w:val="subscript"/>
                      <w:lang w:val="en-US" w:eastAsia="zh-CN"/>
                    </w:rPr>
                    <w:t>5</w:t>
                  </w:r>
                </w:p>
              </w:tc>
              <w:tc>
                <w:tcPr>
                  <w:tcW w:w="933" w:type="pct"/>
                  <w:tcBorders>
                    <w:tl2br w:val="nil"/>
                    <w:tr2bl w:val="nil"/>
                  </w:tcBorders>
                  <w:noWrap w:val="0"/>
                  <w:vAlign w:val="center"/>
                </w:tcPr>
                <w:p w14:paraId="5E7F24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150.51</w:t>
                  </w:r>
                </w:p>
              </w:tc>
              <w:tc>
                <w:tcPr>
                  <w:tcW w:w="792" w:type="pct"/>
                  <w:tcBorders>
                    <w:tl2br w:val="nil"/>
                    <w:tr2bl w:val="nil"/>
                  </w:tcBorders>
                  <w:noWrap w:val="0"/>
                  <w:vAlign w:val="center"/>
                </w:tcPr>
                <w:p w14:paraId="7D166C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94.6590 </w:t>
                  </w:r>
                </w:p>
              </w:tc>
              <w:tc>
                <w:tcPr>
                  <w:tcW w:w="808" w:type="pct"/>
                  <w:tcBorders>
                    <w:tl2br w:val="nil"/>
                    <w:tr2bl w:val="nil"/>
                  </w:tcBorders>
                  <w:noWrap w:val="0"/>
                  <w:vAlign w:val="center"/>
                </w:tcPr>
                <w:p w14:paraId="345F7B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28.3977</w:t>
                  </w:r>
                </w:p>
              </w:tc>
            </w:tr>
            <w:tr w14:paraId="0CA93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7" w:type="pct"/>
                  <w:vMerge w:val="continue"/>
                  <w:tcBorders>
                    <w:tl2br w:val="nil"/>
                    <w:tr2bl w:val="nil"/>
                  </w:tcBorders>
                  <w:noWrap w:val="0"/>
                  <w:vAlign w:val="center"/>
                </w:tcPr>
                <w:p w14:paraId="31633DF4">
                  <w:pPr>
                    <w:pStyle w:val="127"/>
                    <w:bidi w:val="0"/>
                    <w:rPr>
                      <w:color w:val="auto"/>
                    </w:rPr>
                  </w:pPr>
                </w:p>
              </w:tc>
              <w:tc>
                <w:tcPr>
                  <w:tcW w:w="888" w:type="pct"/>
                  <w:vMerge w:val="continue"/>
                  <w:tcBorders>
                    <w:tl2br w:val="nil"/>
                    <w:tr2bl w:val="nil"/>
                  </w:tcBorders>
                  <w:noWrap w:val="0"/>
                  <w:vAlign w:val="center"/>
                </w:tcPr>
                <w:p w14:paraId="3BF14D59">
                  <w:pPr>
                    <w:pStyle w:val="127"/>
                    <w:bidi w:val="0"/>
                    <w:rPr>
                      <w:color w:val="auto"/>
                    </w:rPr>
                  </w:pPr>
                </w:p>
              </w:tc>
              <w:tc>
                <w:tcPr>
                  <w:tcW w:w="929" w:type="pct"/>
                  <w:tcBorders>
                    <w:tl2br w:val="nil"/>
                    <w:tr2bl w:val="nil"/>
                  </w:tcBorders>
                  <w:noWrap w:val="0"/>
                  <w:vAlign w:val="center"/>
                </w:tcPr>
                <w:p w14:paraId="6EBDA757">
                  <w:pPr>
                    <w:pStyle w:val="127"/>
                    <w:bidi w:val="0"/>
                    <w:rPr>
                      <w:rFonts w:hint="default" w:eastAsia="宋体"/>
                      <w:color w:val="auto"/>
                      <w:lang w:val="en-US" w:eastAsia="zh-CN"/>
                    </w:rPr>
                  </w:pPr>
                  <w:r>
                    <w:rPr>
                      <w:rFonts w:hint="eastAsia"/>
                      <w:color w:val="auto"/>
                      <w:lang w:val="en-US" w:eastAsia="zh-CN"/>
                    </w:rPr>
                    <w:t>SS</w:t>
                  </w:r>
                </w:p>
              </w:tc>
              <w:tc>
                <w:tcPr>
                  <w:tcW w:w="933" w:type="pct"/>
                  <w:tcBorders>
                    <w:tl2br w:val="nil"/>
                    <w:tr2bl w:val="nil"/>
                  </w:tcBorders>
                  <w:noWrap w:val="0"/>
                  <w:vAlign w:val="center"/>
                </w:tcPr>
                <w:p w14:paraId="7FD127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63.42</w:t>
                  </w:r>
                </w:p>
              </w:tc>
              <w:tc>
                <w:tcPr>
                  <w:tcW w:w="792" w:type="pct"/>
                  <w:tcBorders>
                    <w:tl2br w:val="nil"/>
                    <w:tr2bl w:val="nil"/>
                  </w:tcBorders>
                  <w:noWrap w:val="0"/>
                  <w:vAlign w:val="center"/>
                </w:tcPr>
                <w:p w14:paraId="7C1267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39.8860 </w:t>
                  </w:r>
                </w:p>
              </w:tc>
              <w:tc>
                <w:tcPr>
                  <w:tcW w:w="808" w:type="pct"/>
                  <w:tcBorders>
                    <w:tl2br w:val="nil"/>
                    <w:tr2bl w:val="nil"/>
                  </w:tcBorders>
                  <w:noWrap w:val="0"/>
                  <w:vAlign w:val="center"/>
                </w:tcPr>
                <w:p w14:paraId="06BE87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11.9658</w:t>
                  </w:r>
                </w:p>
              </w:tc>
            </w:tr>
            <w:tr w14:paraId="6F8E8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7" w:type="pct"/>
                  <w:vMerge w:val="continue"/>
                  <w:tcBorders>
                    <w:tl2br w:val="nil"/>
                    <w:tr2bl w:val="nil"/>
                  </w:tcBorders>
                  <w:noWrap w:val="0"/>
                  <w:vAlign w:val="center"/>
                </w:tcPr>
                <w:p w14:paraId="3AC0058D">
                  <w:pPr>
                    <w:pStyle w:val="127"/>
                    <w:bidi w:val="0"/>
                    <w:rPr>
                      <w:color w:val="auto"/>
                    </w:rPr>
                  </w:pPr>
                </w:p>
              </w:tc>
              <w:tc>
                <w:tcPr>
                  <w:tcW w:w="888" w:type="pct"/>
                  <w:vMerge w:val="continue"/>
                  <w:tcBorders>
                    <w:tl2br w:val="nil"/>
                    <w:tr2bl w:val="nil"/>
                  </w:tcBorders>
                  <w:noWrap w:val="0"/>
                  <w:vAlign w:val="center"/>
                </w:tcPr>
                <w:p w14:paraId="1A233BB3">
                  <w:pPr>
                    <w:pStyle w:val="127"/>
                    <w:bidi w:val="0"/>
                    <w:rPr>
                      <w:color w:val="auto"/>
                    </w:rPr>
                  </w:pPr>
                </w:p>
              </w:tc>
              <w:tc>
                <w:tcPr>
                  <w:tcW w:w="929" w:type="pct"/>
                  <w:tcBorders>
                    <w:tl2br w:val="nil"/>
                    <w:tr2bl w:val="nil"/>
                  </w:tcBorders>
                  <w:noWrap w:val="0"/>
                  <w:vAlign w:val="center"/>
                </w:tcPr>
                <w:p w14:paraId="1F2FCB9F">
                  <w:pPr>
                    <w:pStyle w:val="127"/>
                    <w:bidi w:val="0"/>
                    <w:rPr>
                      <w:color w:val="auto"/>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933" w:type="pct"/>
                  <w:tcBorders>
                    <w:tl2br w:val="nil"/>
                    <w:tr2bl w:val="nil"/>
                  </w:tcBorders>
                  <w:noWrap w:val="0"/>
                  <w:vAlign w:val="center"/>
                </w:tcPr>
                <w:p w14:paraId="3EA988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16.19</w:t>
                  </w:r>
                </w:p>
              </w:tc>
              <w:tc>
                <w:tcPr>
                  <w:tcW w:w="792" w:type="pct"/>
                  <w:tcBorders>
                    <w:tl2br w:val="nil"/>
                    <w:tr2bl w:val="nil"/>
                  </w:tcBorders>
                  <w:noWrap w:val="0"/>
                  <w:vAlign w:val="center"/>
                </w:tcPr>
                <w:p w14:paraId="4D9869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10.1813 </w:t>
                  </w:r>
                </w:p>
              </w:tc>
              <w:tc>
                <w:tcPr>
                  <w:tcW w:w="808" w:type="pct"/>
                  <w:tcBorders>
                    <w:tl2br w:val="nil"/>
                    <w:tr2bl w:val="nil"/>
                  </w:tcBorders>
                  <w:noWrap w:val="0"/>
                  <w:vAlign w:val="center"/>
                </w:tcPr>
                <w:p w14:paraId="5DD3B5C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3.0544</w:t>
                  </w:r>
                </w:p>
              </w:tc>
            </w:tr>
            <w:tr w14:paraId="49332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7" w:type="pct"/>
                  <w:vMerge w:val="continue"/>
                  <w:tcBorders>
                    <w:tl2br w:val="nil"/>
                    <w:tr2bl w:val="nil"/>
                  </w:tcBorders>
                  <w:noWrap w:val="0"/>
                  <w:vAlign w:val="center"/>
                </w:tcPr>
                <w:p w14:paraId="4DBA6814">
                  <w:pPr>
                    <w:pStyle w:val="127"/>
                    <w:bidi w:val="0"/>
                    <w:rPr>
                      <w:color w:val="auto"/>
                    </w:rPr>
                  </w:pPr>
                </w:p>
              </w:tc>
              <w:tc>
                <w:tcPr>
                  <w:tcW w:w="888" w:type="pct"/>
                  <w:vMerge w:val="continue"/>
                  <w:tcBorders>
                    <w:tl2br w:val="nil"/>
                    <w:tr2bl w:val="nil"/>
                  </w:tcBorders>
                  <w:noWrap w:val="0"/>
                  <w:vAlign w:val="center"/>
                </w:tcPr>
                <w:p w14:paraId="7390504F">
                  <w:pPr>
                    <w:pStyle w:val="127"/>
                    <w:bidi w:val="0"/>
                    <w:rPr>
                      <w:color w:val="auto"/>
                    </w:rPr>
                  </w:pPr>
                </w:p>
              </w:tc>
              <w:tc>
                <w:tcPr>
                  <w:tcW w:w="929" w:type="pct"/>
                  <w:tcBorders>
                    <w:tl2br w:val="nil"/>
                    <w:tr2bl w:val="nil"/>
                  </w:tcBorders>
                  <w:noWrap w:val="0"/>
                  <w:vAlign w:val="center"/>
                </w:tcPr>
                <w:p w14:paraId="7CC6A6A8">
                  <w:pPr>
                    <w:pStyle w:val="127"/>
                    <w:bidi w:val="0"/>
                    <w:rPr>
                      <w:rFonts w:hint="default"/>
                      <w:color w:val="auto"/>
                      <w:lang w:val="en-US" w:eastAsia="zh-CN"/>
                    </w:rPr>
                  </w:pPr>
                  <w:r>
                    <w:rPr>
                      <w:rFonts w:hint="eastAsia"/>
                      <w:color w:val="auto"/>
                      <w:lang w:val="en-US" w:eastAsia="zh-CN"/>
                    </w:rPr>
                    <w:t>TP</w:t>
                  </w:r>
                </w:p>
              </w:tc>
              <w:tc>
                <w:tcPr>
                  <w:tcW w:w="933" w:type="pct"/>
                  <w:tcBorders>
                    <w:tl2br w:val="nil"/>
                    <w:tr2bl w:val="nil"/>
                  </w:tcBorders>
                  <w:noWrap w:val="0"/>
                  <w:vAlign w:val="center"/>
                </w:tcPr>
                <w:p w14:paraId="29A5E9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792" w:type="pct"/>
                  <w:tcBorders>
                    <w:tl2br w:val="nil"/>
                    <w:tr2bl w:val="nil"/>
                  </w:tcBorders>
                  <w:noWrap w:val="0"/>
                  <w:vAlign w:val="center"/>
                </w:tcPr>
                <w:p w14:paraId="6BC58C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0.2040 </w:t>
                  </w:r>
                </w:p>
              </w:tc>
              <w:tc>
                <w:tcPr>
                  <w:tcW w:w="808" w:type="pct"/>
                  <w:tcBorders>
                    <w:tl2br w:val="nil"/>
                    <w:tr2bl w:val="nil"/>
                  </w:tcBorders>
                  <w:noWrap w:val="0"/>
                  <w:vAlign w:val="center"/>
                </w:tcPr>
                <w:p w14:paraId="7F667F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0.0612</w:t>
                  </w:r>
                </w:p>
              </w:tc>
            </w:tr>
            <w:tr w14:paraId="5642F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7" w:type="pct"/>
                  <w:vMerge w:val="continue"/>
                  <w:tcBorders>
                    <w:tl2br w:val="nil"/>
                    <w:tr2bl w:val="nil"/>
                  </w:tcBorders>
                  <w:noWrap w:val="0"/>
                  <w:vAlign w:val="center"/>
                </w:tcPr>
                <w:p w14:paraId="6A720100">
                  <w:pPr>
                    <w:pStyle w:val="127"/>
                    <w:bidi w:val="0"/>
                    <w:rPr>
                      <w:color w:val="auto"/>
                    </w:rPr>
                  </w:pPr>
                </w:p>
              </w:tc>
              <w:tc>
                <w:tcPr>
                  <w:tcW w:w="888" w:type="pct"/>
                  <w:vMerge w:val="continue"/>
                  <w:tcBorders>
                    <w:tl2br w:val="nil"/>
                    <w:tr2bl w:val="nil"/>
                  </w:tcBorders>
                  <w:noWrap w:val="0"/>
                  <w:vAlign w:val="center"/>
                </w:tcPr>
                <w:p w14:paraId="40BD5164">
                  <w:pPr>
                    <w:pStyle w:val="127"/>
                    <w:bidi w:val="0"/>
                    <w:rPr>
                      <w:color w:val="auto"/>
                    </w:rPr>
                  </w:pPr>
                </w:p>
              </w:tc>
              <w:tc>
                <w:tcPr>
                  <w:tcW w:w="929" w:type="pct"/>
                  <w:tcBorders>
                    <w:tl2br w:val="nil"/>
                    <w:tr2bl w:val="nil"/>
                  </w:tcBorders>
                  <w:noWrap w:val="0"/>
                  <w:vAlign w:val="center"/>
                </w:tcPr>
                <w:p w14:paraId="6ED6ACED">
                  <w:pPr>
                    <w:pStyle w:val="127"/>
                    <w:bidi w:val="0"/>
                    <w:rPr>
                      <w:rFonts w:hint="default"/>
                      <w:color w:val="auto"/>
                      <w:lang w:val="en-US" w:eastAsia="zh-CN"/>
                    </w:rPr>
                  </w:pPr>
                  <w:r>
                    <w:rPr>
                      <w:rFonts w:hint="eastAsia"/>
                      <w:color w:val="auto"/>
                      <w:lang w:val="en-US" w:eastAsia="zh-CN"/>
                    </w:rPr>
                    <w:t>TN</w:t>
                  </w:r>
                </w:p>
              </w:tc>
              <w:tc>
                <w:tcPr>
                  <w:tcW w:w="933" w:type="pct"/>
                  <w:tcBorders>
                    <w:tl2br w:val="nil"/>
                    <w:tr2bl w:val="nil"/>
                  </w:tcBorders>
                  <w:noWrap w:val="0"/>
                  <w:vAlign w:val="center"/>
                </w:tcPr>
                <w:p w14:paraId="26BA52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0.86</w:t>
                  </w:r>
                </w:p>
              </w:tc>
              <w:tc>
                <w:tcPr>
                  <w:tcW w:w="792" w:type="pct"/>
                  <w:tcBorders>
                    <w:tl2br w:val="nil"/>
                    <w:tr2bl w:val="nil"/>
                  </w:tcBorders>
                  <w:noWrap w:val="0"/>
                  <w:vAlign w:val="center"/>
                </w:tcPr>
                <w:p w14:paraId="669B718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0.5387 </w:t>
                  </w:r>
                </w:p>
              </w:tc>
              <w:tc>
                <w:tcPr>
                  <w:tcW w:w="808" w:type="pct"/>
                  <w:tcBorders>
                    <w:tl2br w:val="nil"/>
                    <w:tr2bl w:val="nil"/>
                  </w:tcBorders>
                  <w:noWrap w:val="0"/>
                  <w:vAlign w:val="center"/>
                </w:tcPr>
                <w:p w14:paraId="26DFA9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0.1616</w:t>
                  </w:r>
                </w:p>
              </w:tc>
            </w:tr>
            <w:tr w14:paraId="448F6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7" w:type="pct"/>
                  <w:vMerge w:val="continue"/>
                  <w:tcBorders>
                    <w:tl2br w:val="nil"/>
                    <w:tr2bl w:val="nil"/>
                  </w:tcBorders>
                  <w:noWrap w:val="0"/>
                  <w:vAlign w:val="center"/>
                </w:tcPr>
                <w:p w14:paraId="470F05F2">
                  <w:pPr>
                    <w:pStyle w:val="127"/>
                    <w:bidi w:val="0"/>
                    <w:rPr>
                      <w:color w:val="auto"/>
                    </w:rPr>
                  </w:pPr>
                </w:p>
              </w:tc>
              <w:tc>
                <w:tcPr>
                  <w:tcW w:w="888" w:type="pct"/>
                  <w:vMerge w:val="continue"/>
                  <w:tcBorders>
                    <w:tl2br w:val="nil"/>
                    <w:tr2bl w:val="nil"/>
                  </w:tcBorders>
                  <w:noWrap w:val="0"/>
                  <w:vAlign w:val="center"/>
                </w:tcPr>
                <w:p w14:paraId="0AE94855">
                  <w:pPr>
                    <w:pStyle w:val="127"/>
                    <w:bidi w:val="0"/>
                    <w:rPr>
                      <w:color w:val="auto"/>
                    </w:rPr>
                  </w:pPr>
                </w:p>
              </w:tc>
              <w:tc>
                <w:tcPr>
                  <w:tcW w:w="929" w:type="pct"/>
                  <w:tcBorders>
                    <w:tl2br w:val="nil"/>
                    <w:tr2bl w:val="nil"/>
                  </w:tcBorders>
                  <w:noWrap w:val="0"/>
                  <w:vAlign w:val="center"/>
                </w:tcPr>
                <w:p w14:paraId="0254A52D">
                  <w:pPr>
                    <w:pStyle w:val="127"/>
                    <w:bidi w:val="0"/>
                    <w:rPr>
                      <w:rFonts w:hint="default"/>
                      <w:color w:val="auto"/>
                      <w:lang w:val="en-US" w:eastAsia="zh-CN"/>
                    </w:rPr>
                  </w:pPr>
                  <w:r>
                    <w:rPr>
                      <w:rFonts w:hint="eastAsia"/>
                      <w:color w:val="auto"/>
                      <w:lang w:val="en-US" w:eastAsia="zh-CN"/>
                    </w:rPr>
                    <w:t>动植物油</w:t>
                  </w:r>
                </w:p>
              </w:tc>
              <w:tc>
                <w:tcPr>
                  <w:tcW w:w="933" w:type="pct"/>
                  <w:tcBorders>
                    <w:tl2br w:val="nil"/>
                    <w:tr2bl w:val="nil"/>
                  </w:tcBorders>
                  <w:noWrap w:val="0"/>
                  <w:vAlign w:val="center"/>
                </w:tcPr>
                <w:p w14:paraId="51BDEE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2.11</w:t>
                  </w:r>
                </w:p>
              </w:tc>
              <w:tc>
                <w:tcPr>
                  <w:tcW w:w="792" w:type="pct"/>
                  <w:tcBorders>
                    <w:tl2br w:val="nil"/>
                    <w:tr2bl w:val="nil"/>
                  </w:tcBorders>
                  <w:noWrap w:val="0"/>
                  <w:vAlign w:val="center"/>
                </w:tcPr>
                <w:p w14:paraId="58A24F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1.3247 </w:t>
                  </w:r>
                </w:p>
              </w:tc>
              <w:tc>
                <w:tcPr>
                  <w:tcW w:w="808" w:type="pct"/>
                  <w:tcBorders>
                    <w:tl2br w:val="nil"/>
                    <w:tr2bl w:val="nil"/>
                  </w:tcBorders>
                  <w:noWrap w:val="0"/>
                  <w:vAlign w:val="center"/>
                </w:tcPr>
                <w:p w14:paraId="770805B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0.3974</w:t>
                  </w:r>
                </w:p>
              </w:tc>
            </w:tr>
            <w:tr w14:paraId="5ADBA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36" w:type="pct"/>
                  <w:gridSpan w:val="2"/>
                  <w:vMerge w:val="restart"/>
                  <w:tcBorders>
                    <w:tl2br w:val="nil"/>
                    <w:tr2bl w:val="nil"/>
                  </w:tcBorders>
                  <w:noWrap w:val="0"/>
                  <w:vAlign w:val="center"/>
                </w:tcPr>
                <w:p w14:paraId="09BD3CBF">
                  <w:pPr>
                    <w:pStyle w:val="127"/>
                    <w:bidi w:val="0"/>
                    <w:rPr>
                      <w:color w:val="auto"/>
                    </w:rPr>
                  </w:pPr>
                  <w:r>
                    <w:rPr>
                      <w:rFonts w:hint="eastAsia"/>
                      <w:color w:val="auto"/>
                    </w:rPr>
                    <w:t>全厂排放口</w:t>
                  </w:r>
                  <w:r>
                    <w:rPr>
                      <w:color w:val="auto"/>
                    </w:rPr>
                    <w:t>合计</w:t>
                  </w:r>
                </w:p>
              </w:tc>
              <w:tc>
                <w:tcPr>
                  <w:tcW w:w="2655" w:type="pct"/>
                  <w:gridSpan w:val="3"/>
                  <w:tcBorders>
                    <w:tl2br w:val="nil"/>
                    <w:tr2bl w:val="nil"/>
                  </w:tcBorders>
                  <w:noWrap w:val="0"/>
                  <w:vAlign w:val="center"/>
                </w:tcPr>
                <w:p w14:paraId="7D3FEB32">
                  <w:pPr>
                    <w:pStyle w:val="127"/>
                    <w:bidi w:val="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rPr>
                    <w:t>COD</w:t>
                  </w:r>
                  <w:r>
                    <w:rPr>
                      <w:rFonts w:hint="eastAsia"/>
                      <w:color w:val="auto"/>
                      <w:vertAlign w:val="subscript"/>
                      <w:lang w:val="en-US" w:eastAsia="zh-CN"/>
                    </w:rPr>
                    <w:t>cr</w:t>
                  </w:r>
                </w:p>
              </w:tc>
              <w:tc>
                <w:tcPr>
                  <w:tcW w:w="808" w:type="pct"/>
                  <w:tcBorders>
                    <w:tl2br w:val="nil"/>
                    <w:tr2bl w:val="nil"/>
                  </w:tcBorders>
                  <w:shd w:val="clear" w:color="auto" w:fill="auto"/>
                  <w:noWrap w:val="0"/>
                  <w:vAlign w:val="center"/>
                </w:tcPr>
                <w:p w14:paraId="77DD2E4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34.8925</w:t>
                  </w:r>
                </w:p>
              </w:tc>
            </w:tr>
            <w:tr w14:paraId="101DC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536" w:type="pct"/>
                  <w:gridSpan w:val="2"/>
                  <w:vMerge w:val="continue"/>
                  <w:tcBorders>
                    <w:tl2br w:val="nil"/>
                    <w:tr2bl w:val="nil"/>
                  </w:tcBorders>
                  <w:noWrap w:val="0"/>
                  <w:vAlign w:val="center"/>
                </w:tcPr>
                <w:p w14:paraId="5591DC40">
                  <w:pPr>
                    <w:pStyle w:val="127"/>
                    <w:bidi w:val="0"/>
                    <w:rPr>
                      <w:color w:val="auto"/>
                    </w:rPr>
                  </w:pPr>
                </w:p>
              </w:tc>
              <w:tc>
                <w:tcPr>
                  <w:tcW w:w="2655" w:type="pct"/>
                  <w:gridSpan w:val="3"/>
                  <w:tcBorders>
                    <w:tl2br w:val="nil"/>
                    <w:tr2bl w:val="nil"/>
                  </w:tcBorders>
                  <w:noWrap w:val="0"/>
                  <w:vAlign w:val="center"/>
                </w:tcPr>
                <w:p w14:paraId="28DE15D4">
                  <w:pPr>
                    <w:pStyle w:val="127"/>
                    <w:bidi w:val="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BOD</w:t>
                  </w:r>
                  <w:r>
                    <w:rPr>
                      <w:rFonts w:hint="eastAsia"/>
                      <w:color w:val="auto"/>
                      <w:vertAlign w:val="subscript"/>
                      <w:lang w:val="en-US" w:eastAsia="zh-CN"/>
                    </w:rPr>
                    <w:t>5</w:t>
                  </w:r>
                </w:p>
              </w:tc>
              <w:tc>
                <w:tcPr>
                  <w:tcW w:w="808" w:type="pct"/>
                  <w:tcBorders>
                    <w:tl2br w:val="nil"/>
                    <w:tr2bl w:val="nil"/>
                  </w:tcBorders>
                  <w:shd w:val="clear" w:color="auto" w:fill="auto"/>
                  <w:noWrap w:val="0"/>
                  <w:vAlign w:val="center"/>
                </w:tcPr>
                <w:p w14:paraId="2C84C96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28.3977</w:t>
                  </w:r>
                </w:p>
              </w:tc>
            </w:tr>
            <w:tr w14:paraId="35D75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36" w:type="pct"/>
                  <w:gridSpan w:val="2"/>
                  <w:vMerge w:val="continue"/>
                  <w:tcBorders>
                    <w:tl2br w:val="nil"/>
                    <w:tr2bl w:val="nil"/>
                  </w:tcBorders>
                  <w:noWrap w:val="0"/>
                  <w:vAlign w:val="center"/>
                </w:tcPr>
                <w:p w14:paraId="1314996C">
                  <w:pPr>
                    <w:pStyle w:val="127"/>
                    <w:bidi w:val="0"/>
                    <w:rPr>
                      <w:color w:val="auto"/>
                    </w:rPr>
                  </w:pPr>
                </w:p>
              </w:tc>
              <w:tc>
                <w:tcPr>
                  <w:tcW w:w="2655" w:type="pct"/>
                  <w:gridSpan w:val="3"/>
                  <w:tcBorders>
                    <w:tl2br w:val="nil"/>
                    <w:tr2bl w:val="nil"/>
                  </w:tcBorders>
                  <w:noWrap w:val="0"/>
                  <w:vAlign w:val="center"/>
                </w:tcPr>
                <w:p w14:paraId="5F192211">
                  <w:pPr>
                    <w:pStyle w:val="127"/>
                    <w:bidi w:val="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SS</w:t>
                  </w:r>
                </w:p>
              </w:tc>
              <w:tc>
                <w:tcPr>
                  <w:tcW w:w="808" w:type="pct"/>
                  <w:tcBorders>
                    <w:tl2br w:val="nil"/>
                    <w:tr2bl w:val="nil"/>
                  </w:tcBorders>
                  <w:shd w:val="clear" w:color="auto" w:fill="auto"/>
                  <w:noWrap w:val="0"/>
                  <w:vAlign w:val="center"/>
                </w:tcPr>
                <w:p w14:paraId="2B73DD7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11.9658</w:t>
                  </w:r>
                </w:p>
              </w:tc>
            </w:tr>
            <w:tr w14:paraId="1CCE5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36" w:type="pct"/>
                  <w:gridSpan w:val="2"/>
                  <w:vMerge w:val="continue"/>
                  <w:tcBorders>
                    <w:tl2br w:val="nil"/>
                    <w:tr2bl w:val="nil"/>
                  </w:tcBorders>
                  <w:noWrap w:val="0"/>
                  <w:vAlign w:val="center"/>
                </w:tcPr>
                <w:p w14:paraId="6FF61457">
                  <w:pPr>
                    <w:pStyle w:val="127"/>
                    <w:bidi w:val="0"/>
                    <w:rPr>
                      <w:color w:val="auto"/>
                    </w:rPr>
                  </w:pPr>
                </w:p>
              </w:tc>
              <w:tc>
                <w:tcPr>
                  <w:tcW w:w="2655" w:type="pct"/>
                  <w:gridSpan w:val="3"/>
                  <w:tcBorders>
                    <w:tl2br w:val="nil"/>
                    <w:tr2bl w:val="nil"/>
                  </w:tcBorders>
                  <w:noWrap w:val="0"/>
                  <w:vAlign w:val="center"/>
                </w:tcPr>
                <w:p w14:paraId="779D10FA">
                  <w:pPr>
                    <w:pStyle w:val="127"/>
                    <w:bidi w:val="0"/>
                    <w:ind w:left="0" w:leftChars="0" w:right="0" w:rightChars="0"/>
                    <w:rPr>
                      <w:rFonts w:hint="eastAsia" w:ascii="Times New Roman" w:hAnsi="Times New Roman" w:eastAsia="宋体" w:cs="Times New Roman"/>
                      <w:color w:val="auto"/>
                      <w:kern w:val="2"/>
                      <w:sz w:val="21"/>
                      <w:szCs w:val="21"/>
                      <w:lang w:val="fr-FR" w:eastAsia="zh-CN" w:bidi="ar-SA"/>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808" w:type="pct"/>
                  <w:tcBorders>
                    <w:tl2br w:val="nil"/>
                    <w:tr2bl w:val="nil"/>
                  </w:tcBorders>
                  <w:shd w:val="clear" w:color="auto" w:fill="auto"/>
                  <w:noWrap w:val="0"/>
                  <w:vAlign w:val="center"/>
                </w:tcPr>
                <w:p w14:paraId="74286C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3.0544</w:t>
                  </w:r>
                </w:p>
              </w:tc>
            </w:tr>
            <w:tr w14:paraId="604BC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36" w:type="pct"/>
                  <w:gridSpan w:val="2"/>
                  <w:vMerge w:val="continue"/>
                  <w:tcBorders>
                    <w:tl2br w:val="nil"/>
                    <w:tr2bl w:val="nil"/>
                  </w:tcBorders>
                  <w:noWrap w:val="0"/>
                  <w:vAlign w:val="center"/>
                </w:tcPr>
                <w:p w14:paraId="15EAC047">
                  <w:pPr>
                    <w:pStyle w:val="127"/>
                    <w:bidi w:val="0"/>
                    <w:rPr>
                      <w:color w:val="auto"/>
                    </w:rPr>
                  </w:pPr>
                </w:p>
              </w:tc>
              <w:tc>
                <w:tcPr>
                  <w:tcW w:w="2655" w:type="pct"/>
                  <w:gridSpan w:val="3"/>
                  <w:tcBorders>
                    <w:tl2br w:val="nil"/>
                    <w:tr2bl w:val="nil"/>
                  </w:tcBorders>
                  <w:noWrap w:val="0"/>
                  <w:vAlign w:val="center"/>
                </w:tcPr>
                <w:p w14:paraId="34E0F58E">
                  <w:pPr>
                    <w:pStyle w:val="127"/>
                    <w:bidi w:val="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TP</w:t>
                  </w:r>
                </w:p>
              </w:tc>
              <w:tc>
                <w:tcPr>
                  <w:tcW w:w="808" w:type="pct"/>
                  <w:tcBorders>
                    <w:tl2br w:val="nil"/>
                    <w:tr2bl w:val="nil"/>
                  </w:tcBorders>
                  <w:shd w:val="clear" w:color="auto" w:fill="auto"/>
                  <w:noWrap w:val="0"/>
                  <w:vAlign w:val="center"/>
                </w:tcPr>
                <w:p w14:paraId="32CD7CC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0.0612</w:t>
                  </w:r>
                </w:p>
              </w:tc>
            </w:tr>
            <w:tr w14:paraId="7DF6C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36" w:type="pct"/>
                  <w:gridSpan w:val="2"/>
                  <w:vMerge w:val="continue"/>
                  <w:tcBorders>
                    <w:tl2br w:val="nil"/>
                    <w:tr2bl w:val="nil"/>
                  </w:tcBorders>
                  <w:noWrap w:val="0"/>
                  <w:vAlign w:val="center"/>
                </w:tcPr>
                <w:p w14:paraId="34A62585">
                  <w:pPr>
                    <w:pStyle w:val="127"/>
                    <w:bidi w:val="0"/>
                    <w:rPr>
                      <w:color w:val="auto"/>
                    </w:rPr>
                  </w:pPr>
                </w:p>
              </w:tc>
              <w:tc>
                <w:tcPr>
                  <w:tcW w:w="2655" w:type="pct"/>
                  <w:gridSpan w:val="3"/>
                  <w:tcBorders>
                    <w:tl2br w:val="nil"/>
                    <w:tr2bl w:val="nil"/>
                  </w:tcBorders>
                  <w:noWrap w:val="0"/>
                  <w:vAlign w:val="center"/>
                </w:tcPr>
                <w:p w14:paraId="51FDB06E">
                  <w:pPr>
                    <w:pStyle w:val="127"/>
                    <w:bidi w:val="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TN</w:t>
                  </w:r>
                </w:p>
              </w:tc>
              <w:tc>
                <w:tcPr>
                  <w:tcW w:w="808" w:type="pct"/>
                  <w:tcBorders>
                    <w:tl2br w:val="nil"/>
                    <w:tr2bl w:val="nil"/>
                  </w:tcBorders>
                  <w:shd w:val="clear" w:color="auto" w:fill="auto"/>
                  <w:noWrap w:val="0"/>
                  <w:vAlign w:val="center"/>
                </w:tcPr>
                <w:p w14:paraId="7150909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0.1616</w:t>
                  </w:r>
                </w:p>
              </w:tc>
            </w:tr>
            <w:tr w14:paraId="67A10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36" w:type="pct"/>
                  <w:gridSpan w:val="2"/>
                  <w:vMerge w:val="continue"/>
                  <w:tcBorders>
                    <w:tl2br w:val="nil"/>
                    <w:tr2bl w:val="nil"/>
                  </w:tcBorders>
                  <w:noWrap w:val="0"/>
                  <w:vAlign w:val="center"/>
                </w:tcPr>
                <w:p w14:paraId="0EA99356">
                  <w:pPr>
                    <w:pStyle w:val="127"/>
                    <w:bidi w:val="0"/>
                    <w:rPr>
                      <w:color w:val="auto"/>
                    </w:rPr>
                  </w:pPr>
                </w:p>
              </w:tc>
              <w:tc>
                <w:tcPr>
                  <w:tcW w:w="2655" w:type="pct"/>
                  <w:gridSpan w:val="3"/>
                  <w:tcBorders>
                    <w:tl2br w:val="nil"/>
                    <w:tr2bl w:val="nil"/>
                  </w:tcBorders>
                  <w:noWrap w:val="0"/>
                  <w:vAlign w:val="center"/>
                </w:tcPr>
                <w:p w14:paraId="309D3D6F">
                  <w:pPr>
                    <w:pStyle w:val="127"/>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动植物油</w:t>
                  </w:r>
                </w:p>
              </w:tc>
              <w:tc>
                <w:tcPr>
                  <w:tcW w:w="808" w:type="pct"/>
                  <w:tcBorders>
                    <w:tl2br w:val="nil"/>
                    <w:tr2bl w:val="nil"/>
                  </w:tcBorders>
                  <w:shd w:val="clear" w:color="auto" w:fill="auto"/>
                  <w:noWrap w:val="0"/>
                  <w:vAlign w:val="center"/>
                </w:tcPr>
                <w:p w14:paraId="3428CA9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0.3974</w:t>
                  </w:r>
                </w:p>
              </w:tc>
            </w:tr>
          </w:tbl>
          <w:p w14:paraId="7E65B7CF">
            <w:pPr>
              <w:spacing w:line="300" w:lineRule="exact"/>
              <w:ind w:firstLine="105" w:firstLineChars="50"/>
              <w:rPr>
                <w:rFonts w:hint="eastAsia" w:cs="Times New Roman"/>
                <w:b/>
                <w:bCs/>
                <w:color w:val="auto"/>
                <w:kern w:val="2"/>
                <w:sz w:val="24"/>
                <w:szCs w:val="24"/>
                <w:lang w:val="en-US" w:eastAsia="zh-CN" w:bidi="ar-SA"/>
              </w:rPr>
            </w:pPr>
            <w:r>
              <w:rPr>
                <w:rFonts w:hint="default" w:ascii="Times New Roman" w:hAnsi="Times New Roman" w:eastAsia="宋体" w:cs="Times New Roman"/>
                <w:color w:val="auto"/>
                <w:kern w:val="2"/>
                <w:sz w:val="21"/>
                <w:szCs w:val="21"/>
                <w:lang w:val="en-US" w:eastAsia="zh-CN" w:bidi="ar-SA"/>
              </w:rPr>
              <w:t>注：排放浓度以</w:t>
            </w:r>
            <w:r>
              <w:rPr>
                <w:rFonts w:hint="eastAsia" w:ascii="Times New Roman" w:hAnsi="Times New Roman" w:eastAsia="宋体" w:cs="Times New Roman"/>
                <w:color w:val="auto"/>
                <w:kern w:val="2"/>
                <w:sz w:val="21"/>
                <w:szCs w:val="21"/>
                <w:lang w:val="en-US" w:eastAsia="zh-CN" w:bidi="ar-SA"/>
              </w:rPr>
              <w:t>综合废水排入</w:t>
            </w:r>
            <w:r>
              <w:rPr>
                <w:rFonts w:hint="eastAsia" w:ascii="Times New Roman" w:hAnsi="Times New Roman" w:eastAsia="宋体" w:cs="Times New Roman"/>
                <w:b w:val="0"/>
                <w:bCs w:val="0"/>
                <w:color w:val="auto"/>
                <w:kern w:val="2"/>
                <w:sz w:val="21"/>
                <w:szCs w:val="24"/>
                <w:highlight w:val="none"/>
                <w:lang w:val="en-US" w:eastAsia="zh-CN" w:bidi="ar-SA"/>
              </w:rPr>
              <w:t>宁都县第二污水处理厂</w:t>
            </w:r>
            <w:r>
              <w:rPr>
                <w:rFonts w:hint="eastAsia" w:cs="Times New Roman"/>
                <w:color w:val="auto"/>
                <w:kern w:val="2"/>
                <w:sz w:val="21"/>
                <w:szCs w:val="21"/>
                <w:lang w:val="en-US" w:eastAsia="zh-CN" w:bidi="ar-SA"/>
              </w:rPr>
              <w:t>时的</w:t>
            </w:r>
            <w:r>
              <w:rPr>
                <w:rFonts w:hint="eastAsia" w:ascii="Times New Roman" w:hAnsi="Times New Roman" w:eastAsia="宋体" w:cs="Times New Roman"/>
                <w:color w:val="auto"/>
                <w:kern w:val="2"/>
                <w:sz w:val="21"/>
                <w:szCs w:val="21"/>
                <w:lang w:val="en-US" w:eastAsia="zh-CN" w:bidi="ar-SA"/>
              </w:rPr>
              <w:t>排放浓度</w:t>
            </w:r>
            <w:r>
              <w:rPr>
                <w:rFonts w:hint="default" w:ascii="Times New Roman" w:hAnsi="Times New Roman" w:eastAsia="宋体" w:cs="Times New Roman"/>
                <w:color w:val="auto"/>
                <w:kern w:val="2"/>
                <w:sz w:val="21"/>
                <w:szCs w:val="21"/>
                <w:lang w:val="en-US" w:eastAsia="zh-CN" w:bidi="ar-SA"/>
              </w:rPr>
              <w:t>计算。</w:t>
            </w:r>
          </w:p>
          <w:p w14:paraId="0A71D119">
            <w:pPr>
              <w:widowControl w:val="0"/>
              <w:bidi w:val="0"/>
              <w:spacing w:line="360" w:lineRule="auto"/>
              <w:ind w:firstLine="482" w:firstLineChars="200"/>
              <w:jc w:val="both"/>
              <w:rPr>
                <w:rFonts w:hint="default" w:ascii="Times New Roman" w:hAnsi="Times New Roman" w:eastAsia="宋体" w:cs="Times New Roman"/>
                <w:b/>
                <w:bCs w:val="0"/>
                <w:color w:val="auto"/>
                <w:sz w:val="24"/>
                <w:szCs w:val="24"/>
                <w:highlight w:val="none"/>
                <w:lang w:val="en-US" w:eastAsia="zh-CN"/>
              </w:rPr>
            </w:pPr>
            <w:r>
              <w:rPr>
                <w:rFonts w:hint="eastAsia"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废水</w:t>
            </w:r>
            <w:r>
              <w:rPr>
                <w:rFonts w:hint="eastAsia" w:ascii="Times New Roman" w:hAnsi="Times New Roman" w:eastAsia="宋体" w:cs="Times New Roman"/>
                <w:b/>
                <w:bCs w:val="0"/>
                <w:color w:val="auto"/>
                <w:sz w:val="24"/>
                <w:szCs w:val="24"/>
                <w:highlight w:val="none"/>
                <w:lang w:val="en-US" w:eastAsia="zh-CN"/>
              </w:rPr>
              <w:t>处理</w:t>
            </w:r>
            <w:r>
              <w:rPr>
                <w:rFonts w:hint="eastAsia" w:ascii="Times New Roman" w:hAnsi="Times New Roman" w:eastAsia="宋体" w:cs="Times New Roman"/>
                <w:b/>
                <w:bCs/>
                <w:color w:val="auto"/>
                <w:kern w:val="2"/>
                <w:sz w:val="24"/>
                <w:szCs w:val="24"/>
                <w:lang w:val="en-US" w:eastAsia="zh-CN" w:bidi="ar-SA"/>
              </w:rPr>
              <w:t>措施</w:t>
            </w:r>
            <w:r>
              <w:rPr>
                <w:rFonts w:hint="default" w:ascii="Times New Roman" w:hAnsi="Times New Roman" w:eastAsia="宋体" w:cs="Times New Roman"/>
                <w:b/>
                <w:bCs/>
                <w:color w:val="auto"/>
                <w:kern w:val="2"/>
                <w:sz w:val="24"/>
                <w:szCs w:val="24"/>
                <w:lang w:val="en-US" w:eastAsia="zh-CN" w:bidi="ar-SA"/>
              </w:rPr>
              <w:t>可行性分析</w:t>
            </w:r>
          </w:p>
          <w:p w14:paraId="5D06D2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cs="Times New Roman"/>
                <w:color w:val="000000"/>
                <w:kern w:val="0"/>
                <w:sz w:val="24"/>
                <w:szCs w:val="24"/>
                <w:lang w:val="en-US" w:eastAsia="zh-CN" w:bidi="ar"/>
              </w:rPr>
              <w:t>和纯水制备浓水</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纯水制备浓水可</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生活污水经化粪池处理后和生产废水一起</w:t>
            </w:r>
            <w:r>
              <w:rPr>
                <w:rFonts w:hint="default" w:ascii="Times New Roman" w:hAnsi="Times New Roman" w:eastAsia="宋体" w:cs="Times New Roman"/>
                <w:color w:val="000000"/>
                <w:kern w:val="0"/>
                <w:sz w:val="24"/>
                <w:szCs w:val="24"/>
                <w:lang w:val="en-US" w:eastAsia="zh-CN" w:bidi="ar"/>
              </w:rPr>
              <w:t>进入自建污水处理站处理达标后通过污水管网进入宁都县第二污水处理厂处理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000000"/>
                <w:kern w:val="0"/>
                <w:sz w:val="24"/>
                <w:szCs w:val="24"/>
                <w:lang w:val="en-US" w:eastAsia="zh-CN" w:bidi="ar"/>
              </w:rPr>
              <w:t>，最终排入梅江。</w:t>
            </w:r>
          </w:p>
          <w:p w14:paraId="1332C1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eastAsia" w:ascii="Times New Roman" w:hAnsi="Times New Roman" w:eastAsia="宋体" w:cs="Times New Roman"/>
                <w:b/>
                <w:bCs w:val="0"/>
                <w:color w:val="000000"/>
                <w:sz w:val="24"/>
                <w:szCs w:val="24"/>
                <w:highlight w:val="none"/>
                <w:lang w:val="en-US" w:eastAsia="zh-CN"/>
              </w:rPr>
            </w:pPr>
            <w:r>
              <w:rPr>
                <w:rFonts w:hint="eastAsia" w:cs="Times New Roman"/>
                <w:b/>
                <w:bCs w:val="0"/>
                <w:color w:val="000000"/>
                <w:sz w:val="24"/>
                <w:szCs w:val="24"/>
                <w:highlight w:val="none"/>
                <w:lang w:val="en-US" w:eastAsia="zh-CN"/>
              </w:rPr>
              <w:t>（1</w:t>
            </w:r>
            <w:r>
              <w:rPr>
                <w:rFonts w:hint="eastAsia" w:ascii="Times New Roman" w:hAnsi="Times New Roman" w:eastAsia="宋体" w:cs="Times New Roman"/>
                <w:b/>
                <w:bCs w:val="0"/>
                <w:color w:val="000000"/>
                <w:sz w:val="24"/>
                <w:szCs w:val="24"/>
                <w:highlight w:val="none"/>
                <w:lang w:val="en-US" w:eastAsia="zh-CN"/>
              </w:rPr>
              <w:t>）生活污水</w:t>
            </w:r>
            <w:r>
              <w:rPr>
                <w:rFonts w:hint="eastAsia" w:ascii="宋体" w:hAnsi="宋体"/>
                <w:b/>
                <w:bCs w:val="0"/>
                <w:color w:val="000000"/>
                <w:kern w:val="0"/>
                <w:sz w:val="24"/>
                <w:szCs w:val="24"/>
                <w:shd w:val="clear" w:color="auto" w:fill="FFFFFF"/>
              </w:rPr>
              <w:t>处理工艺</w:t>
            </w:r>
          </w:p>
          <w:p w14:paraId="2F0F76D4">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olor w:val="auto"/>
                <w:kern w:val="24"/>
                <w:sz w:val="24"/>
                <w:szCs w:val="24"/>
                <w:lang w:val="en-US" w:eastAsia="zh-CN"/>
              </w:rPr>
              <w:t>①化粪池处理工艺</w:t>
            </w:r>
          </w:p>
          <w:p w14:paraId="01241D42">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三格化粪池由相联的三个池子组成，中间由过粪管联通，主要是利用厌氧发酵、中层过粪和寄生虫卵比重大于一般混合液比重而易于沉淀的原理，粪便在池内经过30天以上的发酵分解，中层粪液依次由1池流至3池，以达到沉淀或杀灭粪便中寄生虫卵和肠道致病菌的目的，第3池粪液成为优质化肥。</w:t>
            </w:r>
          </w:p>
          <w:p w14:paraId="573C6A21">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他的粪液进一步发酵分解，虫卵继续下沉，病原体逐渐死亡，粪液得到进一步无害化，产生的粪皮和粪 厚度比第一池显著减少。流人第三他的粪液一般已经腐熟，其中病菌和寄生虫卵已基本杀灭。第三池功能主要起储存已基本无害化的粪液作用。</w:t>
            </w:r>
          </w:p>
          <w:p w14:paraId="14B23B55">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三格化粪池厕所的地下部分结构由便器、进粪管、过粪管、三格化粪池、盖板五部分组成。便器：由工厂加工生产或白行预制，便器采用直通式，与进粪管联接，也可使用水封式便器，不再安装近粪管。</w:t>
            </w:r>
          </w:p>
          <w:p w14:paraId="239936D7">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进粪管：塑料、铸铁、水泥管均可，内壁光滑、防止结粪、内径为10cm，长度为30-50cm。过粪管：以塑料管为好，直径为10-15cm，1-2池间的过粪管长约70-75cm，2-3池间的过粪管长约50一55Cm。</w:t>
            </w:r>
          </w:p>
          <w:p w14:paraId="1D42EB78">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三格池：用砖砌水泥粉壁面或水泥现浇，预制均可，以"目"字形为主要类型，若受地形限制，"品"字形、"丁"个型摆都也可。容积达到贮粪2个月为宜。三格池有效深度应不少于1 cm ，1至3格容积比例一般为2：1：3。</w:t>
            </w:r>
          </w:p>
          <w:p w14:paraId="10A1CFA4">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盖板：可自行预制，要做到既密闭，又便于清渣和取粪。</w:t>
            </w:r>
          </w:p>
          <w:p w14:paraId="42ED95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jc w:val="both"/>
              <w:textAlignment w:val="auto"/>
              <w:rPr>
                <w:color w:val="auto"/>
              </w:rPr>
            </w:pPr>
            <w:r>
              <w:rPr>
                <w:rFonts w:hint="eastAsia" w:cs="Times New Roman"/>
                <w:b/>
                <w:bCs w:val="0"/>
                <w:color w:val="auto"/>
                <w:sz w:val="24"/>
                <w:szCs w:val="24"/>
                <w:highlight w:val="none"/>
                <w:lang w:val="en-US" w:eastAsia="zh-CN"/>
              </w:rPr>
              <w:t>（2</w:t>
            </w:r>
            <w:r>
              <w:rPr>
                <w:rFonts w:hint="eastAsia"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污水处理站</w:t>
            </w:r>
            <w:r>
              <w:rPr>
                <w:rFonts w:hint="eastAsia" w:ascii="宋体" w:hAnsi="宋体"/>
                <w:b/>
                <w:bCs w:val="0"/>
                <w:color w:val="auto"/>
                <w:kern w:val="0"/>
                <w:sz w:val="24"/>
                <w:szCs w:val="24"/>
                <w:shd w:val="clear" w:color="auto" w:fill="FFFFFF"/>
              </w:rPr>
              <w:t>工艺</w:t>
            </w:r>
          </w:p>
          <w:p w14:paraId="06CAA06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污水处理站处理工艺（处理规模为500t/d）：</w:t>
            </w:r>
            <w:r>
              <w:rPr>
                <w:rFonts w:hint="default" w:ascii="Times New Roman" w:hAnsi="Times New Roman" w:eastAsia="宋体" w:cs="Times New Roman"/>
                <w:color w:val="auto"/>
                <w:sz w:val="24"/>
                <w:highlight w:val="none"/>
                <w:lang w:val="en-US" w:eastAsia="zh-CN"/>
              </w:rPr>
              <w:t>格栅-隔油池-调节池-A/O工艺</w:t>
            </w:r>
            <w:r>
              <w:rPr>
                <w:rFonts w:hint="eastAsia" w:ascii="Times New Roman" w:hAnsi="Times New Roman" w:eastAsia="宋体" w:cs="Times New Roman"/>
                <w:color w:val="auto"/>
                <w:sz w:val="24"/>
                <w:highlight w:val="none"/>
                <w:lang w:val="en-US" w:eastAsia="zh-CN"/>
              </w:rPr>
              <w:t>一体化设备-混凝沉淀池。</w:t>
            </w:r>
          </w:p>
          <w:p w14:paraId="3DA4E8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object>
                <v:shape id="_x0000_i1036" o:spt="75" type="#_x0000_t75" style="height:371.25pt;width:300.75pt;" o:ole="t" filled="f" o:preferrelative="t" stroked="f" coordsize="21600,21600">
                  <v:path/>
                  <v:fill on="f" focussize="0,0"/>
                  <v:stroke on="f"/>
                  <v:imagedata r:id="rId36" o:title=""/>
                  <o:lock v:ext="edit" aspectratio="f"/>
                  <w10:wrap type="none"/>
                  <w10:anchorlock/>
                </v:shape>
                <o:OLEObject Type="Embed" ProgID="Visio.Drawing.15" ShapeID="_x0000_i1036" DrawAspect="Content" ObjectID="_1468075736" r:id="rId35">
                  <o:LockedField>false</o:LockedField>
                </o:OLEObject>
              </w:object>
            </w:r>
          </w:p>
          <w:p w14:paraId="1C90A2BF">
            <w:pPr>
              <w:pStyle w:val="125"/>
              <w:jc w:val="center"/>
              <w:rPr>
                <w:rFonts w:hint="eastAsia"/>
                <w:color w:val="auto"/>
                <w:sz w:val="24"/>
                <w:szCs w:val="20"/>
                <w:highlight w:val="none"/>
              </w:rPr>
            </w:pPr>
            <w:r>
              <w:rPr>
                <w:rFonts w:hint="default" w:ascii="Times New Roman" w:hAnsi="Times New Roman" w:eastAsia="宋体" w:cs="Times New Roman"/>
                <w:color w:val="auto"/>
                <w:lang w:val="en-US" w:eastAsia="zh-CN"/>
              </w:rPr>
              <w:t>图4-</w:t>
            </w:r>
            <w:r>
              <w:rPr>
                <w:rFonts w:hint="eastAsia" w:cs="Times New Roman"/>
                <w:color w:val="auto"/>
                <w:lang w:val="en-US" w:eastAsia="zh-CN"/>
              </w:rPr>
              <w:t>3</w:t>
            </w:r>
            <w:r>
              <w:rPr>
                <w:rFonts w:hint="default" w:ascii="Times New Roman" w:hAnsi="Times New Roman" w:eastAsia="宋体" w:cs="Times New Roman"/>
                <w:color w:val="auto"/>
                <w:lang w:val="en-US" w:eastAsia="zh-CN"/>
              </w:rPr>
              <w:t xml:space="preserve"> </w:t>
            </w:r>
            <w:r>
              <w:rPr>
                <w:rFonts w:hint="eastAsia" w:cs="Times New Roman"/>
                <w:color w:val="auto"/>
                <w:lang w:val="en-US" w:eastAsia="zh-CN"/>
              </w:rPr>
              <w:t>污水处理站</w:t>
            </w:r>
            <w:r>
              <w:rPr>
                <w:rFonts w:hint="eastAsia" w:ascii="Times New Roman" w:hAnsi="Times New Roman" w:eastAsia="宋体" w:cs="Times New Roman"/>
                <w:color w:val="auto"/>
                <w:lang w:val="en-US" w:eastAsia="zh-CN"/>
              </w:rPr>
              <w:t>处理工艺</w:t>
            </w:r>
            <w:r>
              <w:rPr>
                <w:rFonts w:hint="default" w:ascii="Times New Roman" w:hAnsi="Times New Roman" w:eastAsia="宋体" w:cs="Times New Roman"/>
                <w:color w:val="auto"/>
                <w:lang w:val="en-US" w:eastAsia="zh-CN"/>
              </w:rPr>
              <w:t>图</w:t>
            </w:r>
          </w:p>
          <w:p w14:paraId="66975BA2">
            <w:pPr>
              <w:widowControl w:val="0"/>
              <w:bidi w:val="0"/>
              <w:spacing w:line="360" w:lineRule="auto"/>
              <w:ind w:firstLine="480" w:firstLineChars="200"/>
              <w:jc w:val="both"/>
              <w:rPr>
                <w:rFonts w:hint="eastAsia" w:eastAsia="宋体"/>
                <w:color w:val="auto"/>
                <w:sz w:val="24"/>
                <w:szCs w:val="20"/>
                <w:highlight w:val="none"/>
                <w:lang w:val="en-US" w:eastAsia="zh-CN"/>
              </w:rPr>
            </w:pPr>
            <w:r>
              <w:rPr>
                <w:rFonts w:hint="eastAsia"/>
                <w:color w:val="auto"/>
                <w:sz w:val="24"/>
                <w:szCs w:val="20"/>
                <w:highlight w:val="none"/>
              </w:rPr>
              <w:t>①</w:t>
            </w:r>
            <w:r>
              <w:rPr>
                <w:rFonts w:hint="eastAsia"/>
                <w:color w:val="auto"/>
                <w:sz w:val="24"/>
                <w:szCs w:val="20"/>
                <w:highlight w:val="none"/>
                <w:lang w:val="en-US" w:eastAsia="zh-CN"/>
              </w:rPr>
              <w:t>隔油池</w:t>
            </w:r>
          </w:p>
          <w:p w14:paraId="33C2F84B">
            <w:pPr>
              <w:widowControl w:val="0"/>
              <w:bidi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隔油池是利用废水中油脂和水的比重不同而达到分离的目的。隔油池的构造多采用平流式，含油废水通过配水槽进入平面为矩形的隔油池，沿水平方向缓慢流动，在流动中油品上浮水面，由集油管或设置在池面的刮油机推送到集油管中流入脱水罐。在隔油池中沉淀下来的油脂及其他杂质，积聚到池底污泥斗中，通过排泥管进入污泥管中。经过隔油处理的废水则溢流入排水渠排出池外。</w:t>
            </w:r>
            <w:r>
              <w:rPr>
                <w:rFonts w:hint="eastAsia" w:eastAsia="宋体" w:cs="Times New Roman"/>
                <w:color w:val="auto"/>
                <w:kern w:val="2"/>
                <w:sz w:val="24"/>
                <w:szCs w:val="24"/>
                <w:lang w:val="en-US" w:eastAsia="zh-CN" w:bidi="ar-SA"/>
              </w:rPr>
              <w:t>隔油池</w:t>
            </w:r>
            <w:r>
              <w:rPr>
                <w:rFonts w:hint="eastAsia"/>
                <w:b w:val="0"/>
                <w:bCs/>
                <w:color w:val="auto"/>
                <w:kern w:val="24"/>
                <w:sz w:val="24"/>
                <w:szCs w:val="24"/>
                <w:lang w:val="en-US" w:eastAsia="zh-CN"/>
              </w:rPr>
              <w:t>对污染物动植物油的去除效率为可达90%以上，对其他污染物去除效率可忽略不计。</w:t>
            </w:r>
          </w:p>
          <w:p w14:paraId="115F46DC">
            <w:pPr>
              <w:autoSpaceDE w:val="0"/>
              <w:autoSpaceDN w:val="0"/>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24"/>
                <w:sz w:val="24"/>
                <w:szCs w:val="24"/>
                <w:lang w:val="en-US" w:eastAsia="zh-CN"/>
              </w:rPr>
              <w:t>②</w:t>
            </w:r>
            <w:r>
              <w:rPr>
                <w:rFonts w:hint="default" w:ascii="Times New Roman" w:hAnsi="Times New Roman" w:cs="Times New Roman"/>
                <w:color w:val="auto"/>
                <w:sz w:val="24"/>
                <w:szCs w:val="24"/>
                <w:highlight w:val="none"/>
              </w:rPr>
              <w:t>调节池</w:t>
            </w:r>
          </w:p>
          <w:p w14:paraId="1093F02C">
            <w:pPr>
              <w:autoSpaceDE w:val="0"/>
              <w:autoSpaceDN w:val="0"/>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废水经过收集至调节池，调节池容积较大，停留时间通常设置在12h以上，池中设置有曝气系统，废水在调节池中经过曝气充分均化水质水量，通过自动液位控制将废水抽至下一处理工序。</w:t>
            </w:r>
          </w:p>
          <w:p w14:paraId="7B4BE35A">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4"/>
                <w:sz w:val="24"/>
                <w:szCs w:val="24"/>
                <w:lang w:val="en-US" w:eastAsia="zh-CN"/>
              </w:rPr>
            </w:pPr>
            <w:r>
              <w:rPr>
                <w:rFonts w:hint="default" w:ascii="Times New Roman" w:hAnsi="Times New Roman" w:cs="Times New Roman"/>
                <w:color w:val="auto"/>
                <w:sz w:val="24"/>
                <w:szCs w:val="20"/>
                <w:highlight w:val="none"/>
              </w:rPr>
              <w:t>③</w:t>
            </w:r>
            <w:r>
              <w:rPr>
                <w:rFonts w:hint="default" w:ascii="Times New Roman" w:hAnsi="Times New Roman" w:cs="Times New Roman" w:eastAsiaTheme="majorEastAsia"/>
                <w:color w:val="auto"/>
                <w:kern w:val="24"/>
                <w:sz w:val="24"/>
                <w:szCs w:val="24"/>
                <w:lang w:val="en-US" w:eastAsia="zh-CN"/>
              </w:rPr>
              <w:t>A/O工艺</w:t>
            </w:r>
          </w:p>
          <w:p w14:paraId="0E942C13">
            <w:pPr>
              <w:spacing w:line="360" w:lineRule="auto"/>
              <w:ind w:firstLine="480" w:firstLineChars="200"/>
              <w:rPr>
                <w:rFonts w:hint="default"/>
                <w:b w:val="0"/>
                <w:bCs/>
                <w:color w:val="auto"/>
                <w:kern w:val="24"/>
                <w:sz w:val="24"/>
                <w:szCs w:val="24"/>
                <w:vertAlign w:val="baseline"/>
                <w:lang w:val="en-US" w:eastAsia="zh-CN"/>
              </w:rPr>
            </w:pPr>
            <w:r>
              <w:rPr>
                <w:rFonts w:hint="eastAsia"/>
                <w:b w:val="0"/>
                <w:bCs/>
                <w:color w:val="auto"/>
                <w:kern w:val="24"/>
                <w:sz w:val="24"/>
                <w:szCs w:val="24"/>
                <w:lang w:val="en-US" w:eastAsia="zh-CN"/>
              </w:rPr>
              <w:t>A/O工艺是将前段缺氧段和后段好氧段串联在一起，在缺氧段异养菌将污水中的淀粉、纤维、碳水化合物等悬浮污染物和可溶性有机物水解为有机酸，使大分子有机物分解成小分子有机物，不溶性的有机物转换成可溶性有机物，当这些经缺氧水解的产物进入好氧池进行好氧处理时，提高污水的可生化性，提高氧的效率；在缺氧段异养菌将蛋白质、脂肪等污染物进行氨化游离出氨（</w:t>
            </w:r>
            <w:r>
              <w:rPr>
                <w:rFonts w:hint="eastAsia"/>
                <w:color w:val="auto"/>
                <w:sz w:val="24"/>
                <w:szCs w:val="24"/>
                <w:lang w:val="en-US" w:eastAsia="zh-CN"/>
              </w:rPr>
              <w:t>NH</w:t>
            </w:r>
            <w:r>
              <w:rPr>
                <w:rFonts w:hint="eastAsia"/>
                <w:color w:val="auto"/>
                <w:sz w:val="24"/>
                <w:szCs w:val="24"/>
                <w:vertAlign w:val="subscript"/>
                <w:lang w:val="en-US" w:eastAsia="zh-CN"/>
              </w:rPr>
              <w:t>3</w:t>
            </w:r>
            <w:r>
              <w:rPr>
                <w:rFonts w:hint="eastAsia"/>
                <w:color w:val="auto"/>
                <w:sz w:val="24"/>
                <w:szCs w:val="24"/>
                <w:lang w:val="en-US" w:eastAsia="zh-CN"/>
              </w:rPr>
              <w:t>-N、NH</w:t>
            </w:r>
            <w:r>
              <w:rPr>
                <w:rFonts w:hint="eastAsia"/>
                <w:color w:val="auto"/>
                <w:sz w:val="24"/>
                <w:szCs w:val="24"/>
                <w:vertAlign w:val="subscript"/>
                <w:lang w:val="en-US" w:eastAsia="zh-CN"/>
              </w:rPr>
              <w:t>4</w:t>
            </w:r>
            <w:r>
              <w:rPr>
                <w:rFonts w:hint="eastAsia"/>
                <w:color w:val="auto"/>
                <w:sz w:val="24"/>
                <w:szCs w:val="24"/>
                <w:lang w:val="en-US" w:eastAsia="zh-CN"/>
              </w:rPr>
              <w:t>+</w:t>
            </w:r>
            <w:r>
              <w:rPr>
                <w:rFonts w:hint="eastAsia"/>
                <w:b w:val="0"/>
                <w:bCs/>
                <w:color w:val="auto"/>
                <w:kern w:val="24"/>
                <w:sz w:val="24"/>
                <w:szCs w:val="24"/>
                <w:lang w:val="en-US" w:eastAsia="zh-CN"/>
              </w:rPr>
              <w:t>），在充足供氧条件下，自养菌的硝化作用将</w:t>
            </w:r>
            <w:r>
              <w:rPr>
                <w:rFonts w:hint="eastAsia"/>
                <w:color w:val="auto"/>
                <w:sz w:val="24"/>
                <w:szCs w:val="24"/>
                <w:lang w:val="en-US" w:eastAsia="zh-CN"/>
              </w:rPr>
              <w:t>NH</w:t>
            </w:r>
            <w:r>
              <w:rPr>
                <w:rFonts w:hint="eastAsia"/>
                <w:color w:val="auto"/>
                <w:sz w:val="24"/>
                <w:szCs w:val="24"/>
                <w:vertAlign w:val="subscript"/>
                <w:lang w:val="en-US" w:eastAsia="zh-CN"/>
              </w:rPr>
              <w:t>3</w:t>
            </w:r>
            <w:r>
              <w:rPr>
                <w:rFonts w:hint="eastAsia"/>
                <w:color w:val="auto"/>
                <w:sz w:val="24"/>
                <w:szCs w:val="24"/>
                <w:lang w:val="en-US" w:eastAsia="zh-CN"/>
              </w:rPr>
              <w:t>-N</w:t>
            </w:r>
            <w:r>
              <w:rPr>
                <w:rFonts w:hint="eastAsia"/>
                <w:b w:val="0"/>
                <w:bCs/>
                <w:color w:val="auto"/>
                <w:kern w:val="24"/>
                <w:sz w:val="24"/>
                <w:szCs w:val="24"/>
                <w:lang w:val="en-US" w:eastAsia="zh-CN"/>
              </w:rPr>
              <w:t>（</w:t>
            </w:r>
            <w:r>
              <w:rPr>
                <w:rFonts w:hint="eastAsia"/>
                <w:color w:val="auto"/>
                <w:sz w:val="24"/>
                <w:szCs w:val="24"/>
                <w:lang w:val="en-US" w:eastAsia="zh-CN"/>
              </w:rPr>
              <w:t>NH</w:t>
            </w:r>
            <w:r>
              <w:rPr>
                <w:rFonts w:hint="eastAsia"/>
                <w:color w:val="auto"/>
                <w:sz w:val="24"/>
                <w:szCs w:val="24"/>
                <w:vertAlign w:val="subscript"/>
                <w:lang w:val="en-US" w:eastAsia="zh-CN"/>
              </w:rPr>
              <w:t>4</w:t>
            </w:r>
            <w:r>
              <w:rPr>
                <w:rFonts w:hint="eastAsia"/>
                <w:color w:val="auto"/>
                <w:sz w:val="24"/>
                <w:szCs w:val="24"/>
                <w:lang w:val="en-US" w:eastAsia="zh-CN"/>
              </w:rPr>
              <w:t>+</w:t>
            </w:r>
            <w:r>
              <w:rPr>
                <w:rFonts w:hint="eastAsia"/>
                <w:b w:val="0"/>
                <w:bCs/>
                <w:color w:val="auto"/>
                <w:kern w:val="24"/>
                <w:sz w:val="24"/>
                <w:szCs w:val="24"/>
                <w:lang w:val="en-US" w:eastAsia="zh-CN"/>
              </w:rPr>
              <w:t>）</w:t>
            </w:r>
            <w:r>
              <w:rPr>
                <w:rFonts w:hint="eastAsia"/>
                <w:color w:val="auto"/>
                <w:sz w:val="24"/>
                <w:szCs w:val="24"/>
                <w:lang w:val="en-US" w:eastAsia="zh-CN"/>
              </w:rPr>
              <w:t>氧化成HO</w:t>
            </w:r>
            <w:r>
              <w:rPr>
                <w:rFonts w:hint="eastAsia"/>
                <w:color w:val="auto"/>
                <w:sz w:val="24"/>
                <w:szCs w:val="24"/>
                <w:vertAlign w:val="subscript"/>
                <w:lang w:val="en-US" w:eastAsia="zh-CN"/>
              </w:rPr>
              <w:t>3</w:t>
            </w:r>
            <w:r>
              <w:rPr>
                <w:rFonts w:hint="eastAsia"/>
                <w:color w:val="auto"/>
                <w:sz w:val="24"/>
                <w:szCs w:val="24"/>
                <w:vertAlign w:val="superscript"/>
                <w:lang w:val="en-US" w:eastAsia="zh-CN"/>
              </w:rPr>
              <w:t>-</w:t>
            </w:r>
            <w:r>
              <w:rPr>
                <w:rFonts w:hint="eastAsia"/>
                <w:color w:val="auto"/>
                <w:sz w:val="24"/>
                <w:szCs w:val="24"/>
                <w:vertAlign w:val="baseline"/>
                <w:lang w:val="en-US" w:eastAsia="zh-CN"/>
              </w:rPr>
              <w:t>，通过回流控制返回至A池，在缺氧条件下</w:t>
            </w:r>
            <w:r>
              <w:rPr>
                <w:rFonts w:hint="eastAsia"/>
                <w:b w:val="0"/>
                <w:bCs/>
                <w:color w:val="auto"/>
                <w:kern w:val="24"/>
                <w:sz w:val="24"/>
                <w:szCs w:val="24"/>
                <w:lang w:val="en-US" w:eastAsia="zh-CN"/>
              </w:rPr>
              <w:t>异养菌的反硝化作用将</w:t>
            </w:r>
            <w:r>
              <w:rPr>
                <w:rFonts w:hint="eastAsia"/>
                <w:color w:val="auto"/>
                <w:sz w:val="24"/>
                <w:szCs w:val="24"/>
                <w:lang w:val="en-US" w:eastAsia="zh-CN"/>
              </w:rPr>
              <w:t>NO</w:t>
            </w:r>
            <w:r>
              <w:rPr>
                <w:rFonts w:hint="eastAsia"/>
                <w:color w:val="auto"/>
                <w:sz w:val="24"/>
                <w:szCs w:val="24"/>
                <w:vertAlign w:val="subscript"/>
                <w:lang w:val="en-US" w:eastAsia="zh-CN"/>
              </w:rPr>
              <w:t>3</w:t>
            </w:r>
            <w:r>
              <w:rPr>
                <w:rFonts w:hint="eastAsia"/>
                <w:color w:val="auto"/>
                <w:sz w:val="24"/>
                <w:szCs w:val="24"/>
                <w:vertAlign w:val="superscript"/>
                <w:lang w:val="en-US" w:eastAsia="zh-CN"/>
              </w:rPr>
              <w:t>-</w:t>
            </w:r>
            <w:r>
              <w:rPr>
                <w:rFonts w:hint="eastAsia"/>
                <w:color w:val="auto"/>
                <w:sz w:val="24"/>
                <w:szCs w:val="24"/>
                <w:vertAlign w:val="baseline"/>
                <w:lang w:val="en-US" w:eastAsia="zh-CN"/>
              </w:rPr>
              <w:t>还原为分子态氮（N</w:t>
            </w:r>
            <w:r>
              <w:rPr>
                <w:rFonts w:hint="eastAsia"/>
                <w:color w:val="auto"/>
                <w:sz w:val="24"/>
                <w:szCs w:val="24"/>
                <w:vertAlign w:val="subscript"/>
                <w:lang w:val="en-US" w:eastAsia="zh-CN"/>
              </w:rPr>
              <w:t>2</w:t>
            </w:r>
            <w:r>
              <w:rPr>
                <w:rFonts w:hint="eastAsia"/>
                <w:color w:val="auto"/>
                <w:sz w:val="24"/>
                <w:szCs w:val="24"/>
                <w:vertAlign w:val="baseline"/>
                <w:lang w:val="en-US" w:eastAsia="zh-CN"/>
              </w:rPr>
              <w:t>），完成C、N、O在生态中的循环，实现污水无害化处理。</w:t>
            </w:r>
          </w:p>
          <w:p w14:paraId="16CBF1B2">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eastAsiaTheme="majorEastAsia"/>
                <w:color w:val="auto"/>
                <w:kern w:val="24"/>
                <w:sz w:val="24"/>
                <w:szCs w:val="24"/>
                <w:lang w:val="en-US" w:eastAsia="zh-CN"/>
              </w:rPr>
              <w:t>A/O工艺</w:t>
            </w:r>
            <w:r>
              <w:rPr>
                <w:rFonts w:hint="eastAsia"/>
                <w:b w:val="0"/>
                <w:bCs/>
                <w:color w:val="auto"/>
                <w:kern w:val="24"/>
                <w:sz w:val="24"/>
                <w:szCs w:val="24"/>
                <w:lang w:val="en-US" w:eastAsia="zh-CN"/>
              </w:rPr>
              <w:t>对各种污染物的去除效率为：CODcr 80%、BOD</w:t>
            </w:r>
            <w:r>
              <w:rPr>
                <w:rFonts w:hint="eastAsia"/>
                <w:b w:val="0"/>
                <w:bCs/>
                <w:color w:val="auto"/>
                <w:kern w:val="24"/>
                <w:sz w:val="24"/>
                <w:szCs w:val="24"/>
                <w:vertAlign w:val="subscript"/>
                <w:lang w:val="en-US" w:eastAsia="zh-CN"/>
              </w:rPr>
              <w:t>5</w:t>
            </w:r>
            <w:r>
              <w:rPr>
                <w:rFonts w:hint="eastAsia"/>
                <w:b w:val="0"/>
                <w:bCs/>
                <w:color w:val="auto"/>
                <w:kern w:val="24"/>
                <w:sz w:val="24"/>
                <w:szCs w:val="24"/>
                <w:lang w:val="en-US" w:eastAsia="zh-CN"/>
              </w:rPr>
              <w:t xml:space="preserve"> 70%、SS：50%、</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w:t>
            </w:r>
            <w:r>
              <w:rPr>
                <w:rFonts w:hint="eastAsia" w:ascii="Times New Roman" w:hAnsi="Times New Roman" w:cs="Times New Roman"/>
                <w:color w:val="auto"/>
                <w:sz w:val="24"/>
                <w:szCs w:val="24"/>
                <w:lang w:val="en-US" w:eastAsia="zh-CN"/>
              </w:rPr>
              <w:t xml:space="preserve"> </w:t>
            </w:r>
            <w:r>
              <w:rPr>
                <w:rFonts w:hint="eastAsia"/>
                <w:b w:val="0"/>
                <w:bCs/>
                <w:color w:val="auto"/>
                <w:kern w:val="24"/>
                <w:sz w:val="24"/>
                <w:szCs w:val="24"/>
                <w:lang w:val="en-US" w:eastAsia="zh-CN"/>
              </w:rPr>
              <w:t>50%</w:t>
            </w:r>
            <w:r>
              <w:rPr>
                <w:rFonts w:hint="eastAsia" w:cs="Times New Roman"/>
                <w:color w:val="auto"/>
                <w:sz w:val="24"/>
                <w:szCs w:val="24"/>
                <w:lang w:eastAsia="zh-CN"/>
              </w:rPr>
              <w:t>、</w:t>
            </w:r>
            <w:r>
              <w:rPr>
                <w:rFonts w:hint="eastAsia" w:cs="Times New Roman"/>
                <w:color w:val="auto"/>
                <w:sz w:val="24"/>
                <w:szCs w:val="24"/>
                <w:lang w:val="en-US" w:eastAsia="zh-CN"/>
              </w:rPr>
              <w:t xml:space="preserve">TP </w:t>
            </w:r>
            <w:r>
              <w:rPr>
                <w:rFonts w:hint="eastAsia"/>
                <w:b w:val="0"/>
                <w:bCs/>
                <w:color w:val="auto"/>
                <w:kern w:val="24"/>
                <w:sz w:val="24"/>
                <w:szCs w:val="24"/>
                <w:lang w:val="en-US" w:eastAsia="zh-CN"/>
              </w:rPr>
              <w:t>30%</w:t>
            </w:r>
            <w:r>
              <w:rPr>
                <w:rFonts w:hint="eastAsia" w:cs="Times New Roman"/>
                <w:color w:val="auto"/>
                <w:sz w:val="24"/>
                <w:szCs w:val="24"/>
                <w:lang w:val="en-US" w:eastAsia="zh-CN"/>
              </w:rPr>
              <w:t>、TN</w:t>
            </w:r>
            <w:r>
              <w:rPr>
                <w:rFonts w:hint="eastAsia"/>
                <w:b w:val="0"/>
                <w:bCs/>
                <w:color w:val="auto"/>
                <w:kern w:val="24"/>
                <w:sz w:val="24"/>
                <w:szCs w:val="24"/>
                <w:lang w:val="en-US" w:eastAsia="zh-CN"/>
              </w:rPr>
              <w:t xml:space="preserve"> 50%</w:t>
            </w:r>
            <w:r>
              <w:rPr>
                <w:rFonts w:hint="eastAsia" w:cs="Times New Roman"/>
                <w:color w:val="auto"/>
                <w:sz w:val="24"/>
                <w:szCs w:val="24"/>
                <w:lang w:val="en-US" w:eastAsia="zh-CN"/>
              </w:rPr>
              <w:t>、</w:t>
            </w:r>
            <w:r>
              <w:rPr>
                <w:rFonts w:hint="eastAsia"/>
                <w:b w:val="0"/>
                <w:bCs/>
                <w:color w:val="auto"/>
                <w:kern w:val="24"/>
                <w:sz w:val="24"/>
                <w:szCs w:val="24"/>
                <w:lang w:val="en-US" w:eastAsia="zh-CN"/>
              </w:rPr>
              <w:t>动植物油 30%。</w:t>
            </w:r>
          </w:p>
          <w:p w14:paraId="4735B9B1">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u w:val="none"/>
              </w:rPr>
            </w:pPr>
            <w:r>
              <w:rPr>
                <w:rFonts w:hint="default" w:ascii="Times New Roman" w:hAnsi="Times New Roman" w:cs="Times New Roman"/>
                <w:color w:val="auto"/>
                <w:sz w:val="24"/>
                <w:szCs w:val="20"/>
                <w:highlight w:val="none"/>
              </w:rPr>
              <w:t>④</w:t>
            </w:r>
            <w:r>
              <w:rPr>
                <w:rFonts w:hint="eastAsia" w:ascii="宋体" w:hAnsi="宋体" w:cs="Times New Roman" w:eastAsiaTheme="majorEastAsia"/>
                <w:color w:val="auto"/>
                <w:kern w:val="24"/>
                <w:sz w:val="24"/>
                <w:szCs w:val="24"/>
                <w:lang w:val="en-US" w:eastAsia="zh-CN"/>
              </w:rPr>
              <w:t>混凝沉淀池：</w:t>
            </w:r>
            <w:r>
              <w:rPr>
                <w:rFonts w:hint="default" w:ascii="Times New Roman" w:hAnsi="Times New Roman" w:cs="Times New Roman" w:eastAsiaTheme="majorEastAsia"/>
                <w:color w:val="auto"/>
                <w:kern w:val="24"/>
                <w:sz w:val="24"/>
                <w:szCs w:val="24"/>
                <w:lang w:val="en-US" w:eastAsia="zh-CN"/>
              </w:rPr>
              <w:t>混凝过程是</w:t>
            </w:r>
            <w:r>
              <w:rPr>
                <w:rFonts w:hint="default" w:ascii="Times New Roman" w:hAnsi="Times New Roman" w:cs="Times New Roman" w:eastAsiaTheme="majorEastAsia"/>
                <w:color w:val="auto"/>
                <w:kern w:val="24"/>
                <w:sz w:val="24"/>
                <w:szCs w:val="24"/>
                <w:lang w:val="en-US" w:eastAsia="zh-CN"/>
              </w:rPr>
              <w:fldChar w:fldCharType="begin"/>
            </w:r>
            <w:r>
              <w:rPr>
                <w:rFonts w:hint="default" w:ascii="Times New Roman" w:hAnsi="Times New Roman" w:cs="Times New Roman" w:eastAsiaTheme="majorEastAsia"/>
                <w:color w:val="auto"/>
                <w:kern w:val="24"/>
                <w:sz w:val="24"/>
                <w:szCs w:val="24"/>
                <w:lang w:val="en-US" w:eastAsia="zh-CN"/>
              </w:rPr>
              <w:instrText xml:space="preserve"> HYPERLINK "https://baike.baidu.com/item/%E5%B7%A5%E4%B8%9A%E7%94%A8%E6%B0%B4/5240918?fromModule=lemma_inlink" \t "https://baike.baidu.com/item/%E6%B7%B7%E5%87%9D%E6%B2%89%E6%B7%80%E6%B1%A0/_blank" </w:instrText>
            </w:r>
            <w:r>
              <w:rPr>
                <w:rFonts w:hint="default" w:ascii="Times New Roman" w:hAnsi="Times New Roman" w:cs="Times New Roman" w:eastAsiaTheme="majorEastAsia"/>
                <w:color w:val="auto"/>
                <w:kern w:val="24"/>
                <w:sz w:val="24"/>
                <w:szCs w:val="24"/>
                <w:lang w:val="en-US" w:eastAsia="zh-CN"/>
              </w:rPr>
              <w:fldChar w:fldCharType="separate"/>
            </w:r>
            <w:r>
              <w:rPr>
                <w:rFonts w:hint="default" w:ascii="Times New Roman" w:hAnsi="Times New Roman" w:cs="Times New Roman" w:eastAsiaTheme="majorEastAsia"/>
                <w:color w:val="auto"/>
                <w:kern w:val="24"/>
                <w:sz w:val="24"/>
                <w:szCs w:val="24"/>
                <w:lang w:val="en-US" w:eastAsia="zh-CN"/>
              </w:rPr>
              <w:t>工业用水</w:t>
            </w:r>
            <w:r>
              <w:rPr>
                <w:rFonts w:hint="default" w:ascii="Times New Roman" w:hAnsi="Times New Roman" w:cs="Times New Roman" w:eastAsiaTheme="majorEastAsia"/>
                <w:color w:val="auto"/>
                <w:kern w:val="24"/>
                <w:sz w:val="24"/>
                <w:szCs w:val="24"/>
                <w:lang w:val="en-US" w:eastAsia="zh-CN"/>
              </w:rPr>
              <w:fldChar w:fldCharType="end"/>
            </w:r>
            <w:r>
              <w:rPr>
                <w:rFonts w:hint="default" w:ascii="Times New Roman" w:hAnsi="Times New Roman" w:cs="Times New Roman" w:eastAsiaTheme="majorEastAsia"/>
                <w:color w:val="auto"/>
                <w:kern w:val="24"/>
                <w:sz w:val="24"/>
                <w:szCs w:val="24"/>
                <w:lang w:val="en-US" w:eastAsia="zh-CN"/>
              </w:rPr>
              <w:t>和</w:t>
            </w:r>
            <w:r>
              <w:rPr>
                <w:rFonts w:hint="default" w:ascii="Times New Roman" w:hAnsi="Times New Roman" w:cs="Times New Roman" w:eastAsiaTheme="majorEastAsia"/>
                <w:color w:val="auto"/>
                <w:kern w:val="24"/>
                <w:sz w:val="24"/>
                <w:szCs w:val="24"/>
                <w:lang w:val="en-US" w:eastAsia="zh-CN"/>
              </w:rPr>
              <w:fldChar w:fldCharType="begin"/>
            </w:r>
            <w:r>
              <w:rPr>
                <w:rFonts w:hint="default" w:ascii="Times New Roman" w:hAnsi="Times New Roman" w:cs="Times New Roman" w:eastAsiaTheme="majorEastAsia"/>
                <w:color w:val="auto"/>
                <w:kern w:val="24"/>
                <w:sz w:val="24"/>
                <w:szCs w:val="24"/>
                <w:lang w:val="en-US" w:eastAsia="zh-CN"/>
              </w:rPr>
              <w:instrText xml:space="preserve"> HYPERLINK "https://baike.baidu.com/item/%E7%94%9F%E6%B4%BB%E6%B1%A1%E6%B0%B4%E5%A4%84%E7%90%86/9877214?fromModule=lemma_inlink" \t "https://baike.baidu.com/item/%E6%B7%B7%E5%87%9D%E6%B2%89%E6%B7%80%E6%B1%A0/_blank" </w:instrText>
            </w:r>
            <w:r>
              <w:rPr>
                <w:rFonts w:hint="default" w:ascii="Times New Roman" w:hAnsi="Times New Roman" w:cs="Times New Roman" w:eastAsiaTheme="majorEastAsia"/>
                <w:color w:val="auto"/>
                <w:kern w:val="24"/>
                <w:sz w:val="24"/>
                <w:szCs w:val="24"/>
                <w:lang w:val="en-US" w:eastAsia="zh-CN"/>
              </w:rPr>
              <w:fldChar w:fldCharType="separate"/>
            </w:r>
            <w:r>
              <w:rPr>
                <w:rFonts w:hint="default" w:ascii="Times New Roman" w:hAnsi="Times New Roman" w:cs="Times New Roman" w:eastAsiaTheme="majorEastAsia"/>
                <w:color w:val="auto"/>
                <w:kern w:val="24"/>
                <w:sz w:val="24"/>
                <w:szCs w:val="24"/>
                <w:lang w:val="en-US" w:eastAsia="zh-CN"/>
              </w:rPr>
              <w:t>生活污水处理</w:t>
            </w:r>
            <w:r>
              <w:rPr>
                <w:rFonts w:hint="default" w:ascii="Times New Roman" w:hAnsi="Times New Roman" w:cs="Times New Roman" w:eastAsiaTheme="majorEastAsia"/>
                <w:color w:val="auto"/>
                <w:kern w:val="24"/>
                <w:sz w:val="24"/>
                <w:szCs w:val="24"/>
                <w:lang w:val="en-US" w:eastAsia="zh-CN"/>
              </w:rPr>
              <w:fldChar w:fldCharType="end"/>
            </w:r>
            <w:r>
              <w:rPr>
                <w:rFonts w:hint="default" w:ascii="Times New Roman" w:hAnsi="Times New Roman" w:cs="Times New Roman" w:eastAsiaTheme="majorEastAsia"/>
                <w:color w:val="auto"/>
                <w:kern w:val="24"/>
                <w:sz w:val="24"/>
                <w:szCs w:val="24"/>
                <w:lang w:val="en-US" w:eastAsia="zh-CN"/>
              </w:rPr>
              <w:t>中最基本也是极为重要的</w:t>
            </w:r>
            <w:r>
              <w:rPr>
                <w:rFonts w:hint="default" w:ascii="Times New Roman" w:hAnsi="Times New Roman" w:cs="Times New Roman" w:eastAsiaTheme="majorEastAsia"/>
                <w:color w:val="auto"/>
                <w:kern w:val="24"/>
                <w:sz w:val="24"/>
                <w:szCs w:val="24"/>
                <w:lang w:val="en-US" w:eastAsia="zh-CN"/>
              </w:rPr>
              <w:fldChar w:fldCharType="begin"/>
            </w:r>
            <w:r>
              <w:rPr>
                <w:rFonts w:hint="default" w:ascii="Times New Roman" w:hAnsi="Times New Roman" w:cs="Times New Roman" w:eastAsiaTheme="majorEastAsia"/>
                <w:color w:val="auto"/>
                <w:kern w:val="24"/>
                <w:sz w:val="24"/>
                <w:szCs w:val="24"/>
                <w:lang w:val="en-US" w:eastAsia="zh-CN"/>
              </w:rPr>
              <w:instrText xml:space="preserve"> HYPERLINK "https://baike.baidu.com/item/%E5%A4%84%E7%90%86%E8%BF%87%E7%A8%8B/53549100?fromModule=lemma_inlink" \t "https://baike.baidu.com/item/%E6%B7%B7%E5%87%9D%E6%B2%89%E6%B7%80%E6%B1%A0/_blank" </w:instrText>
            </w:r>
            <w:r>
              <w:rPr>
                <w:rFonts w:hint="default" w:ascii="Times New Roman" w:hAnsi="Times New Roman" w:cs="Times New Roman" w:eastAsiaTheme="majorEastAsia"/>
                <w:color w:val="auto"/>
                <w:kern w:val="24"/>
                <w:sz w:val="24"/>
                <w:szCs w:val="24"/>
                <w:lang w:val="en-US" w:eastAsia="zh-CN"/>
              </w:rPr>
              <w:fldChar w:fldCharType="separate"/>
            </w:r>
            <w:r>
              <w:rPr>
                <w:rFonts w:hint="default" w:ascii="Times New Roman" w:hAnsi="Times New Roman" w:cs="Times New Roman" w:eastAsiaTheme="majorEastAsia"/>
                <w:color w:val="auto"/>
                <w:kern w:val="24"/>
                <w:sz w:val="24"/>
                <w:szCs w:val="24"/>
                <w:lang w:val="en-US" w:eastAsia="zh-CN"/>
              </w:rPr>
              <w:t>处理过程</w:t>
            </w:r>
            <w:r>
              <w:rPr>
                <w:rFonts w:hint="default" w:ascii="Times New Roman" w:hAnsi="Times New Roman" w:cs="Times New Roman" w:eastAsiaTheme="majorEastAsia"/>
                <w:color w:val="auto"/>
                <w:kern w:val="24"/>
                <w:sz w:val="24"/>
                <w:szCs w:val="24"/>
                <w:lang w:val="en-US" w:eastAsia="zh-CN"/>
              </w:rPr>
              <w:fldChar w:fldCharType="end"/>
            </w:r>
            <w:r>
              <w:rPr>
                <w:rFonts w:hint="default" w:ascii="Times New Roman" w:hAnsi="Times New Roman" w:cs="Times New Roman" w:eastAsiaTheme="majorEastAsia"/>
                <w:color w:val="auto"/>
                <w:kern w:val="24"/>
                <w:sz w:val="24"/>
                <w:szCs w:val="24"/>
                <w:lang w:val="en-US" w:eastAsia="zh-CN"/>
              </w:rPr>
              <w:t>，通过向水中投加一些药剂（通常称为</w:t>
            </w:r>
            <w:r>
              <w:rPr>
                <w:rFonts w:hint="default" w:ascii="Times New Roman" w:hAnsi="Times New Roman" w:cs="Times New Roman" w:eastAsiaTheme="majorEastAsia"/>
                <w:color w:val="auto"/>
                <w:kern w:val="24"/>
                <w:sz w:val="24"/>
                <w:szCs w:val="24"/>
                <w:lang w:val="en-US" w:eastAsia="zh-CN"/>
              </w:rPr>
              <w:fldChar w:fldCharType="begin"/>
            </w:r>
            <w:r>
              <w:rPr>
                <w:rFonts w:hint="default" w:ascii="Times New Roman" w:hAnsi="Times New Roman" w:cs="Times New Roman" w:eastAsiaTheme="majorEastAsia"/>
                <w:color w:val="auto"/>
                <w:kern w:val="24"/>
                <w:sz w:val="24"/>
                <w:szCs w:val="24"/>
                <w:lang w:val="en-US" w:eastAsia="zh-CN"/>
              </w:rPr>
              <w:instrText xml:space="preserve"> HYPERLINK "https://baike.baidu.com/item/%E6%B7%B7%E5%87%9D%E5%89%82/7833766?fromModule=lemma_inlink" \t "https://baike.baidu.com/item/%E6%B7%B7%E5%87%9D%E6%B2%89%E6%B7%80%E6%B1%A0/_blank" </w:instrText>
            </w:r>
            <w:r>
              <w:rPr>
                <w:rFonts w:hint="default" w:ascii="Times New Roman" w:hAnsi="Times New Roman" w:cs="Times New Roman" w:eastAsiaTheme="majorEastAsia"/>
                <w:color w:val="auto"/>
                <w:kern w:val="24"/>
                <w:sz w:val="24"/>
                <w:szCs w:val="24"/>
                <w:lang w:val="en-US" w:eastAsia="zh-CN"/>
              </w:rPr>
              <w:fldChar w:fldCharType="separate"/>
            </w:r>
            <w:r>
              <w:rPr>
                <w:rFonts w:hint="default" w:ascii="Times New Roman" w:hAnsi="Times New Roman" w:cs="Times New Roman" w:eastAsiaTheme="majorEastAsia"/>
                <w:color w:val="auto"/>
                <w:kern w:val="24"/>
                <w:sz w:val="24"/>
                <w:szCs w:val="24"/>
                <w:lang w:val="en-US" w:eastAsia="zh-CN"/>
              </w:rPr>
              <w:t>混凝剂</w:t>
            </w:r>
            <w:r>
              <w:rPr>
                <w:rFonts w:hint="default" w:ascii="Times New Roman" w:hAnsi="Times New Roman" w:cs="Times New Roman" w:eastAsiaTheme="majorEastAsia"/>
                <w:color w:val="auto"/>
                <w:kern w:val="24"/>
                <w:sz w:val="24"/>
                <w:szCs w:val="24"/>
                <w:lang w:val="en-US" w:eastAsia="zh-CN"/>
              </w:rPr>
              <w:fldChar w:fldCharType="end"/>
            </w:r>
            <w:r>
              <w:rPr>
                <w:rFonts w:hint="default" w:ascii="Times New Roman" w:hAnsi="Times New Roman" w:cs="Times New Roman" w:eastAsiaTheme="majorEastAsia"/>
                <w:color w:val="auto"/>
                <w:kern w:val="24"/>
                <w:sz w:val="24"/>
                <w:szCs w:val="24"/>
                <w:lang w:val="en-US" w:eastAsia="zh-CN"/>
              </w:rPr>
              <w:t>PAC），使水中难以沉淀的颗粒能互相聚合而形成胶体，然后与水体中的杂质结合形成更大的</w:t>
            </w:r>
            <w:r>
              <w:rPr>
                <w:rFonts w:hint="default" w:ascii="Times New Roman" w:hAnsi="Times New Roman" w:cs="Times New Roman" w:eastAsiaTheme="majorEastAsia"/>
                <w:color w:val="auto"/>
                <w:kern w:val="24"/>
                <w:sz w:val="24"/>
                <w:szCs w:val="24"/>
                <w:lang w:val="en-US" w:eastAsia="zh-CN"/>
              </w:rPr>
              <w:fldChar w:fldCharType="begin"/>
            </w:r>
            <w:r>
              <w:rPr>
                <w:rFonts w:hint="default" w:ascii="Times New Roman" w:hAnsi="Times New Roman" w:cs="Times New Roman" w:eastAsiaTheme="majorEastAsia"/>
                <w:color w:val="auto"/>
                <w:kern w:val="24"/>
                <w:sz w:val="24"/>
                <w:szCs w:val="24"/>
                <w:lang w:val="en-US" w:eastAsia="zh-CN"/>
              </w:rPr>
              <w:instrText xml:space="preserve"> HYPERLINK "https://baike.baidu.com/item/%E7%B5%AE%E5%87%9D%E4%BD%93/12731051?fromModule=lemma_inlink" \t "https://baike.baidu.com/item/%E6%B7%B7%E5%87%9D%E6%B2%89%E6%B7%80%E6%B1%A0/_blank" </w:instrText>
            </w:r>
            <w:r>
              <w:rPr>
                <w:rFonts w:hint="default" w:ascii="Times New Roman" w:hAnsi="Times New Roman" w:cs="Times New Roman" w:eastAsiaTheme="majorEastAsia"/>
                <w:color w:val="auto"/>
                <w:kern w:val="24"/>
                <w:sz w:val="24"/>
                <w:szCs w:val="24"/>
                <w:lang w:val="en-US" w:eastAsia="zh-CN"/>
              </w:rPr>
              <w:fldChar w:fldCharType="separate"/>
            </w:r>
            <w:r>
              <w:rPr>
                <w:rFonts w:hint="default" w:ascii="Times New Roman" w:hAnsi="Times New Roman" w:cs="Times New Roman" w:eastAsiaTheme="majorEastAsia"/>
                <w:color w:val="auto"/>
                <w:kern w:val="24"/>
                <w:sz w:val="24"/>
                <w:szCs w:val="24"/>
                <w:lang w:val="en-US" w:eastAsia="zh-CN"/>
              </w:rPr>
              <w:t>絮凝体</w:t>
            </w:r>
            <w:r>
              <w:rPr>
                <w:rFonts w:hint="default" w:ascii="Times New Roman" w:hAnsi="Times New Roman" w:cs="Times New Roman" w:eastAsiaTheme="majorEastAsia"/>
                <w:color w:val="auto"/>
                <w:kern w:val="24"/>
                <w:sz w:val="24"/>
                <w:szCs w:val="24"/>
                <w:lang w:val="en-US" w:eastAsia="zh-CN"/>
              </w:rPr>
              <w:fldChar w:fldCharType="end"/>
            </w:r>
            <w:r>
              <w:rPr>
                <w:rFonts w:hint="default" w:ascii="Times New Roman" w:hAnsi="Times New Roman" w:cs="Times New Roman" w:eastAsiaTheme="majorEastAsia"/>
                <w:color w:val="auto"/>
                <w:kern w:val="24"/>
                <w:sz w:val="24"/>
                <w:szCs w:val="24"/>
                <w:lang w:val="en-US" w:eastAsia="zh-CN"/>
              </w:rPr>
              <w:t>。絮凝体具有强大吸附力，不仅能吸附</w:t>
            </w:r>
            <w:r>
              <w:rPr>
                <w:rFonts w:hint="default" w:ascii="Times New Roman" w:hAnsi="Times New Roman" w:cs="Times New Roman" w:eastAsiaTheme="majorEastAsia"/>
                <w:color w:val="auto"/>
                <w:kern w:val="24"/>
                <w:sz w:val="24"/>
                <w:szCs w:val="24"/>
                <w:lang w:val="en-US" w:eastAsia="zh-CN"/>
              </w:rPr>
              <w:fldChar w:fldCharType="begin"/>
            </w:r>
            <w:r>
              <w:rPr>
                <w:rFonts w:hint="default" w:ascii="Times New Roman" w:hAnsi="Times New Roman" w:cs="Times New Roman" w:eastAsiaTheme="majorEastAsia"/>
                <w:color w:val="auto"/>
                <w:kern w:val="24"/>
                <w:sz w:val="24"/>
                <w:szCs w:val="24"/>
                <w:lang w:val="en-US" w:eastAsia="zh-CN"/>
              </w:rPr>
              <w:instrText xml:space="preserve"> HYPERLINK "https://baike.baidu.com/item/%E6%82%AC%E6%B5%AE%E7%89%A9/7679918?fromModule=lemma_inlink" \t "https://baike.baidu.com/item/%E6%B7%B7%E5%87%9D%E6%B2%89%E6%B7%80%E6%B1%A0/_blank" </w:instrText>
            </w:r>
            <w:r>
              <w:rPr>
                <w:rFonts w:hint="default" w:ascii="Times New Roman" w:hAnsi="Times New Roman" w:cs="Times New Roman" w:eastAsiaTheme="majorEastAsia"/>
                <w:color w:val="auto"/>
                <w:kern w:val="24"/>
                <w:sz w:val="24"/>
                <w:szCs w:val="24"/>
                <w:lang w:val="en-US" w:eastAsia="zh-CN"/>
              </w:rPr>
              <w:fldChar w:fldCharType="separate"/>
            </w:r>
            <w:r>
              <w:rPr>
                <w:rFonts w:hint="default" w:ascii="Times New Roman" w:hAnsi="Times New Roman" w:cs="Times New Roman" w:eastAsiaTheme="majorEastAsia"/>
                <w:color w:val="auto"/>
                <w:kern w:val="24"/>
                <w:sz w:val="24"/>
                <w:szCs w:val="24"/>
                <w:lang w:val="en-US" w:eastAsia="zh-CN"/>
              </w:rPr>
              <w:t>悬浮物</w:t>
            </w:r>
            <w:r>
              <w:rPr>
                <w:rFonts w:hint="default" w:ascii="Times New Roman" w:hAnsi="Times New Roman" w:cs="Times New Roman" w:eastAsiaTheme="majorEastAsia"/>
                <w:color w:val="auto"/>
                <w:kern w:val="24"/>
                <w:sz w:val="24"/>
                <w:szCs w:val="24"/>
                <w:lang w:val="en-US" w:eastAsia="zh-CN"/>
              </w:rPr>
              <w:fldChar w:fldCharType="end"/>
            </w:r>
            <w:r>
              <w:rPr>
                <w:rFonts w:hint="default" w:ascii="Times New Roman" w:hAnsi="Times New Roman" w:cs="Times New Roman" w:eastAsiaTheme="majorEastAsia"/>
                <w:color w:val="auto"/>
                <w:kern w:val="24"/>
                <w:sz w:val="24"/>
                <w:szCs w:val="24"/>
                <w:lang w:val="en-US" w:eastAsia="zh-CN"/>
              </w:rPr>
              <w:t>，还能吸附部分细菌和</w:t>
            </w:r>
            <w:r>
              <w:rPr>
                <w:rFonts w:hint="default" w:ascii="Times New Roman" w:hAnsi="Times New Roman" w:cs="Times New Roman" w:eastAsiaTheme="majorEastAsia"/>
                <w:color w:val="auto"/>
                <w:kern w:val="24"/>
                <w:sz w:val="24"/>
                <w:szCs w:val="24"/>
                <w:lang w:val="en-US" w:eastAsia="zh-CN"/>
              </w:rPr>
              <w:fldChar w:fldCharType="begin"/>
            </w:r>
            <w:r>
              <w:rPr>
                <w:rFonts w:hint="default" w:ascii="Times New Roman" w:hAnsi="Times New Roman" w:cs="Times New Roman" w:eastAsiaTheme="majorEastAsia"/>
                <w:color w:val="auto"/>
                <w:kern w:val="24"/>
                <w:sz w:val="24"/>
                <w:szCs w:val="24"/>
                <w:lang w:val="en-US" w:eastAsia="zh-CN"/>
              </w:rPr>
              <w:instrText xml:space="preserve"> HYPERLINK "https://baike.baidu.com/item/%E6%BA%B6%E8%A7%A3%E6%80%A7/1134279?fromModule=lemma_inlink" \t "https://baike.baidu.com/item/%E6%B7%B7%E5%87%9D%E6%B2%89%E6%B7%80%E6%B1%A0/_blank" </w:instrText>
            </w:r>
            <w:r>
              <w:rPr>
                <w:rFonts w:hint="default" w:ascii="Times New Roman" w:hAnsi="Times New Roman" w:cs="Times New Roman" w:eastAsiaTheme="majorEastAsia"/>
                <w:color w:val="auto"/>
                <w:kern w:val="24"/>
                <w:sz w:val="24"/>
                <w:szCs w:val="24"/>
                <w:lang w:val="en-US" w:eastAsia="zh-CN"/>
              </w:rPr>
              <w:fldChar w:fldCharType="separate"/>
            </w:r>
            <w:r>
              <w:rPr>
                <w:rFonts w:hint="default" w:ascii="Times New Roman" w:hAnsi="Times New Roman" w:cs="Times New Roman" w:eastAsiaTheme="majorEastAsia"/>
                <w:color w:val="auto"/>
                <w:kern w:val="24"/>
                <w:sz w:val="24"/>
                <w:szCs w:val="24"/>
                <w:lang w:val="en-US" w:eastAsia="zh-CN"/>
              </w:rPr>
              <w:t>溶解性</w:t>
            </w:r>
            <w:r>
              <w:rPr>
                <w:rFonts w:hint="default" w:ascii="Times New Roman" w:hAnsi="Times New Roman" w:cs="Times New Roman" w:eastAsiaTheme="majorEastAsia"/>
                <w:color w:val="auto"/>
                <w:kern w:val="24"/>
                <w:sz w:val="24"/>
                <w:szCs w:val="24"/>
                <w:lang w:val="en-US" w:eastAsia="zh-CN"/>
              </w:rPr>
              <w:fldChar w:fldCharType="end"/>
            </w:r>
            <w:r>
              <w:rPr>
                <w:rFonts w:hint="default" w:ascii="Times New Roman" w:hAnsi="Times New Roman" w:cs="Times New Roman" w:eastAsiaTheme="majorEastAsia"/>
                <w:color w:val="auto"/>
                <w:kern w:val="24"/>
                <w:sz w:val="24"/>
                <w:szCs w:val="24"/>
                <w:lang w:val="en-US" w:eastAsia="zh-CN"/>
              </w:rPr>
              <w:t>物质。絮凝体通过吸附，体积增大而下沉</w:t>
            </w:r>
            <w:r>
              <w:rPr>
                <w:rFonts w:hint="eastAsia" w:ascii="Times New Roman" w:hAnsi="Times New Roman" w:cs="Times New Roman" w:eastAsiaTheme="majorEastAsia"/>
                <w:color w:val="auto"/>
                <w:kern w:val="24"/>
                <w:sz w:val="24"/>
                <w:szCs w:val="24"/>
                <w:lang w:val="en-US" w:eastAsia="zh-CN"/>
              </w:rPr>
              <w:t>，</w:t>
            </w:r>
            <w:r>
              <w:rPr>
                <w:rFonts w:hint="eastAsia" w:ascii="宋体" w:hAnsi="宋体" w:eastAsia="宋体" w:cs="宋体"/>
                <w:i w:val="0"/>
                <w:iCs w:val="0"/>
                <w:caps w:val="0"/>
                <w:color w:val="auto"/>
                <w:spacing w:val="0"/>
                <w:sz w:val="24"/>
                <w:szCs w:val="24"/>
                <w:u w:val="none"/>
              </w:rPr>
              <w:t>形成污泥，清澈的水则从上方流出。</w:t>
            </w:r>
          </w:p>
          <w:p w14:paraId="7FEB3BC4">
            <w:pPr>
              <w:spacing w:line="360" w:lineRule="auto"/>
              <w:ind w:firstLine="480" w:firstLineChars="200"/>
              <w:rPr>
                <w:rFonts w:hint="default"/>
                <w:b w:val="0"/>
                <w:bCs/>
                <w:color w:val="auto"/>
                <w:kern w:val="24"/>
                <w:sz w:val="24"/>
                <w:szCs w:val="24"/>
                <w:lang w:val="en-US" w:eastAsia="zh-CN"/>
              </w:rPr>
            </w:pPr>
            <w:r>
              <w:rPr>
                <w:rFonts w:hint="eastAsia"/>
                <w:b w:val="0"/>
                <w:bCs/>
                <w:color w:val="auto"/>
                <w:kern w:val="24"/>
                <w:sz w:val="24"/>
                <w:szCs w:val="24"/>
                <w:lang w:val="en-US" w:eastAsia="zh-CN"/>
              </w:rPr>
              <w:t>混凝沉淀池对各种污染物的去除效率为：CODcr 10%、BOD</w:t>
            </w:r>
            <w:r>
              <w:rPr>
                <w:rFonts w:hint="eastAsia"/>
                <w:b w:val="0"/>
                <w:bCs/>
                <w:color w:val="auto"/>
                <w:kern w:val="24"/>
                <w:sz w:val="24"/>
                <w:szCs w:val="24"/>
                <w:vertAlign w:val="subscript"/>
                <w:lang w:val="en-US" w:eastAsia="zh-CN"/>
              </w:rPr>
              <w:t>5</w:t>
            </w:r>
            <w:r>
              <w:rPr>
                <w:rFonts w:hint="eastAsia"/>
                <w:b w:val="0"/>
                <w:bCs/>
                <w:color w:val="auto"/>
                <w:kern w:val="24"/>
                <w:sz w:val="24"/>
                <w:szCs w:val="24"/>
                <w:lang w:val="en-US" w:eastAsia="zh-CN"/>
              </w:rPr>
              <w:t xml:space="preserve"> 10%、SS：85%、动植物油 20%。</w:t>
            </w:r>
          </w:p>
          <w:p w14:paraId="234178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jc w:val="both"/>
              <w:textAlignment w:val="auto"/>
              <w:rPr>
                <w:rFonts w:hint="default"/>
                <w:color w:val="auto"/>
                <w:lang w:val="en-US"/>
              </w:rPr>
            </w:pPr>
            <w:r>
              <w:rPr>
                <w:rFonts w:hint="eastAsia" w:cs="Times New Roman"/>
                <w:b/>
                <w:bCs w:val="0"/>
                <w:color w:val="auto"/>
                <w:sz w:val="24"/>
                <w:szCs w:val="24"/>
                <w:highlight w:val="none"/>
                <w:lang w:val="en-US" w:eastAsia="zh-CN"/>
              </w:rPr>
              <w:t>（2</w:t>
            </w:r>
            <w:r>
              <w:rPr>
                <w:rFonts w:hint="eastAsia"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污水处理工艺可行性分析</w:t>
            </w:r>
          </w:p>
          <w:p w14:paraId="224D92D2">
            <w:pPr>
              <w:autoSpaceDE w:val="0"/>
              <w:autoSpaceDN w:val="0"/>
              <w:spacing w:line="360" w:lineRule="auto"/>
              <w:ind w:firstLine="480"/>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根据《排污许可证申请与核发技术规范 食品制造工业—方便食品、食品及饲料添加剂制造工业》（</w:t>
            </w:r>
            <w:r>
              <w:rPr>
                <w:rFonts w:hint="default" w:ascii="Times New Roman" w:hAnsi="Times New Roman" w:eastAsia="宋体" w:cs="Times New Roman"/>
                <w:color w:val="auto"/>
                <w:sz w:val="24"/>
                <w:szCs w:val="24"/>
                <w:highlight w:val="none"/>
                <w:lang w:val="en-US" w:eastAsia="zh-CN"/>
              </w:rPr>
              <w:t>HJ1030.3-2019</w:t>
            </w:r>
            <w:r>
              <w:rPr>
                <w:rFonts w:hint="eastAsia" w:ascii="Times New Roman" w:hAnsi="Times New Roman" w:eastAsia="宋体" w:cs="Times New Roman"/>
                <w:color w:val="auto"/>
                <w:sz w:val="24"/>
                <w:szCs w:val="24"/>
                <w:highlight w:val="none"/>
                <w:lang w:val="en-US" w:eastAsia="zh-CN"/>
              </w:rPr>
              <w:t xml:space="preserve">）附录 </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，方便食品制造工业排污单位废水污染防治可行技术参考表</w:t>
            </w:r>
            <w:r>
              <w:rPr>
                <w:rFonts w:hint="eastAsia" w:eastAsia="宋体" w:cs="Times New Roman"/>
                <w:color w:val="auto"/>
                <w:sz w:val="24"/>
                <w:szCs w:val="24"/>
                <w:highlight w:val="none"/>
                <w:lang w:val="en-US" w:eastAsia="zh-CN"/>
              </w:rPr>
              <w:t>内容，</w:t>
            </w:r>
            <w:r>
              <w:rPr>
                <w:rFonts w:hint="eastAsia" w:cs="Times New Roman"/>
                <w:color w:val="auto"/>
                <w:sz w:val="24"/>
                <w:szCs w:val="24"/>
                <w:highlight w:val="none"/>
                <w:lang w:val="en-US" w:eastAsia="zh-CN"/>
              </w:rPr>
              <w:t>其中厂内综合污水处理站的综合污水（生产废水和生活污水等）可行技术为：</w:t>
            </w:r>
          </w:p>
          <w:p w14:paraId="7714963F">
            <w:pPr>
              <w:autoSpaceDE w:val="0"/>
              <w:autoSpaceDN w:val="0"/>
              <w:spacing w:line="360" w:lineRule="auto"/>
              <w:ind w:firstLine="48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1）预处理：粗（细）格栅；竖流或辐流式沉淀；混凝沉淀；气浮</w:t>
            </w:r>
          </w:p>
          <w:p w14:paraId="394003AB">
            <w:pPr>
              <w:autoSpaceDE w:val="0"/>
              <w:autoSpaceDN w:val="0"/>
              <w:spacing w:line="360" w:lineRule="auto"/>
              <w:ind w:firstLine="48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生化处理：升流式厌氧污泥床（UASB）；IC反应器或水解酸化技术；厌氧滤池（AF）；活性污泥法；氧化沟及其各类改型工艺；生物接触氧化法；序批式活性污泥法（SBR）；缺氧-好氧活性污泥法（A/O）法；厌氧-缺氧-好氧活性污泥法（A</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/O）法。</w:t>
            </w:r>
          </w:p>
          <w:p w14:paraId="6883DD8F">
            <w:pPr>
              <w:autoSpaceDE w:val="0"/>
              <w:autoSpaceDN w:val="0"/>
              <w:spacing w:line="360" w:lineRule="auto"/>
              <w:ind w:firstLine="480"/>
              <w:rPr>
                <w:rFonts w:hint="eastAsia"/>
                <w:b/>
                <w:bCs w:val="0"/>
                <w:color w:val="auto"/>
                <w:kern w:val="24"/>
                <w:sz w:val="24"/>
                <w:szCs w:val="24"/>
                <w:lang w:val="en-US" w:eastAsia="zh-CN"/>
              </w:rPr>
            </w:pP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ascii="Times New Roman" w:hAnsi="Times New Roman" w:eastAsia="宋体" w:cs="Times New Roman"/>
                <w:b w:val="0"/>
                <w:bCs/>
                <w:color w:val="auto"/>
                <w:kern w:val="2"/>
                <w:sz w:val="24"/>
                <w:szCs w:val="24"/>
                <w:lang w:val="en-US" w:eastAsia="zh-CN" w:bidi="ar-SA"/>
              </w:rPr>
              <w:t>生活污水经化粪池处理后和生产废水</w:t>
            </w:r>
            <w:r>
              <w:rPr>
                <w:rFonts w:hint="eastAsia" w:cs="Times New Roman"/>
                <w:color w:val="000000"/>
                <w:kern w:val="0"/>
                <w:sz w:val="24"/>
                <w:szCs w:val="24"/>
                <w:lang w:val="en-US" w:eastAsia="zh-CN" w:bidi="ar"/>
              </w:rPr>
              <w:t>一起</w:t>
            </w:r>
            <w:r>
              <w:rPr>
                <w:rFonts w:hint="default" w:ascii="Times New Roman" w:hAnsi="Times New Roman" w:eastAsia="宋体" w:cs="Times New Roman"/>
                <w:color w:val="000000"/>
                <w:kern w:val="0"/>
                <w:sz w:val="24"/>
                <w:szCs w:val="24"/>
                <w:lang w:val="en-US" w:eastAsia="zh-CN" w:bidi="ar"/>
              </w:rPr>
              <w:t>进入自建污水处理站处理</w:t>
            </w:r>
            <w:r>
              <w:rPr>
                <w:rFonts w:hint="eastAsia" w:eastAsia="宋体" w:cs="Times New Roman"/>
                <w:color w:val="000000"/>
                <w:kern w:val="0"/>
                <w:sz w:val="24"/>
                <w:szCs w:val="24"/>
                <w:lang w:val="en-US" w:eastAsia="zh-CN" w:bidi="ar"/>
              </w:rPr>
              <w:t>，污水处理站工艺为</w:t>
            </w:r>
            <w:r>
              <w:rPr>
                <w:rFonts w:hint="default" w:ascii="Times New Roman" w:hAnsi="Times New Roman" w:eastAsia="宋体" w:cs="Times New Roman"/>
                <w:color w:val="auto"/>
                <w:sz w:val="24"/>
                <w:highlight w:val="none"/>
                <w:lang w:val="en-US" w:eastAsia="zh-CN"/>
              </w:rPr>
              <w:t>格栅-隔油池-调节池-A/O工艺</w:t>
            </w:r>
            <w:r>
              <w:rPr>
                <w:rFonts w:hint="eastAsia" w:ascii="Times New Roman" w:hAnsi="Times New Roman" w:eastAsia="宋体" w:cs="Times New Roman"/>
                <w:color w:val="auto"/>
                <w:sz w:val="24"/>
                <w:highlight w:val="none"/>
                <w:lang w:val="en-US" w:eastAsia="zh-CN"/>
              </w:rPr>
              <w:t>一体化设备-混凝沉淀池。</w:t>
            </w:r>
            <w:r>
              <w:rPr>
                <w:rFonts w:hint="eastAsia" w:eastAsia="宋体" w:cs="Times New Roman"/>
                <w:color w:val="auto"/>
                <w:sz w:val="24"/>
                <w:highlight w:val="none"/>
                <w:lang w:val="en-US" w:eastAsia="zh-CN"/>
              </w:rPr>
              <w:t>其中格栅和混凝沉淀属于预处理工艺技术，</w:t>
            </w:r>
            <w:r>
              <w:rPr>
                <w:rFonts w:hint="default" w:ascii="Times New Roman" w:hAnsi="Times New Roman" w:eastAsia="宋体" w:cs="Times New Roman"/>
                <w:color w:val="auto"/>
                <w:sz w:val="24"/>
                <w:highlight w:val="none"/>
                <w:lang w:val="en-US" w:eastAsia="zh-CN"/>
              </w:rPr>
              <w:t>A/O工艺</w:t>
            </w:r>
            <w:r>
              <w:rPr>
                <w:rFonts w:hint="eastAsia" w:ascii="Times New Roman" w:hAnsi="Times New Roman" w:eastAsia="宋体" w:cs="Times New Roman"/>
                <w:color w:val="auto"/>
                <w:sz w:val="24"/>
                <w:highlight w:val="none"/>
                <w:lang w:val="en-US" w:eastAsia="zh-CN"/>
              </w:rPr>
              <w:t>一体化设备</w:t>
            </w:r>
            <w:r>
              <w:rPr>
                <w:rFonts w:hint="eastAsia" w:eastAsia="宋体" w:cs="Times New Roman"/>
                <w:color w:val="auto"/>
                <w:sz w:val="24"/>
                <w:highlight w:val="none"/>
                <w:lang w:val="en-US" w:eastAsia="zh-CN"/>
              </w:rPr>
              <w:t>属于生化处理工艺，</w:t>
            </w:r>
            <w:r>
              <w:rPr>
                <w:rFonts w:hint="eastAsia" w:ascii="Times New Roman" w:hAnsi="Times New Roman" w:eastAsia="宋体" w:cs="Times New Roman"/>
                <w:color w:val="auto"/>
                <w:sz w:val="24"/>
                <w:szCs w:val="24"/>
                <w:highlight w:val="none"/>
                <w:lang w:val="en-US" w:eastAsia="zh-CN"/>
              </w:rPr>
              <w:t>都属于《排污许可证申请与核发技术规范 食品制造工业—方便食品、食品及饲料添加剂制造工业》（</w:t>
            </w:r>
            <w:r>
              <w:rPr>
                <w:rFonts w:hint="default" w:ascii="Times New Roman" w:hAnsi="Times New Roman" w:eastAsia="宋体" w:cs="Times New Roman"/>
                <w:color w:val="auto"/>
                <w:sz w:val="24"/>
                <w:szCs w:val="24"/>
                <w:highlight w:val="none"/>
                <w:lang w:val="en-US" w:eastAsia="zh-CN"/>
              </w:rPr>
              <w:t>HJ1030.3-2019</w:t>
            </w:r>
            <w:r>
              <w:rPr>
                <w:rFonts w:hint="eastAsia" w:ascii="Times New Roman" w:hAnsi="Times New Roman" w:eastAsia="宋体" w:cs="Times New Roman"/>
                <w:color w:val="auto"/>
                <w:sz w:val="24"/>
                <w:szCs w:val="24"/>
                <w:highlight w:val="none"/>
                <w:lang w:val="en-US" w:eastAsia="zh-CN"/>
              </w:rPr>
              <w:t xml:space="preserve">）附录 </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，方便食品制造工业排污单位废水污染防治</w:t>
            </w:r>
            <w:r>
              <w:rPr>
                <w:rFonts w:hint="eastAsia" w:eastAsia="宋体" w:cs="Times New Roman"/>
                <w:color w:val="auto"/>
                <w:sz w:val="24"/>
                <w:szCs w:val="24"/>
                <w:highlight w:val="none"/>
                <w:lang w:val="en-US" w:eastAsia="zh-CN"/>
              </w:rPr>
              <w:t>的</w:t>
            </w:r>
            <w:r>
              <w:rPr>
                <w:rFonts w:hint="eastAsia" w:ascii="Times New Roman" w:hAnsi="Times New Roman" w:eastAsia="宋体" w:cs="Times New Roman"/>
                <w:color w:val="auto"/>
                <w:sz w:val="24"/>
                <w:szCs w:val="24"/>
                <w:highlight w:val="none"/>
                <w:lang w:val="en-US" w:eastAsia="zh-CN"/>
              </w:rPr>
              <w:t>可行技术，所以项目生产废水处理工艺具有可行性。</w:t>
            </w:r>
          </w:p>
          <w:p w14:paraId="53EF336D">
            <w:pPr>
              <w:spacing w:line="360" w:lineRule="auto"/>
              <w:ind w:firstLine="482" w:firstLineChars="200"/>
              <w:rPr>
                <w:rFonts w:hint="eastAsia" w:cs="Times New Roman"/>
                <w:b/>
                <w:bCs w:val="0"/>
                <w:color w:val="auto"/>
                <w:kern w:val="2"/>
                <w:sz w:val="24"/>
                <w:szCs w:val="24"/>
                <w:highlight w:val="none"/>
                <w:lang w:val="en-US" w:eastAsia="zh-CN" w:bidi="ar-SA"/>
              </w:rPr>
            </w:pPr>
            <w:r>
              <w:rPr>
                <w:rFonts w:hint="eastAsia"/>
                <w:b/>
                <w:bCs w:val="0"/>
                <w:color w:val="auto"/>
                <w:kern w:val="24"/>
                <w:sz w:val="24"/>
                <w:szCs w:val="24"/>
                <w:lang w:val="en-US" w:eastAsia="zh-CN"/>
              </w:rPr>
              <w:t>5、</w:t>
            </w:r>
            <w:r>
              <w:rPr>
                <w:rFonts w:hint="default" w:ascii="Times New Roman" w:hAnsi="Times New Roman" w:eastAsia="宋体" w:cs="Times New Roman"/>
                <w:b/>
                <w:bCs w:val="0"/>
                <w:color w:val="000000"/>
                <w:kern w:val="0"/>
                <w:sz w:val="24"/>
                <w:szCs w:val="24"/>
                <w:lang w:val="en-US" w:eastAsia="zh-CN" w:bidi="ar"/>
              </w:rPr>
              <w:t>宁都县第二污水处理厂</w:t>
            </w:r>
            <w:r>
              <w:rPr>
                <w:rFonts w:hint="eastAsia" w:ascii="Times New Roman" w:hAnsi="Times New Roman" w:eastAsia="宋体" w:cs="Times New Roman"/>
                <w:b/>
                <w:bCs w:val="0"/>
                <w:color w:val="auto"/>
                <w:kern w:val="2"/>
                <w:sz w:val="24"/>
                <w:szCs w:val="24"/>
                <w:lang w:val="en-US" w:eastAsia="zh-CN" w:bidi="ar-SA"/>
              </w:rPr>
              <w:t>接管可行性</w:t>
            </w:r>
          </w:p>
          <w:p w14:paraId="58C339E0">
            <w:pPr>
              <w:autoSpaceDE w:val="0"/>
              <w:autoSpaceDN w:val="0"/>
              <w:spacing w:line="360" w:lineRule="auto"/>
              <w:ind w:firstLine="480"/>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宁都县第二污水处理厂位于江西省赣州市宁都工业园新中胜（新加坡）产业基地塘屋村南侧，吉安市科达环保科技有限公司于</w:t>
            </w:r>
            <w:r>
              <w:rPr>
                <w:rFonts w:hint="default" w:ascii="Times New Roman" w:hAnsi="Times New Roman" w:eastAsia="宋体" w:cs="Times New Roman"/>
                <w:color w:val="000000"/>
                <w:kern w:val="0"/>
                <w:sz w:val="24"/>
                <w:szCs w:val="24"/>
                <w:lang w:val="en-US" w:eastAsia="zh-CN" w:bidi="ar"/>
              </w:rPr>
              <w:t>2015</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月完成《宁都县供水公司宁都县第二污水处理厂近期工程项目环境影响报告书》（处理规模为</w:t>
            </w:r>
            <w:r>
              <w:rPr>
                <w:rFonts w:hint="default" w:ascii="Times New Roman" w:hAnsi="Times New Roman" w:eastAsia="宋体" w:cs="Times New Roman"/>
                <w:color w:val="000000"/>
                <w:kern w:val="0"/>
                <w:sz w:val="24"/>
                <w:szCs w:val="24"/>
                <w:lang w:val="en-US" w:eastAsia="zh-CN" w:bidi="ar"/>
              </w:rPr>
              <w:t xml:space="preserve">0.5 </w:t>
            </w:r>
            <w:r>
              <w:rPr>
                <w:rFonts w:hint="eastAsia" w:ascii="Times New Roman" w:hAnsi="Times New Roman" w:eastAsia="宋体" w:cs="Times New Roman"/>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）的编制，</w:t>
            </w:r>
            <w:r>
              <w:rPr>
                <w:rFonts w:hint="default" w:ascii="Times New Roman" w:hAnsi="Times New Roman" w:eastAsia="宋体" w:cs="Times New Roman"/>
                <w:color w:val="000000"/>
                <w:kern w:val="0"/>
                <w:sz w:val="24"/>
                <w:szCs w:val="24"/>
                <w:lang w:val="en-US" w:eastAsia="zh-CN" w:bidi="ar"/>
              </w:rPr>
              <w:t>2015</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12</w:t>
            </w:r>
            <w:r>
              <w:rPr>
                <w:rFonts w:hint="eastAsia" w:ascii="Times New Roman" w:hAnsi="Times New Roman" w:eastAsia="宋体" w:cs="Times New Roman"/>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15</w:t>
            </w:r>
            <w:r>
              <w:rPr>
                <w:rFonts w:hint="eastAsia" w:ascii="Times New Roman" w:hAnsi="Times New Roman" w:eastAsia="宋体" w:cs="Times New Roman"/>
                <w:color w:val="000000"/>
                <w:kern w:val="0"/>
                <w:sz w:val="24"/>
                <w:szCs w:val="24"/>
                <w:lang w:val="en-US" w:eastAsia="zh-CN" w:bidi="ar"/>
              </w:rPr>
              <w:t>日，赣州市环境保护局以赣市环审字</w:t>
            </w:r>
            <w:r>
              <w:rPr>
                <w:rFonts w:hint="default" w:ascii="Times New Roman" w:hAnsi="Times New Roman" w:eastAsia="宋体" w:cs="Times New Roman"/>
                <w:color w:val="000000"/>
                <w:kern w:val="0"/>
                <w:sz w:val="24"/>
                <w:szCs w:val="24"/>
                <w:lang w:val="en-US" w:eastAsia="zh-CN" w:bidi="ar"/>
              </w:rPr>
              <w:t xml:space="preserve">[2015]99 </w:t>
            </w:r>
            <w:r>
              <w:rPr>
                <w:rFonts w:hint="eastAsia" w:ascii="Times New Roman" w:hAnsi="Times New Roman" w:eastAsia="宋体" w:cs="Times New Roman"/>
                <w:color w:val="000000"/>
                <w:kern w:val="0"/>
                <w:sz w:val="24"/>
                <w:szCs w:val="24"/>
                <w:lang w:val="en-US" w:eastAsia="zh-CN" w:bidi="ar"/>
              </w:rPr>
              <w:t>号文对该项目进行了批复。宁都县供水公司于</w:t>
            </w:r>
            <w:r>
              <w:rPr>
                <w:rFonts w:hint="default" w:ascii="Times New Roman" w:hAnsi="Times New Roman" w:eastAsia="宋体" w:cs="Times New Roman"/>
                <w:color w:val="000000"/>
                <w:kern w:val="0"/>
                <w:sz w:val="24"/>
                <w:szCs w:val="24"/>
                <w:lang w:val="en-US" w:eastAsia="zh-CN" w:bidi="ar"/>
              </w:rPr>
              <w:t>2019</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29</w:t>
            </w:r>
            <w:r>
              <w:rPr>
                <w:rFonts w:hint="eastAsia" w:ascii="Times New Roman" w:hAnsi="Times New Roman" w:eastAsia="宋体" w:cs="Times New Roman"/>
                <w:color w:val="000000"/>
                <w:kern w:val="0"/>
                <w:sz w:val="24"/>
                <w:szCs w:val="24"/>
                <w:lang w:val="en-US" w:eastAsia="zh-CN" w:bidi="ar"/>
              </w:rPr>
              <w:t xml:space="preserve">日完成宁都县第二污水处理厂近期工程项目竣工环境保护验收。 </w:t>
            </w:r>
          </w:p>
          <w:p w14:paraId="2AF368F5">
            <w:pPr>
              <w:autoSpaceDE w:val="0"/>
              <w:autoSpaceDN w:val="0"/>
              <w:spacing w:line="360" w:lineRule="auto"/>
              <w:ind w:firstLine="48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目前已建成日处理污水</w:t>
            </w:r>
            <w:r>
              <w:rPr>
                <w:rFonts w:hint="default" w:ascii="Times New Roman" w:hAnsi="Times New Roman" w:eastAsia="宋体" w:cs="Times New Roman"/>
                <w:color w:val="000000"/>
                <w:kern w:val="0"/>
                <w:sz w:val="24"/>
                <w:szCs w:val="24"/>
                <w:lang w:val="en-US" w:eastAsia="zh-CN" w:bidi="ar"/>
              </w:rPr>
              <w:t>5000m</w:t>
            </w:r>
            <w:r>
              <w:rPr>
                <w:rFonts w:hint="eastAsia"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，污水收集管网建设</w:t>
            </w:r>
            <w:r>
              <w:rPr>
                <w:rFonts w:hint="default" w:ascii="Times New Roman" w:hAnsi="Times New Roman" w:eastAsia="宋体" w:cs="Times New Roman"/>
                <w:color w:val="000000"/>
                <w:kern w:val="0"/>
                <w:sz w:val="24"/>
                <w:szCs w:val="24"/>
                <w:lang w:val="en-US" w:eastAsia="zh-CN" w:bidi="ar"/>
              </w:rPr>
              <w:t>41.5</w:t>
            </w:r>
            <w:r>
              <w:rPr>
                <w:rFonts w:hint="eastAsia" w:ascii="Times New Roman" w:hAnsi="Times New Roman" w:eastAsia="宋体" w:cs="Times New Roman"/>
                <w:color w:val="000000"/>
                <w:kern w:val="0"/>
                <w:sz w:val="24"/>
                <w:szCs w:val="24"/>
                <w:lang w:val="en-US" w:eastAsia="zh-CN" w:bidi="ar"/>
              </w:rPr>
              <w:t>公里。废水处理工艺为混凝沉淀池</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水解酸化池</w:t>
            </w:r>
            <w:r>
              <w:rPr>
                <w:rFonts w:hint="default" w:ascii="Times New Roman" w:hAnsi="Times New Roman" w:eastAsia="宋体" w:cs="Times New Roman"/>
                <w:color w:val="000000"/>
                <w:kern w:val="0"/>
                <w:sz w:val="24"/>
                <w:szCs w:val="24"/>
                <w:lang w:val="en-US" w:eastAsia="zh-CN" w:bidi="ar"/>
              </w:rPr>
              <w:t xml:space="preserve">+ A/A/O </w:t>
            </w:r>
            <w:r>
              <w:rPr>
                <w:rFonts w:hint="eastAsia" w:ascii="Times New Roman" w:hAnsi="Times New Roman" w:eastAsia="宋体" w:cs="Times New Roman"/>
                <w:color w:val="000000"/>
                <w:kern w:val="0"/>
                <w:sz w:val="24"/>
                <w:szCs w:val="24"/>
                <w:lang w:val="en-US" w:eastAsia="zh-CN" w:bidi="ar"/>
              </w:rPr>
              <w:t>微曝氧化沟</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二沉池</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紫外消毒池，达到《城镇污水处理厂污染物排放标准》（</w:t>
            </w:r>
            <w:r>
              <w:rPr>
                <w:rFonts w:hint="default" w:ascii="Times New Roman" w:hAnsi="Times New Roman" w:eastAsia="宋体" w:cs="Times New Roman"/>
                <w:color w:val="000000"/>
                <w:kern w:val="0"/>
                <w:sz w:val="24"/>
                <w:szCs w:val="24"/>
                <w:lang w:val="en-US" w:eastAsia="zh-CN" w:bidi="ar"/>
              </w:rPr>
              <w:t>GB18918-2002</w:t>
            </w:r>
            <w:r>
              <w:rPr>
                <w:rFonts w:hint="eastAsia" w:ascii="Times New Roman" w:hAnsi="Times New Roman" w:eastAsia="宋体" w:cs="Times New Roman"/>
                <w:color w:val="000000"/>
                <w:kern w:val="0"/>
                <w:sz w:val="24"/>
                <w:szCs w:val="24"/>
                <w:lang w:val="en-US" w:eastAsia="zh-CN" w:bidi="ar"/>
              </w:rPr>
              <w:t>）一级</w:t>
            </w:r>
            <w:r>
              <w:rPr>
                <w:rFonts w:hint="eastAsia"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 xml:space="preserve">标准后排入梅江。 </w:t>
            </w:r>
          </w:p>
          <w:p w14:paraId="19292009">
            <w:pPr>
              <w:autoSpaceDE w:val="0"/>
              <w:autoSpaceDN w:val="0"/>
              <w:spacing w:line="360" w:lineRule="auto"/>
              <w:ind w:firstLine="480"/>
            </w:pPr>
            <w:r>
              <w:rPr>
                <w:rFonts w:hint="eastAsia" w:ascii="Times New Roman" w:hAnsi="Times New Roman" w:eastAsia="宋体" w:cs="Times New Roman"/>
                <w:color w:val="000000"/>
                <w:kern w:val="0"/>
                <w:sz w:val="24"/>
                <w:szCs w:val="24"/>
                <w:lang w:val="en-US" w:eastAsia="zh-CN" w:bidi="ar"/>
              </w:rPr>
              <w:t>宁都县城投水利工程有限公司在原宁都县第二污水处理厂内预留用地，建设宁都县第二污水处理厂扩建提标项目，新增处理规模</w:t>
            </w:r>
            <w:r>
              <w:rPr>
                <w:rFonts w:hint="default" w:ascii="Times New Roman" w:hAnsi="Times New Roman" w:eastAsia="宋体" w:cs="Times New Roman"/>
                <w:color w:val="000000"/>
                <w:kern w:val="0"/>
                <w:sz w:val="24"/>
                <w:szCs w:val="24"/>
                <w:lang w:val="en-US" w:eastAsia="zh-CN" w:bidi="ar"/>
              </w:rPr>
              <w:t>1.5</w:t>
            </w:r>
            <w:r>
              <w:rPr>
                <w:rFonts w:hint="eastAsia" w:ascii="Times New Roman" w:hAnsi="Times New Roman" w:eastAsia="宋体" w:cs="Times New Roman"/>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，达到</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 xml:space="preserve">/d </w:t>
            </w:r>
            <w:r>
              <w:rPr>
                <w:rFonts w:hint="eastAsia" w:ascii="Times New Roman" w:hAnsi="Times New Roman" w:eastAsia="宋体" w:cs="Times New Roman"/>
                <w:color w:val="000000"/>
                <w:kern w:val="0"/>
                <w:sz w:val="24"/>
                <w:szCs w:val="24"/>
                <w:lang w:val="en-US" w:eastAsia="zh-CN" w:bidi="ar"/>
              </w:rPr>
              <w:t>的处理规模；提标扩容工程拟采用“混凝沉淀池</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水解酸化池</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 xml:space="preserve">改良型 </w:t>
            </w:r>
            <w:r>
              <w:rPr>
                <w:rFonts w:hint="default" w:ascii="Times New Roman" w:hAnsi="Times New Roman" w:eastAsia="宋体" w:cs="Times New Roman"/>
                <w:color w:val="000000"/>
                <w:kern w:val="0"/>
                <w:sz w:val="24"/>
                <w:szCs w:val="24"/>
                <w:lang w:val="en-US" w:eastAsia="zh-CN" w:bidi="ar"/>
              </w:rPr>
              <w:t xml:space="preserve">A/A/O </w:t>
            </w:r>
            <w:r>
              <w:rPr>
                <w:rFonts w:hint="eastAsia" w:ascii="Times New Roman" w:hAnsi="Times New Roman" w:eastAsia="宋体" w:cs="Times New Roman"/>
                <w:color w:val="000000"/>
                <w:kern w:val="0"/>
                <w:sz w:val="24"/>
                <w:szCs w:val="24"/>
                <w:lang w:val="en-US" w:eastAsia="zh-CN" w:bidi="ar"/>
              </w:rPr>
              <w:t>池</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二沉池</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高效沉淀池＋滤布滤池</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次氯酸钠消毒法”工艺技术污水处理。服务范围为整个宁都县工业园区工业废水和生活污水。</w:t>
            </w:r>
          </w:p>
          <w:p w14:paraId="08FC312B">
            <w:pPr>
              <w:widowControl/>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①接管水质可行性分析</w:t>
            </w:r>
          </w:p>
          <w:p w14:paraId="02157D8E">
            <w:pPr>
              <w:widowControl/>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w:t>
            </w:r>
            <w:r>
              <w:rPr>
                <w:rFonts w:hint="eastAsia" w:ascii="Times New Roman" w:hAnsi="Times New Roman" w:eastAsia="宋体" w:cs="Times New Roman"/>
                <w:b w:val="0"/>
                <w:bCs w:val="0"/>
                <w:color w:val="auto"/>
                <w:kern w:val="2"/>
                <w:sz w:val="24"/>
                <w:szCs w:val="24"/>
                <w:highlight w:val="none"/>
                <w:lang w:val="en-US" w:eastAsia="zh-CN" w:bidi="ar-SA"/>
              </w:rPr>
              <w:t>《肉类加工工业水污染物排放标准》（</w:t>
            </w:r>
            <w:r>
              <w:rPr>
                <w:rFonts w:hint="default" w:ascii="Times New Roman" w:hAnsi="Times New Roman" w:eastAsia="宋体" w:cs="Times New Roman"/>
                <w:b w:val="0"/>
                <w:bCs w:val="0"/>
                <w:color w:val="auto"/>
                <w:kern w:val="2"/>
                <w:sz w:val="24"/>
                <w:szCs w:val="24"/>
                <w:highlight w:val="none"/>
                <w:lang w:val="en-US" w:eastAsia="zh-CN" w:bidi="ar-SA"/>
              </w:rPr>
              <w:t>GB13457-92</w:t>
            </w:r>
            <w:r>
              <w:rPr>
                <w:rFonts w:hint="eastAsia" w:ascii="Times New Roman" w:hAnsi="Times New Roman" w:eastAsia="宋体" w:cs="Times New Roman"/>
                <w:b w:val="0"/>
                <w:bCs w:val="0"/>
                <w:color w:val="auto"/>
                <w:kern w:val="2"/>
                <w:sz w:val="24"/>
                <w:szCs w:val="24"/>
                <w:highlight w:val="none"/>
                <w:lang w:val="en-US" w:eastAsia="zh-CN" w:bidi="ar-SA"/>
              </w:rPr>
              <w:t xml:space="preserve">）表 </w:t>
            </w:r>
            <w:r>
              <w:rPr>
                <w:rFonts w:hint="default" w:ascii="Times New Roman" w:hAnsi="Times New Roman" w:eastAsia="宋体" w:cs="Times New Roman"/>
                <w:b w:val="0"/>
                <w:bCs w:val="0"/>
                <w:color w:val="auto"/>
                <w:kern w:val="2"/>
                <w:sz w:val="24"/>
                <w:szCs w:val="24"/>
                <w:highlight w:val="none"/>
                <w:lang w:val="en-US" w:eastAsia="zh-CN" w:bidi="ar-SA"/>
              </w:rPr>
              <w:t xml:space="preserve">3 </w:t>
            </w:r>
            <w:r>
              <w:rPr>
                <w:rFonts w:hint="eastAsia" w:ascii="Times New Roman" w:hAnsi="Times New Roman" w:eastAsia="宋体" w:cs="Times New Roman"/>
                <w:b w:val="0"/>
                <w:bCs w:val="0"/>
                <w:color w:val="auto"/>
                <w:kern w:val="2"/>
                <w:sz w:val="24"/>
                <w:szCs w:val="24"/>
                <w:highlight w:val="none"/>
                <w:lang w:val="en-US" w:eastAsia="zh-CN" w:bidi="ar-SA"/>
              </w:rPr>
              <w:t>三级标准和宁都县第二污水处理厂接管标准较严值</w:t>
            </w:r>
            <w:r>
              <w:rPr>
                <w:rFonts w:hint="default" w:ascii="Times New Roman" w:hAnsi="Times New Roman" w:eastAsia="宋体" w:cs="Times New Roman"/>
                <w:bCs/>
                <w:color w:val="auto"/>
                <w:sz w:val="24"/>
                <w:szCs w:val="24"/>
              </w:rPr>
              <w:t>，</w:t>
            </w:r>
            <w:r>
              <w:rPr>
                <w:rFonts w:hint="eastAsia" w:cs="Times New Roman"/>
                <w:bCs/>
                <w:color w:val="auto"/>
                <w:sz w:val="24"/>
                <w:szCs w:val="24"/>
                <w:lang w:val="en-US" w:eastAsia="zh-CN"/>
              </w:rPr>
              <w:t>项目总排放口出水</w:t>
            </w:r>
            <w:r>
              <w:rPr>
                <w:rFonts w:hint="default" w:ascii="Times New Roman" w:hAnsi="Times New Roman" w:eastAsia="宋体" w:cs="Times New Roman"/>
                <w:bCs/>
                <w:color w:val="auto"/>
                <w:sz w:val="24"/>
                <w:szCs w:val="24"/>
                <w:lang w:eastAsia="zh-CN"/>
              </w:rPr>
              <w:t>水质要求</w:t>
            </w:r>
            <w:r>
              <w:rPr>
                <w:rFonts w:hint="default" w:ascii="Times New Roman" w:hAnsi="Times New Roman" w:eastAsia="宋体" w:cs="Times New Roman"/>
                <w:bCs/>
                <w:color w:val="auto"/>
                <w:sz w:val="24"/>
                <w:szCs w:val="24"/>
              </w:rPr>
              <w:t>见表</w:t>
            </w:r>
            <w:r>
              <w:rPr>
                <w:rFonts w:hint="eastAsia" w:ascii="Times New Roman" w:hAnsi="Times New Roman" w:eastAsia="宋体" w:cs="Times New Roman"/>
                <w:bCs/>
                <w:color w:val="auto"/>
                <w:sz w:val="24"/>
                <w:szCs w:val="24"/>
                <w:lang w:val="en-US" w:eastAsia="zh-CN"/>
              </w:rPr>
              <w:t>4-</w:t>
            </w:r>
            <w:r>
              <w:rPr>
                <w:rFonts w:hint="eastAsia" w:cs="Times New Roman"/>
                <w:bCs/>
                <w:color w:val="auto"/>
                <w:sz w:val="24"/>
                <w:szCs w:val="24"/>
                <w:lang w:val="en-US" w:eastAsia="zh-CN"/>
              </w:rPr>
              <w:t>23</w:t>
            </w:r>
            <w:r>
              <w:rPr>
                <w:rFonts w:hint="default" w:ascii="Times New Roman" w:hAnsi="Times New Roman" w:eastAsia="宋体" w:cs="Times New Roman"/>
                <w:bCs/>
                <w:color w:val="auto"/>
                <w:sz w:val="24"/>
                <w:szCs w:val="24"/>
              </w:rPr>
              <w:t>。</w:t>
            </w:r>
          </w:p>
          <w:p w14:paraId="790CBD95">
            <w:pPr>
              <w:widowControl/>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表</w:t>
            </w:r>
            <w:r>
              <w:rPr>
                <w:rFonts w:hint="eastAsia" w:ascii="Times New Roman" w:hAnsi="Times New Roman" w:eastAsia="宋体" w:cs="Times New Roman"/>
                <w:b/>
                <w:color w:val="auto"/>
                <w:kern w:val="0"/>
                <w:sz w:val="21"/>
                <w:szCs w:val="21"/>
                <w:lang w:val="en-US" w:eastAsia="zh-CN"/>
              </w:rPr>
              <w:t>4-2</w:t>
            </w:r>
            <w:r>
              <w:rPr>
                <w:rFonts w:hint="eastAsia" w:cs="Times New Roman"/>
                <w:b/>
                <w:color w:val="auto"/>
                <w:kern w:val="0"/>
                <w:sz w:val="21"/>
                <w:szCs w:val="21"/>
                <w:lang w:val="en-US" w:eastAsia="zh-CN"/>
              </w:rPr>
              <w:t>3</w:t>
            </w:r>
            <w:r>
              <w:rPr>
                <w:rFonts w:hint="default" w:ascii="Times New Roman" w:hAnsi="Times New Roman" w:eastAsia="宋体" w:cs="Times New Roman"/>
                <w:b/>
                <w:color w:val="auto"/>
                <w:kern w:val="0"/>
                <w:sz w:val="21"/>
                <w:szCs w:val="21"/>
                <w:lang w:eastAsia="zh-CN"/>
              </w:rPr>
              <w:t xml:space="preserve">  </w:t>
            </w:r>
            <w:r>
              <w:rPr>
                <w:rFonts w:hint="eastAsia" w:ascii="Times New Roman" w:hAnsi="Times New Roman" w:eastAsia="宋体" w:cs="Times New Roman"/>
                <w:b/>
                <w:color w:val="auto"/>
                <w:kern w:val="0"/>
                <w:sz w:val="21"/>
                <w:szCs w:val="21"/>
                <w:lang w:val="en-US" w:eastAsia="zh-CN"/>
              </w:rPr>
              <w:t>项目总排放口出水</w:t>
            </w:r>
            <w:r>
              <w:rPr>
                <w:rFonts w:hint="default" w:ascii="Times New Roman" w:hAnsi="Times New Roman" w:eastAsia="宋体" w:cs="Times New Roman"/>
                <w:b/>
                <w:color w:val="auto"/>
                <w:kern w:val="0"/>
                <w:sz w:val="21"/>
                <w:szCs w:val="21"/>
                <w:lang w:eastAsia="zh-CN"/>
              </w:rPr>
              <w:t>水质要求</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04"/>
              <w:gridCol w:w="703"/>
              <w:gridCol w:w="804"/>
              <w:gridCol w:w="972"/>
              <w:gridCol w:w="756"/>
              <w:gridCol w:w="1020"/>
              <w:gridCol w:w="744"/>
              <w:gridCol w:w="660"/>
              <w:gridCol w:w="1327"/>
            </w:tblGrid>
            <w:tr w14:paraId="543980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204" w:type="dxa"/>
                  <w:tcBorders>
                    <w:tl2br w:val="nil"/>
                    <w:tr2bl w:val="nil"/>
                  </w:tcBorders>
                  <w:shd w:val="clear" w:color="auto" w:fill="FFFFFF"/>
                  <w:noWrap w:val="0"/>
                  <w:vAlign w:val="center"/>
                </w:tcPr>
                <w:p w14:paraId="73211DA4">
                  <w:pPr>
                    <w:ind w:firstLine="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03" w:type="dxa"/>
                  <w:tcBorders>
                    <w:tl2br w:val="nil"/>
                    <w:tr2bl w:val="nil"/>
                  </w:tcBorders>
                  <w:shd w:val="clear" w:color="auto" w:fill="FFFFFF"/>
                  <w:noWrap w:val="0"/>
                  <w:vAlign w:val="center"/>
                </w:tcPr>
                <w:p w14:paraId="31181D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804" w:type="dxa"/>
                  <w:tcBorders>
                    <w:tl2br w:val="nil"/>
                    <w:tr2bl w:val="nil"/>
                  </w:tcBorders>
                  <w:shd w:val="clear" w:color="auto" w:fill="FFFFFF"/>
                  <w:noWrap w:val="0"/>
                  <w:vAlign w:val="center"/>
                </w:tcPr>
                <w:p w14:paraId="2E081A4F">
                  <w:pPr>
                    <w:ind w:firstLine="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72" w:type="dxa"/>
                  <w:tcBorders>
                    <w:tl2br w:val="nil"/>
                    <w:tr2bl w:val="nil"/>
                  </w:tcBorders>
                  <w:shd w:val="clear" w:color="auto" w:fill="FFFFFF"/>
                  <w:noWrap w:val="0"/>
                  <w:vAlign w:val="center"/>
                </w:tcPr>
                <w:p w14:paraId="2B32AE57">
                  <w:pPr>
                    <w:ind w:firstLine="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756" w:type="dxa"/>
                  <w:tcBorders>
                    <w:tl2br w:val="nil"/>
                    <w:tr2bl w:val="nil"/>
                  </w:tcBorders>
                  <w:shd w:val="clear" w:color="auto" w:fill="FFFFFF"/>
                  <w:noWrap w:val="0"/>
                  <w:vAlign w:val="center"/>
                </w:tcPr>
                <w:p w14:paraId="4F6863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020" w:type="dxa"/>
                  <w:tcBorders>
                    <w:tl2br w:val="nil"/>
                    <w:tr2bl w:val="nil"/>
                  </w:tcBorders>
                  <w:shd w:val="clear" w:color="auto" w:fill="FFFFFF"/>
                  <w:noWrap w:val="0"/>
                  <w:vAlign w:val="center"/>
                </w:tcPr>
                <w:p w14:paraId="37DFFB7E">
                  <w:pPr>
                    <w:ind w:firstLine="50" w:firstLineChars="0"/>
                    <w:jc w:val="center"/>
                    <w:rPr>
                      <w:rFonts w:hint="default" w:ascii="Times New Roman" w:hAnsi="Times New Roman" w:eastAsia="宋体" w:cs="Times New Roman"/>
                      <w:color w:val="auto"/>
                      <w:sz w:val="21"/>
                      <w:szCs w:val="21"/>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744" w:type="dxa"/>
                  <w:tcBorders>
                    <w:tl2br w:val="nil"/>
                    <w:tr2bl w:val="nil"/>
                  </w:tcBorders>
                  <w:shd w:val="clear" w:color="auto" w:fill="FFFFFF"/>
                  <w:noWrap w:val="0"/>
                  <w:vAlign w:val="center"/>
                </w:tcPr>
                <w:p w14:paraId="5FF51FE5">
                  <w:pPr>
                    <w:jc w:val="center"/>
                    <w:rPr>
                      <w:rFonts w:hint="eastAsia"/>
                      <w:color w:val="auto"/>
                      <w:lang w:val="en-US" w:eastAsia="zh-CN"/>
                    </w:rPr>
                  </w:pPr>
                  <w:r>
                    <w:rPr>
                      <w:rFonts w:hint="eastAsia"/>
                      <w:color w:val="auto"/>
                      <w:lang w:val="en-US" w:eastAsia="zh-CN"/>
                    </w:rPr>
                    <w:t>TP</w:t>
                  </w:r>
                </w:p>
              </w:tc>
              <w:tc>
                <w:tcPr>
                  <w:tcW w:w="660" w:type="dxa"/>
                  <w:tcBorders>
                    <w:tl2br w:val="nil"/>
                    <w:tr2bl w:val="nil"/>
                  </w:tcBorders>
                  <w:shd w:val="clear" w:color="auto" w:fill="FFFFFF"/>
                  <w:noWrap w:val="0"/>
                  <w:vAlign w:val="center"/>
                </w:tcPr>
                <w:p w14:paraId="3A70D5ED">
                  <w:pPr>
                    <w:jc w:val="center"/>
                    <w:rPr>
                      <w:rFonts w:hint="eastAsia"/>
                      <w:color w:val="auto"/>
                      <w:lang w:val="en-US" w:eastAsia="zh-CN"/>
                    </w:rPr>
                  </w:pPr>
                  <w:r>
                    <w:rPr>
                      <w:rFonts w:hint="eastAsia"/>
                      <w:color w:val="auto"/>
                      <w:lang w:val="en-US" w:eastAsia="zh-CN"/>
                    </w:rPr>
                    <w:t>TN</w:t>
                  </w:r>
                </w:p>
              </w:tc>
              <w:tc>
                <w:tcPr>
                  <w:tcW w:w="1327" w:type="dxa"/>
                  <w:tcBorders>
                    <w:tl2br w:val="nil"/>
                    <w:tr2bl w:val="nil"/>
                  </w:tcBorders>
                  <w:shd w:val="clear" w:color="auto" w:fill="FFFFFF"/>
                  <w:noWrap w:val="0"/>
                  <w:vAlign w:val="center"/>
                </w:tcPr>
                <w:p w14:paraId="7883B1AA">
                  <w:pPr>
                    <w:jc w:val="center"/>
                    <w:rPr>
                      <w:rFonts w:hint="default"/>
                      <w:color w:val="auto"/>
                      <w:lang w:val="en-US" w:eastAsia="zh-CN"/>
                    </w:rPr>
                  </w:pPr>
                  <w:r>
                    <w:rPr>
                      <w:rFonts w:hint="eastAsia"/>
                      <w:color w:val="auto"/>
                      <w:lang w:val="en-US" w:eastAsia="zh-CN"/>
                    </w:rPr>
                    <w:t>动植物油</w:t>
                  </w:r>
                </w:p>
              </w:tc>
            </w:tr>
            <w:tr w14:paraId="7394AB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1204" w:type="dxa"/>
                  <w:tcBorders>
                    <w:tl2br w:val="nil"/>
                    <w:tr2bl w:val="nil"/>
                  </w:tcBorders>
                  <w:shd w:val="clear" w:color="auto" w:fill="FFFFFF"/>
                  <w:noWrap w:val="0"/>
                  <w:vAlign w:val="center"/>
                </w:tcPr>
                <w:p w14:paraId="452983E8">
                  <w:pPr>
                    <w:ind w:firstLine="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进水水质</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mg/L</w:t>
                  </w:r>
                  <w:r>
                    <w:rPr>
                      <w:rFonts w:hint="eastAsia" w:cs="Times New Roman"/>
                      <w:color w:val="auto"/>
                      <w:sz w:val="21"/>
                      <w:szCs w:val="21"/>
                      <w:lang w:val="en-US" w:eastAsia="zh-CN"/>
                    </w:rPr>
                    <w:t>)</w:t>
                  </w:r>
                </w:p>
              </w:tc>
              <w:tc>
                <w:tcPr>
                  <w:tcW w:w="703" w:type="dxa"/>
                  <w:tcBorders>
                    <w:tl2br w:val="nil"/>
                    <w:tr2bl w:val="nil"/>
                  </w:tcBorders>
                  <w:shd w:val="clear" w:color="auto" w:fill="FFFFFF"/>
                  <w:noWrap w:val="0"/>
                  <w:vAlign w:val="center"/>
                </w:tcPr>
                <w:p w14:paraId="3F29DD22">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cs="Times New Roman"/>
                      <w:i w:val="0"/>
                      <w:color w:val="auto"/>
                      <w:sz w:val="21"/>
                      <w:szCs w:val="21"/>
                      <w:highlight w:val="none"/>
                      <w:u w:val="none"/>
                      <w:lang w:val="en-US" w:eastAsia="zh-CN"/>
                    </w:rPr>
                    <w:t>6-</w:t>
                  </w:r>
                  <w:r>
                    <w:rPr>
                      <w:rFonts w:hint="eastAsia" w:cs="Times New Roman"/>
                      <w:i w:val="0"/>
                      <w:color w:val="auto"/>
                      <w:sz w:val="21"/>
                      <w:szCs w:val="21"/>
                      <w:highlight w:val="none"/>
                      <w:u w:val="none"/>
                      <w:lang w:val="en-US" w:eastAsia="zh-CN"/>
                    </w:rPr>
                    <w:t>8.5</w:t>
                  </w:r>
                </w:p>
              </w:tc>
              <w:tc>
                <w:tcPr>
                  <w:tcW w:w="804" w:type="dxa"/>
                  <w:tcBorders>
                    <w:tl2br w:val="nil"/>
                    <w:tr2bl w:val="nil"/>
                  </w:tcBorders>
                  <w:shd w:val="clear" w:color="auto" w:fill="FFFFFF"/>
                  <w:noWrap w:val="0"/>
                  <w:vAlign w:val="center"/>
                </w:tcPr>
                <w:p w14:paraId="6A915E81">
                  <w:pPr>
                    <w:pStyle w:val="13"/>
                    <w:bidi w:val="0"/>
                    <w:ind w:left="0" w:leftChars="0" w:firstLine="0" w:firstLineChars="0"/>
                    <w:rPr>
                      <w:rFonts w:hint="default" w:ascii="Times New Roman" w:hAnsi="Times New Roman" w:eastAsia="宋体" w:cs="Times New Roman"/>
                      <w:color w:val="auto"/>
                      <w:sz w:val="21"/>
                      <w:szCs w:val="21"/>
                      <w:lang w:val="en-US"/>
                    </w:rPr>
                  </w:pPr>
                  <w:r>
                    <w:rPr>
                      <w:rFonts w:hint="eastAsia"/>
                      <w:color w:val="auto"/>
                      <w:highlight w:val="none"/>
                      <w:lang w:val="en-US" w:eastAsia="zh-CN"/>
                    </w:rPr>
                    <w:t>500</w:t>
                  </w:r>
                </w:p>
              </w:tc>
              <w:tc>
                <w:tcPr>
                  <w:tcW w:w="972" w:type="dxa"/>
                  <w:tcBorders>
                    <w:tl2br w:val="nil"/>
                    <w:tr2bl w:val="nil"/>
                  </w:tcBorders>
                  <w:shd w:val="clear" w:color="auto" w:fill="FFFFFF"/>
                  <w:noWrap w:val="0"/>
                  <w:vAlign w:val="center"/>
                </w:tcPr>
                <w:p w14:paraId="67B18A16">
                  <w:pPr>
                    <w:pStyle w:val="13"/>
                    <w:bidi w:val="0"/>
                    <w:ind w:left="0" w:leftChars="0" w:firstLine="0" w:firstLineChars="0"/>
                    <w:rPr>
                      <w:rFonts w:hint="default" w:ascii="Times New Roman" w:hAnsi="Times New Roman" w:eastAsia="宋体" w:cs="Times New Roman"/>
                      <w:color w:val="auto"/>
                      <w:sz w:val="21"/>
                      <w:szCs w:val="21"/>
                      <w:lang w:val="en-US" w:eastAsia="zh-CN"/>
                    </w:rPr>
                  </w:pPr>
                  <w:r>
                    <w:rPr>
                      <w:rFonts w:hint="eastAsia"/>
                      <w:color w:val="auto"/>
                      <w:highlight w:val="none"/>
                      <w:lang w:val="en-US" w:eastAsia="zh-CN"/>
                    </w:rPr>
                    <w:t>300</w:t>
                  </w:r>
                </w:p>
              </w:tc>
              <w:tc>
                <w:tcPr>
                  <w:tcW w:w="756" w:type="dxa"/>
                  <w:tcBorders>
                    <w:tl2br w:val="nil"/>
                    <w:tr2bl w:val="nil"/>
                  </w:tcBorders>
                  <w:shd w:val="clear" w:color="auto" w:fill="FFFFFF"/>
                  <w:noWrap w:val="0"/>
                  <w:vAlign w:val="center"/>
                </w:tcPr>
                <w:p w14:paraId="11BA4022">
                  <w:pPr>
                    <w:pStyle w:val="13"/>
                    <w:bidi w:val="0"/>
                    <w:ind w:left="0" w:leftChars="0" w:firstLine="0" w:firstLineChars="0"/>
                    <w:rPr>
                      <w:rFonts w:hint="default" w:ascii="Times New Roman" w:hAnsi="Times New Roman" w:eastAsia="宋体" w:cs="Times New Roman"/>
                      <w:color w:val="auto"/>
                      <w:sz w:val="21"/>
                      <w:szCs w:val="21"/>
                      <w:lang w:val="en-US" w:eastAsia="zh-CN"/>
                    </w:rPr>
                  </w:pPr>
                  <w:r>
                    <w:rPr>
                      <w:rFonts w:hint="eastAsia"/>
                      <w:color w:val="auto"/>
                      <w:highlight w:val="none"/>
                      <w:lang w:val="en-US" w:eastAsia="zh-CN"/>
                    </w:rPr>
                    <w:t>35</w:t>
                  </w:r>
                  <w:r>
                    <w:rPr>
                      <w:rFonts w:hint="default"/>
                      <w:color w:val="auto"/>
                      <w:highlight w:val="none"/>
                    </w:rPr>
                    <w:t>0</w:t>
                  </w:r>
                </w:p>
              </w:tc>
              <w:tc>
                <w:tcPr>
                  <w:tcW w:w="1020" w:type="dxa"/>
                  <w:tcBorders>
                    <w:tl2br w:val="nil"/>
                    <w:tr2bl w:val="nil"/>
                  </w:tcBorders>
                  <w:shd w:val="clear" w:color="auto" w:fill="FFFFFF"/>
                  <w:noWrap w:val="0"/>
                  <w:vAlign w:val="center"/>
                </w:tcPr>
                <w:p w14:paraId="58DB3065">
                  <w:pPr>
                    <w:pStyle w:val="13"/>
                    <w:bidi w:val="0"/>
                    <w:ind w:left="0" w:leftChars="0" w:firstLine="0" w:firstLineChars="0"/>
                    <w:rPr>
                      <w:rFonts w:hint="default" w:ascii="Times New Roman" w:hAnsi="Times New Roman" w:eastAsia="宋体" w:cs="Times New Roman"/>
                      <w:color w:val="auto"/>
                      <w:sz w:val="21"/>
                      <w:szCs w:val="21"/>
                      <w:lang w:val="en-US" w:eastAsia="zh-CN"/>
                    </w:rPr>
                  </w:pPr>
                  <w:r>
                    <w:rPr>
                      <w:rFonts w:hint="eastAsia"/>
                      <w:color w:val="auto"/>
                      <w:highlight w:val="none"/>
                      <w:lang w:val="en-US" w:eastAsia="zh-CN"/>
                    </w:rPr>
                    <w:t>50</w:t>
                  </w:r>
                </w:p>
              </w:tc>
              <w:tc>
                <w:tcPr>
                  <w:tcW w:w="744" w:type="dxa"/>
                  <w:tcBorders>
                    <w:tl2br w:val="nil"/>
                    <w:tr2bl w:val="nil"/>
                  </w:tcBorders>
                  <w:shd w:val="clear" w:color="auto" w:fill="FFFFFF"/>
                  <w:noWrap w:val="0"/>
                  <w:vAlign w:val="center"/>
                </w:tcPr>
                <w:p w14:paraId="4E2DCAF8">
                  <w:pPr>
                    <w:pStyle w:val="13"/>
                    <w:bidi w:val="0"/>
                    <w:ind w:left="0" w:leftChars="0" w:firstLine="0" w:firstLineChars="0"/>
                    <w:rPr>
                      <w:rFonts w:hint="eastAsia" w:cs="Times New Roman"/>
                      <w:color w:val="auto"/>
                      <w:sz w:val="21"/>
                      <w:szCs w:val="21"/>
                      <w:lang w:val="en-US" w:eastAsia="zh-CN"/>
                    </w:rPr>
                  </w:pPr>
                  <w:r>
                    <w:rPr>
                      <w:rFonts w:hint="eastAsia"/>
                      <w:color w:val="auto"/>
                      <w:highlight w:val="none"/>
                      <w:lang w:val="en-US" w:eastAsia="zh-CN"/>
                    </w:rPr>
                    <w:t>5</w:t>
                  </w:r>
                </w:p>
              </w:tc>
              <w:tc>
                <w:tcPr>
                  <w:tcW w:w="660" w:type="dxa"/>
                  <w:tcBorders>
                    <w:tl2br w:val="nil"/>
                    <w:tr2bl w:val="nil"/>
                  </w:tcBorders>
                  <w:shd w:val="clear" w:color="auto" w:fill="FFFFFF"/>
                  <w:noWrap w:val="0"/>
                  <w:vAlign w:val="center"/>
                </w:tcPr>
                <w:p w14:paraId="5A9F42F7">
                  <w:pPr>
                    <w:pStyle w:val="13"/>
                    <w:bidi w:val="0"/>
                    <w:ind w:left="0" w:leftChars="0" w:firstLine="0" w:firstLineChars="0"/>
                    <w:rPr>
                      <w:rFonts w:hint="eastAsia" w:cs="Times New Roman"/>
                      <w:color w:val="auto"/>
                      <w:sz w:val="21"/>
                      <w:szCs w:val="21"/>
                      <w:lang w:val="en-US" w:eastAsia="zh-CN"/>
                    </w:rPr>
                  </w:pPr>
                  <w:r>
                    <w:rPr>
                      <w:rFonts w:hint="eastAsia"/>
                      <w:color w:val="auto"/>
                      <w:highlight w:val="none"/>
                      <w:lang w:val="en-US" w:eastAsia="zh-CN"/>
                    </w:rPr>
                    <w:t>70</w:t>
                  </w:r>
                </w:p>
              </w:tc>
              <w:tc>
                <w:tcPr>
                  <w:tcW w:w="1327" w:type="dxa"/>
                  <w:tcBorders>
                    <w:tl2br w:val="nil"/>
                    <w:tr2bl w:val="nil"/>
                  </w:tcBorders>
                  <w:shd w:val="clear" w:color="auto" w:fill="FFFFFF"/>
                  <w:noWrap w:val="0"/>
                  <w:vAlign w:val="center"/>
                </w:tcPr>
                <w:p w14:paraId="2304B9E4">
                  <w:pPr>
                    <w:pStyle w:val="13"/>
                    <w:bidi w:val="0"/>
                    <w:ind w:left="0" w:leftChars="0" w:firstLine="0" w:firstLineChars="0"/>
                    <w:rPr>
                      <w:rFonts w:hint="default" w:cs="Times New Roman"/>
                      <w:color w:val="auto"/>
                      <w:sz w:val="21"/>
                      <w:szCs w:val="21"/>
                      <w:lang w:val="en-US" w:eastAsia="zh-CN"/>
                    </w:rPr>
                  </w:pPr>
                  <w:r>
                    <w:rPr>
                      <w:rFonts w:hint="eastAsia"/>
                      <w:color w:val="auto"/>
                      <w:highlight w:val="none"/>
                      <w:lang w:val="en-US" w:eastAsia="zh-CN"/>
                    </w:rPr>
                    <w:t>3</w:t>
                  </w:r>
                </w:p>
              </w:tc>
            </w:tr>
          </w:tbl>
          <w:p w14:paraId="71B59C30">
            <w:pPr>
              <w:pStyle w:val="125"/>
              <w:bidi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lang w:val="zh-CN" w:eastAsia="zh-CN"/>
              </w:rPr>
              <w:t>表</w:t>
            </w:r>
            <w:r>
              <w:rPr>
                <w:rFonts w:hint="default" w:ascii="Times New Roman" w:hAnsi="Times New Roman" w:eastAsia="宋体" w:cs="Times New Roman"/>
                <w:color w:val="auto"/>
                <w:lang w:val="en-US" w:eastAsia="zh-CN"/>
              </w:rPr>
              <w:t>4-</w:t>
            </w:r>
            <w:r>
              <w:rPr>
                <w:rFonts w:hint="eastAsia" w:cs="Times New Roman"/>
                <w:color w:val="auto"/>
                <w:lang w:val="en-US" w:eastAsia="zh-CN"/>
              </w:rPr>
              <w:t xml:space="preserve">24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zh-CN" w:eastAsia="zh-CN"/>
              </w:rPr>
              <w:t>项目</w:t>
            </w:r>
            <w:r>
              <w:rPr>
                <w:rFonts w:hint="eastAsia" w:cs="Times New Roman"/>
                <w:color w:val="auto"/>
                <w:lang w:val="en-US" w:eastAsia="zh-CN"/>
              </w:rPr>
              <w:t>综合废水</w:t>
            </w:r>
            <w:r>
              <w:rPr>
                <w:rFonts w:hint="default" w:ascii="Times New Roman" w:hAnsi="Times New Roman" w:eastAsia="宋体" w:cs="Times New Roman"/>
                <w:color w:val="auto"/>
                <w:lang w:val="zh-CN" w:eastAsia="zh-CN"/>
              </w:rPr>
              <w:t>处理效率及排放情况一览表</w:t>
            </w:r>
          </w:p>
          <w:tbl>
            <w:tblPr>
              <w:tblStyle w:val="33"/>
              <w:tblW w:w="81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237"/>
              <w:gridCol w:w="1035"/>
              <w:gridCol w:w="560"/>
              <w:gridCol w:w="743"/>
              <w:gridCol w:w="743"/>
              <w:gridCol w:w="755"/>
              <w:gridCol w:w="780"/>
              <w:gridCol w:w="695"/>
              <w:gridCol w:w="775"/>
              <w:gridCol w:w="869"/>
            </w:tblGrid>
            <w:tr w14:paraId="2D7C6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237" w:type="dxa"/>
                  <w:tcBorders>
                    <w:tl2br w:val="nil"/>
                    <w:tr2bl w:val="nil"/>
                  </w:tcBorders>
                  <w:noWrap w:val="0"/>
                  <w:vAlign w:val="center"/>
                </w:tcPr>
                <w:p w14:paraId="36C1FCB4">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b/>
                      <w:bCs/>
                      <w:i w:val="0"/>
                      <w:color w:val="auto"/>
                      <w:sz w:val="21"/>
                      <w:szCs w:val="21"/>
                      <w:highlight w:val="none"/>
                      <w:u w:val="none"/>
                      <w:lang w:val="en-US" w:eastAsia="zh-CN"/>
                    </w:rPr>
                    <w:t>废水种类</w:t>
                  </w:r>
                </w:p>
              </w:tc>
              <w:tc>
                <w:tcPr>
                  <w:tcW w:w="1035" w:type="dxa"/>
                  <w:tcBorders>
                    <w:tl2br w:val="nil"/>
                    <w:tr2bl w:val="nil"/>
                  </w:tcBorders>
                  <w:noWrap w:val="0"/>
                  <w:vAlign w:val="center"/>
                </w:tcPr>
                <w:p w14:paraId="7C58523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主要项目</w:t>
                  </w:r>
                </w:p>
              </w:tc>
              <w:tc>
                <w:tcPr>
                  <w:tcW w:w="560" w:type="dxa"/>
                  <w:tcBorders>
                    <w:tl2br w:val="nil"/>
                    <w:tr2bl w:val="nil"/>
                  </w:tcBorders>
                  <w:noWrap w:val="0"/>
                  <w:vAlign w:val="center"/>
                </w:tcPr>
                <w:p w14:paraId="1166F828">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i w:val="0"/>
                      <w:color w:val="auto"/>
                      <w:sz w:val="21"/>
                      <w:szCs w:val="21"/>
                      <w:highlight w:val="none"/>
                      <w:u w:val="none"/>
                      <w:lang w:val="en-US" w:eastAsia="zh-CN"/>
                    </w:rPr>
                  </w:pPr>
                  <w:r>
                    <w:rPr>
                      <w:rFonts w:hint="eastAsia" w:cs="Times New Roman"/>
                      <w:b/>
                      <w:bCs/>
                      <w:i w:val="0"/>
                      <w:color w:val="auto"/>
                      <w:kern w:val="0"/>
                      <w:sz w:val="21"/>
                      <w:szCs w:val="21"/>
                      <w:highlight w:val="none"/>
                      <w:u w:val="none"/>
                      <w:lang w:val="en-US" w:eastAsia="zh-CN" w:bidi="ar"/>
                    </w:rPr>
                    <w:t>pH</w:t>
                  </w:r>
                </w:p>
              </w:tc>
              <w:tc>
                <w:tcPr>
                  <w:tcW w:w="743" w:type="dxa"/>
                  <w:tcBorders>
                    <w:tl2br w:val="nil"/>
                    <w:tr2bl w:val="nil"/>
                  </w:tcBorders>
                  <w:noWrap w:val="0"/>
                  <w:vAlign w:val="center"/>
                </w:tcPr>
                <w:p w14:paraId="0A06E365">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COD</w:t>
                  </w:r>
                  <w:r>
                    <w:rPr>
                      <w:rFonts w:hint="eastAsia" w:ascii="Times New Roman" w:hAnsi="Times New Roman" w:eastAsia="宋体" w:cs="Times New Roman"/>
                      <w:b/>
                      <w:bCs/>
                      <w:i w:val="0"/>
                      <w:color w:val="auto"/>
                      <w:kern w:val="0"/>
                      <w:sz w:val="21"/>
                      <w:szCs w:val="21"/>
                      <w:highlight w:val="none"/>
                      <w:u w:val="none"/>
                      <w:vertAlign w:val="subscript"/>
                      <w:lang w:val="en-US" w:eastAsia="zh-CN" w:bidi="ar"/>
                    </w:rPr>
                    <w:t>C</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r</w:t>
                  </w:r>
                </w:p>
              </w:tc>
              <w:tc>
                <w:tcPr>
                  <w:tcW w:w="743" w:type="dxa"/>
                  <w:tcBorders>
                    <w:tl2br w:val="nil"/>
                    <w:tr2bl w:val="nil"/>
                  </w:tcBorders>
                  <w:noWrap w:val="0"/>
                  <w:vAlign w:val="center"/>
                </w:tcPr>
                <w:p w14:paraId="03026442">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BOD</w:t>
                  </w:r>
                  <w:r>
                    <w:rPr>
                      <w:rFonts w:hint="default" w:ascii="Times New Roman" w:hAnsi="Times New Roman" w:eastAsia="宋体" w:cs="Times New Roman"/>
                      <w:b/>
                      <w:bCs/>
                      <w:i w:val="0"/>
                      <w:color w:val="auto"/>
                      <w:kern w:val="0"/>
                      <w:sz w:val="21"/>
                      <w:szCs w:val="21"/>
                      <w:highlight w:val="none"/>
                      <w:u w:val="none"/>
                      <w:vertAlign w:val="subscript"/>
                      <w:lang w:val="en-US" w:eastAsia="zh-CN" w:bidi="ar"/>
                    </w:rPr>
                    <w:t>5</w:t>
                  </w:r>
                </w:p>
              </w:tc>
              <w:tc>
                <w:tcPr>
                  <w:tcW w:w="755" w:type="dxa"/>
                  <w:tcBorders>
                    <w:tl2br w:val="nil"/>
                    <w:tr2bl w:val="nil"/>
                  </w:tcBorders>
                  <w:noWrap w:val="0"/>
                  <w:vAlign w:val="center"/>
                </w:tcPr>
                <w:p w14:paraId="4E54069C">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SS</w:t>
                  </w:r>
                </w:p>
              </w:tc>
              <w:tc>
                <w:tcPr>
                  <w:tcW w:w="780" w:type="dxa"/>
                  <w:tcBorders>
                    <w:tl2br w:val="nil"/>
                    <w:tr2bl w:val="nil"/>
                  </w:tcBorders>
                  <w:noWrap w:val="0"/>
                  <w:vAlign w:val="center"/>
                </w:tcPr>
                <w:p w14:paraId="2E2C8BA9">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i w:val="0"/>
                      <w:color w:val="auto"/>
                      <w:kern w:val="0"/>
                      <w:sz w:val="21"/>
                      <w:szCs w:val="21"/>
                      <w:highlight w:val="none"/>
                      <w:u w:val="none"/>
                      <w:lang w:val="en-US" w:eastAsia="zh-CN" w:bidi="ar"/>
                    </w:rPr>
                    <w:t>NH</w:t>
                  </w:r>
                  <w:r>
                    <w:rPr>
                      <w:rFonts w:hint="eastAsia" w:cs="Times New Roman"/>
                      <w:b/>
                      <w:bCs/>
                      <w:i w:val="0"/>
                      <w:color w:val="auto"/>
                      <w:kern w:val="0"/>
                      <w:sz w:val="21"/>
                      <w:szCs w:val="21"/>
                      <w:highlight w:val="none"/>
                      <w:u w:val="none"/>
                      <w:vertAlign w:val="subscript"/>
                      <w:lang w:val="en-US" w:eastAsia="zh-CN" w:bidi="ar"/>
                    </w:rPr>
                    <w:t>3</w:t>
                  </w:r>
                  <w:r>
                    <w:rPr>
                      <w:rFonts w:hint="eastAsia" w:cs="Times New Roman"/>
                      <w:b/>
                      <w:bCs/>
                      <w:i w:val="0"/>
                      <w:color w:val="auto"/>
                      <w:kern w:val="0"/>
                      <w:sz w:val="21"/>
                      <w:szCs w:val="21"/>
                      <w:highlight w:val="none"/>
                      <w:u w:val="none"/>
                      <w:lang w:val="en-US" w:eastAsia="zh-CN" w:bidi="ar"/>
                    </w:rPr>
                    <w:t>-N</w:t>
                  </w:r>
                </w:p>
              </w:tc>
              <w:tc>
                <w:tcPr>
                  <w:tcW w:w="695" w:type="dxa"/>
                  <w:tcBorders>
                    <w:tl2br w:val="nil"/>
                    <w:tr2bl w:val="nil"/>
                  </w:tcBorders>
                  <w:noWrap w:val="0"/>
                  <w:vAlign w:val="center"/>
                </w:tcPr>
                <w:p w14:paraId="44DE2E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color w:val="auto"/>
                      <w:sz w:val="21"/>
                      <w:szCs w:val="21"/>
                      <w:vertAlign w:val="baseline"/>
                      <w:lang w:val="en-US" w:eastAsia="zh-CN"/>
                    </w:rPr>
                    <w:t>TP</w:t>
                  </w:r>
                </w:p>
              </w:tc>
              <w:tc>
                <w:tcPr>
                  <w:tcW w:w="775" w:type="dxa"/>
                  <w:tcBorders>
                    <w:tl2br w:val="nil"/>
                    <w:tr2bl w:val="nil"/>
                  </w:tcBorders>
                  <w:noWrap w:val="0"/>
                  <w:vAlign w:val="center"/>
                </w:tcPr>
                <w:p w14:paraId="5871B3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color w:val="auto"/>
                      <w:sz w:val="21"/>
                      <w:szCs w:val="21"/>
                      <w:vertAlign w:val="baseline"/>
                      <w:lang w:val="en-US" w:eastAsia="zh-CN"/>
                    </w:rPr>
                    <w:t>TN</w:t>
                  </w:r>
                </w:p>
              </w:tc>
              <w:tc>
                <w:tcPr>
                  <w:tcW w:w="869" w:type="dxa"/>
                  <w:tcBorders>
                    <w:tl2br w:val="nil"/>
                    <w:tr2bl w:val="nil"/>
                  </w:tcBorders>
                  <w:noWrap w:val="0"/>
                  <w:vAlign w:val="center"/>
                </w:tcPr>
                <w:p w14:paraId="12054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
                      <w:bCs/>
                      <w:color w:val="auto"/>
                      <w:sz w:val="21"/>
                      <w:szCs w:val="21"/>
                      <w:vertAlign w:val="baseline"/>
                      <w:lang w:val="en-US" w:eastAsia="zh-CN"/>
                    </w:rPr>
                    <w:t>动植物油</w:t>
                  </w:r>
                </w:p>
              </w:tc>
            </w:tr>
            <w:tr w14:paraId="06B25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237" w:type="dxa"/>
                  <w:vMerge w:val="restart"/>
                  <w:tcBorders>
                    <w:tl2br w:val="nil"/>
                    <w:tr2bl w:val="nil"/>
                  </w:tcBorders>
                  <w:noWrap w:val="0"/>
                  <w:vAlign w:val="center"/>
                </w:tcPr>
                <w:p w14:paraId="25675FE3">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i w:val="0"/>
                      <w:color w:val="auto"/>
                      <w:sz w:val="21"/>
                      <w:szCs w:val="21"/>
                      <w:highlight w:val="none"/>
                      <w:u w:val="none"/>
                      <w:lang w:val="en-US" w:eastAsia="zh-CN"/>
                    </w:rPr>
                  </w:pPr>
                  <w:r>
                    <w:rPr>
                      <w:rFonts w:hint="eastAsia" w:cs="Times New Roman"/>
                      <w:b w:val="0"/>
                      <w:bCs w:val="0"/>
                      <w:i w:val="0"/>
                      <w:color w:val="auto"/>
                      <w:sz w:val="21"/>
                      <w:szCs w:val="21"/>
                      <w:highlight w:val="none"/>
                      <w:u w:val="none"/>
                      <w:lang w:val="en-US" w:eastAsia="zh-CN"/>
                    </w:rPr>
                    <w:t>综合废水</w:t>
                  </w:r>
                  <w:r>
                    <w:rPr>
                      <w:rFonts w:hint="eastAsia" w:cs="Times New Roman"/>
                      <w:i w:val="0"/>
                      <w:color w:val="auto"/>
                      <w:sz w:val="21"/>
                      <w:szCs w:val="21"/>
                      <w:highlight w:val="none"/>
                      <w:u w:val="none"/>
                      <w:lang w:val="en-US" w:eastAsia="zh-CN"/>
                    </w:rPr>
                    <w:t>（</w:t>
                  </w:r>
                  <w:r>
                    <w:rPr>
                      <w:rFonts w:hint="eastAsia" w:cs="Times New Roman"/>
                      <w:color w:val="auto"/>
                      <w:sz w:val="21"/>
                      <w:szCs w:val="21"/>
                      <w:highlight w:val="none"/>
                      <w:lang w:val="en-US" w:eastAsia="zh-CN"/>
                    </w:rPr>
                    <w:t>188679</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8</w:t>
                  </w:r>
                  <w:r>
                    <w:rPr>
                      <w:rFonts w:hint="eastAsia" w:ascii="Times New Roman" w:hAnsi="Times New Roman" w:cs="Times New Roman"/>
                      <w:color w:val="auto"/>
                      <w:sz w:val="21"/>
                      <w:szCs w:val="21"/>
                      <w:highlight w:val="none"/>
                      <w:lang w:val="en-US" w:eastAsia="zh-CN"/>
                    </w:rPr>
                    <w:t>8</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cs="Times New Roman"/>
                      <w:i w:val="0"/>
                      <w:color w:val="auto"/>
                      <w:sz w:val="21"/>
                      <w:szCs w:val="21"/>
                      <w:highlight w:val="none"/>
                      <w:u w:val="none"/>
                      <w:lang w:val="en-US" w:eastAsia="zh-CN"/>
                    </w:rPr>
                    <w:t>）</w:t>
                  </w:r>
                </w:p>
              </w:tc>
              <w:tc>
                <w:tcPr>
                  <w:tcW w:w="1035" w:type="dxa"/>
                  <w:tcBorders>
                    <w:tl2br w:val="nil"/>
                    <w:tr2bl w:val="nil"/>
                  </w:tcBorders>
                  <w:noWrap w:val="0"/>
                  <w:vAlign w:val="center"/>
                </w:tcPr>
                <w:p w14:paraId="20DBD74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排放浓度mg/L</w:t>
                  </w:r>
                </w:p>
              </w:tc>
              <w:tc>
                <w:tcPr>
                  <w:tcW w:w="560" w:type="dxa"/>
                  <w:tcBorders>
                    <w:tl2br w:val="nil"/>
                    <w:tr2bl w:val="nil"/>
                  </w:tcBorders>
                  <w:noWrap w:val="0"/>
                  <w:vAlign w:val="center"/>
                </w:tcPr>
                <w:p w14:paraId="42A00D2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6-</w:t>
                  </w:r>
                  <w:r>
                    <w:rPr>
                      <w:rFonts w:hint="eastAsia" w:cs="Times New Roman"/>
                      <w:i w:val="0"/>
                      <w:color w:val="auto"/>
                      <w:sz w:val="21"/>
                      <w:szCs w:val="21"/>
                      <w:highlight w:val="none"/>
                      <w:u w:val="none"/>
                      <w:lang w:val="en-US" w:eastAsia="zh-CN"/>
                    </w:rPr>
                    <w:t>8.5</w:t>
                  </w:r>
                </w:p>
              </w:tc>
              <w:tc>
                <w:tcPr>
                  <w:tcW w:w="743" w:type="dxa"/>
                  <w:tcBorders>
                    <w:tl2br w:val="nil"/>
                    <w:tr2bl w:val="nil"/>
                  </w:tcBorders>
                  <w:noWrap w:val="0"/>
                  <w:vAlign w:val="center"/>
                </w:tcPr>
                <w:p w14:paraId="3BD4ED6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color w:val="auto"/>
                      <w:sz w:val="21"/>
                      <w:szCs w:val="21"/>
                      <w:vertAlign w:val="baseline"/>
                      <w:lang w:val="en-US" w:eastAsia="zh-CN"/>
                    </w:rPr>
                    <w:t xml:space="preserve">184.93 </w:t>
                  </w:r>
                </w:p>
              </w:tc>
              <w:tc>
                <w:tcPr>
                  <w:tcW w:w="743" w:type="dxa"/>
                  <w:tcBorders>
                    <w:tl2br w:val="nil"/>
                    <w:tr2bl w:val="nil"/>
                  </w:tcBorders>
                  <w:noWrap w:val="0"/>
                  <w:vAlign w:val="center"/>
                </w:tcPr>
                <w:p w14:paraId="30342ED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color w:val="auto"/>
                      <w:sz w:val="21"/>
                      <w:szCs w:val="21"/>
                      <w:vertAlign w:val="baseline"/>
                      <w:lang w:val="en-US" w:eastAsia="zh-CN"/>
                    </w:rPr>
                    <w:t xml:space="preserve">150.51 </w:t>
                  </w:r>
                </w:p>
              </w:tc>
              <w:tc>
                <w:tcPr>
                  <w:tcW w:w="755" w:type="dxa"/>
                  <w:tcBorders>
                    <w:tl2br w:val="nil"/>
                    <w:tr2bl w:val="nil"/>
                  </w:tcBorders>
                  <w:noWrap w:val="0"/>
                  <w:vAlign w:val="center"/>
                </w:tcPr>
                <w:p w14:paraId="5D384CD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color w:val="auto"/>
                      <w:sz w:val="21"/>
                      <w:szCs w:val="21"/>
                      <w:vertAlign w:val="baseline"/>
                      <w:lang w:val="en-US" w:eastAsia="zh-CN"/>
                    </w:rPr>
                    <w:t xml:space="preserve">63.42 </w:t>
                  </w:r>
                </w:p>
              </w:tc>
              <w:tc>
                <w:tcPr>
                  <w:tcW w:w="780" w:type="dxa"/>
                  <w:tcBorders>
                    <w:tl2br w:val="nil"/>
                    <w:tr2bl w:val="nil"/>
                  </w:tcBorders>
                  <w:noWrap w:val="0"/>
                  <w:vAlign w:val="center"/>
                </w:tcPr>
                <w:p w14:paraId="10E19BC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color w:val="auto"/>
                      <w:sz w:val="21"/>
                      <w:szCs w:val="21"/>
                      <w:vertAlign w:val="baseline"/>
                      <w:lang w:val="en-US" w:eastAsia="zh-CN"/>
                    </w:rPr>
                    <w:t xml:space="preserve">16.19 </w:t>
                  </w:r>
                </w:p>
              </w:tc>
              <w:tc>
                <w:tcPr>
                  <w:tcW w:w="695" w:type="dxa"/>
                  <w:tcBorders>
                    <w:tl2br w:val="nil"/>
                    <w:tr2bl w:val="nil"/>
                  </w:tcBorders>
                  <w:shd w:val="clear" w:color="auto" w:fill="auto"/>
                  <w:noWrap w:val="0"/>
                  <w:vAlign w:val="center"/>
                </w:tcPr>
                <w:p w14:paraId="06F024C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color w:val="auto"/>
                      <w:sz w:val="21"/>
                      <w:szCs w:val="21"/>
                      <w:vertAlign w:val="baseline"/>
                      <w:lang w:val="en-US" w:eastAsia="zh-CN"/>
                    </w:rPr>
                    <w:t xml:space="preserve">0.32 </w:t>
                  </w:r>
                </w:p>
              </w:tc>
              <w:tc>
                <w:tcPr>
                  <w:tcW w:w="775" w:type="dxa"/>
                  <w:tcBorders>
                    <w:tl2br w:val="nil"/>
                    <w:tr2bl w:val="nil"/>
                  </w:tcBorders>
                  <w:noWrap w:val="0"/>
                  <w:vAlign w:val="center"/>
                </w:tcPr>
                <w:p w14:paraId="311AB0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color w:val="auto"/>
                      <w:sz w:val="21"/>
                      <w:szCs w:val="21"/>
                      <w:vertAlign w:val="baseline"/>
                      <w:lang w:val="en-US" w:eastAsia="zh-CN"/>
                    </w:rPr>
                    <w:t xml:space="preserve">0.86 </w:t>
                  </w:r>
                </w:p>
              </w:tc>
              <w:tc>
                <w:tcPr>
                  <w:tcW w:w="869" w:type="dxa"/>
                  <w:tcBorders>
                    <w:tl2br w:val="nil"/>
                    <w:tr2bl w:val="nil"/>
                  </w:tcBorders>
                  <w:noWrap w:val="0"/>
                  <w:vAlign w:val="center"/>
                </w:tcPr>
                <w:p w14:paraId="3F65B5D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color w:val="auto"/>
                      <w:sz w:val="21"/>
                      <w:szCs w:val="21"/>
                      <w:vertAlign w:val="baseline"/>
                      <w:lang w:val="en-US" w:eastAsia="zh-CN"/>
                    </w:rPr>
                    <w:t xml:space="preserve">2.11 </w:t>
                  </w:r>
                </w:p>
              </w:tc>
            </w:tr>
            <w:tr w14:paraId="7F1C8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1237" w:type="dxa"/>
                  <w:vMerge w:val="continue"/>
                  <w:tcBorders>
                    <w:tl2br w:val="nil"/>
                    <w:tr2bl w:val="nil"/>
                  </w:tcBorders>
                  <w:noWrap w:val="0"/>
                  <w:vAlign w:val="center"/>
                </w:tcPr>
                <w:p w14:paraId="1E1809E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i w:val="0"/>
                      <w:color w:val="auto"/>
                      <w:sz w:val="21"/>
                      <w:szCs w:val="21"/>
                      <w:highlight w:val="none"/>
                      <w:u w:val="none"/>
                      <w:lang w:val="en-US" w:eastAsia="zh-CN"/>
                    </w:rPr>
                  </w:pPr>
                </w:p>
              </w:tc>
              <w:tc>
                <w:tcPr>
                  <w:tcW w:w="1035" w:type="dxa"/>
                  <w:tcBorders>
                    <w:tl2br w:val="nil"/>
                    <w:tr2bl w:val="nil"/>
                  </w:tcBorders>
                  <w:noWrap w:val="0"/>
                  <w:vAlign w:val="center"/>
                </w:tcPr>
                <w:p w14:paraId="513F210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排放</w:t>
                  </w:r>
                  <w:r>
                    <w:rPr>
                      <w:rFonts w:hint="default" w:ascii="Times New Roman" w:hAnsi="Times New Roman" w:eastAsia="宋体" w:cs="Times New Roman"/>
                      <w:i w:val="0"/>
                      <w:color w:val="auto"/>
                      <w:kern w:val="0"/>
                      <w:sz w:val="21"/>
                      <w:szCs w:val="21"/>
                      <w:highlight w:val="none"/>
                      <w:u w:val="none"/>
                      <w:lang w:val="en-US" w:eastAsia="zh-CN" w:bidi="ar"/>
                    </w:rPr>
                    <w:t>量t/a</w:t>
                  </w:r>
                </w:p>
              </w:tc>
              <w:tc>
                <w:tcPr>
                  <w:tcW w:w="560" w:type="dxa"/>
                  <w:tcBorders>
                    <w:tl2br w:val="nil"/>
                    <w:tr2bl w:val="nil"/>
                  </w:tcBorders>
                  <w:noWrap w:val="0"/>
                  <w:vAlign w:val="center"/>
                </w:tcPr>
                <w:p w14:paraId="144BEE67">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w:t>
                  </w:r>
                </w:p>
              </w:tc>
              <w:tc>
                <w:tcPr>
                  <w:tcW w:w="743" w:type="dxa"/>
                  <w:tcBorders>
                    <w:tl2br w:val="nil"/>
                    <w:tr2bl w:val="nil"/>
                  </w:tcBorders>
                  <w:noWrap w:val="0"/>
                  <w:vAlign w:val="center"/>
                </w:tcPr>
                <w:p w14:paraId="4151AC6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default" w:eastAsia="宋体" w:cs="Times New Roman"/>
                      <w:color w:val="auto"/>
                      <w:sz w:val="21"/>
                      <w:szCs w:val="21"/>
                      <w:vertAlign w:val="baseline"/>
                      <w:lang w:val="en-US" w:eastAsia="zh-CN"/>
                    </w:rPr>
                    <w:t xml:space="preserve">34.8925 </w:t>
                  </w:r>
                </w:p>
              </w:tc>
              <w:tc>
                <w:tcPr>
                  <w:tcW w:w="743" w:type="dxa"/>
                  <w:tcBorders>
                    <w:tl2br w:val="nil"/>
                    <w:tr2bl w:val="nil"/>
                  </w:tcBorders>
                  <w:noWrap w:val="0"/>
                  <w:vAlign w:val="center"/>
                </w:tcPr>
                <w:p w14:paraId="4326CE9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default" w:eastAsia="宋体" w:cs="Times New Roman"/>
                      <w:color w:val="auto"/>
                      <w:sz w:val="21"/>
                      <w:szCs w:val="21"/>
                      <w:vertAlign w:val="baseline"/>
                      <w:lang w:val="en-US" w:eastAsia="zh-CN"/>
                    </w:rPr>
                    <w:t xml:space="preserve">28.3977 </w:t>
                  </w:r>
                </w:p>
              </w:tc>
              <w:tc>
                <w:tcPr>
                  <w:tcW w:w="755" w:type="dxa"/>
                  <w:tcBorders>
                    <w:tl2br w:val="nil"/>
                    <w:tr2bl w:val="nil"/>
                  </w:tcBorders>
                  <w:noWrap w:val="0"/>
                  <w:vAlign w:val="center"/>
                </w:tcPr>
                <w:p w14:paraId="10F5EDB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default" w:eastAsia="宋体" w:cs="Times New Roman"/>
                      <w:color w:val="auto"/>
                      <w:sz w:val="21"/>
                      <w:szCs w:val="21"/>
                      <w:vertAlign w:val="baseline"/>
                      <w:lang w:val="en-US" w:eastAsia="zh-CN"/>
                    </w:rPr>
                    <w:t xml:space="preserve">11.9658 </w:t>
                  </w:r>
                </w:p>
              </w:tc>
              <w:tc>
                <w:tcPr>
                  <w:tcW w:w="780" w:type="dxa"/>
                  <w:tcBorders>
                    <w:tl2br w:val="nil"/>
                    <w:tr2bl w:val="nil"/>
                  </w:tcBorders>
                  <w:noWrap w:val="0"/>
                  <w:vAlign w:val="center"/>
                </w:tcPr>
                <w:p w14:paraId="1F1ECD7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default" w:eastAsia="宋体" w:cs="Times New Roman"/>
                      <w:color w:val="auto"/>
                      <w:sz w:val="21"/>
                      <w:szCs w:val="21"/>
                      <w:vertAlign w:val="baseline"/>
                      <w:lang w:val="en-US" w:eastAsia="zh-CN"/>
                    </w:rPr>
                    <w:t xml:space="preserve">3.0544 </w:t>
                  </w:r>
                </w:p>
              </w:tc>
              <w:tc>
                <w:tcPr>
                  <w:tcW w:w="695" w:type="dxa"/>
                  <w:tcBorders>
                    <w:tl2br w:val="nil"/>
                    <w:tr2bl w:val="nil"/>
                  </w:tcBorders>
                  <w:shd w:val="clear" w:color="auto" w:fill="auto"/>
                  <w:noWrap w:val="0"/>
                  <w:vAlign w:val="center"/>
                </w:tcPr>
                <w:p w14:paraId="1D6BCC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eastAsia="宋体" w:cs="Times New Roman"/>
                      <w:color w:val="auto"/>
                      <w:sz w:val="21"/>
                      <w:szCs w:val="21"/>
                      <w:vertAlign w:val="baseline"/>
                      <w:lang w:val="en-US" w:eastAsia="zh-CN"/>
                    </w:rPr>
                    <w:t xml:space="preserve">0.0612 </w:t>
                  </w:r>
                </w:p>
              </w:tc>
              <w:tc>
                <w:tcPr>
                  <w:tcW w:w="775" w:type="dxa"/>
                  <w:tcBorders>
                    <w:tl2br w:val="nil"/>
                    <w:tr2bl w:val="nil"/>
                  </w:tcBorders>
                  <w:noWrap w:val="0"/>
                  <w:vAlign w:val="center"/>
                </w:tcPr>
                <w:p w14:paraId="2957C42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default" w:eastAsia="宋体" w:cs="Times New Roman"/>
                      <w:color w:val="auto"/>
                      <w:sz w:val="21"/>
                      <w:szCs w:val="21"/>
                      <w:vertAlign w:val="baseline"/>
                      <w:lang w:val="en-US" w:eastAsia="zh-CN"/>
                    </w:rPr>
                    <w:t xml:space="preserve">0.1616 </w:t>
                  </w:r>
                </w:p>
              </w:tc>
              <w:tc>
                <w:tcPr>
                  <w:tcW w:w="869" w:type="dxa"/>
                  <w:tcBorders>
                    <w:tl2br w:val="nil"/>
                    <w:tr2bl w:val="nil"/>
                  </w:tcBorders>
                  <w:noWrap w:val="0"/>
                  <w:vAlign w:val="center"/>
                </w:tcPr>
                <w:p w14:paraId="27AD4D0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default" w:eastAsia="宋体" w:cs="Times New Roman"/>
                      <w:color w:val="auto"/>
                      <w:sz w:val="21"/>
                      <w:szCs w:val="21"/>
                      <w:vertAlign w:val="baseline"/>
                      <w:lang w:val="en-US" w:eastAsia="zh-CN"/>
                    </w:rPr>
                    <w:t xml:space="preserve">0.3974 </w:t>
                  </w:r>
                </w:p>
              </w:tc>
            </w:tr>
            <w:tr w14:paraId="4FABD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2272" w:type="dxa"/>
                  <w:gridSpan w:val="2"/>
                  <w:tcBorders>
                    <w:tl2br w:val="nil"/>
                    <w:tr2bl w:val="nil"/>
                  </w:tcBorders>
                  <w:noWrap w:val="0"/>
                  <w:vAlign w:val="center"/>
                </w:tcPr>
                <w:p w14:paraId="70CAFEB4">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《肉类加工工业水污染物排放标准》（</w:t>
                  </w:r>
                  <w:r>
                    <w:rPr>
                      <w:rFonts w:hint="default" w:ascii="Times New Roman" w:hAnsi="Times New Roman" w:eastAsia="宋体" w:cs="Times New Roman"/>
                      <w:i w:val="0"/>
                      <w:color w:val="auto"/>
                      <w:sz w:val="21"/>
                      <w:szCs w:val="21"/>
                      <w:highlight w:val="none"/>
                      <w:u w:val="none"/>
                      <w:lang w:val="en-US" w:eastAsia="zh-CN"/>
                    </w:rPr>
                    <w:t>GB13457-92</w:t>
                  </w:r>
                  <w:r>
                    <w:rPr>
                      <w:rFonts w:hint="eastAsia" w:ascii="Times New Roman" w:hAnsi="Times New Roman" w:eastAsia="宋体" w:cs="Times New Roman"/>
                      <w:i w:val="0"/>
                      <w:color w:val="auto"/>
                      <w:sz w:val="21"/>
                      <w:szCs w:val="21"/>
                      <w:highlight w:val="none"/>
                      <w:u w:val="none"/>
                      <w:lang w:val="en-US" w:eastAsia="zh-CN"/>
                    </w:rPr>
                    <w:t xml:space="preserve">）表 </w:t>
                  </w:r>
                  <w:r>
                    <w:rPr>
                      <w:rFonts w:hint="default" w:ascii="Times New Roman" w:hAnsi="Times New Roman" w:eastAsia="宋体" w:cs="Times New Roman"/>
                      <w:i w:val="0"/>
                      <w:color w:val="auto"/>
                      <w:sz w:val="21"/>
                      <w:szCs w:val="21"/>
                      <w:highlight w:val="none"/>
                      <w:u w:val="none"/>
                      <w:lang w:val="en-US" w:eastAsia="zh-CN"/>
                    </w:rPr>
                    <w:t xml:space="preserve">3 </w:t>
                  </w:r>
                  <w:r>
                    <w:rPr>
                      <w:rFonts w:hint="eastAsia" w:ascii="Times New Roman" w:hAnsi="Times New Roman" w:eastAsia="宋体" w:cs="Times New Roman"/>
                      <w:i w:val="0"/>
                      <w:color w:val="auto"/>
                      <w:sz w:val="21"/>
                      <w:szCs w:val="21"/>
                      <w:highlight w:val="none"/>
                      <w:u w:val="none"/>
                      <w:lang w:val="en-US" w:eastAsia="zh-CN"/>
                    </w:rPr>
                    <w:t>三级标准和宁都县第二污水处理厂接管标准较严值（mg/L）</w:t>
                  </w:r>
                </w:p>
              </w:tc>
              <w:tc>
                <w:tcPr>
                  <w:tcW w:w="560" w:type="dxa"/>
                  <w:tcBorders>
                    <w:tl2br w:val="nil"/>
                    <w:tr2bl w:val="nil"/>
                  </w:tcBorders>
                  <w:noWrap w:val="0"/>
                  <w:vAlign w:val="center"/>
                </w:tcPr>
                <w:p w14:paraId="1B82AEA1">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ascii="Times New Roman" w:hAnsi="Times New Roman" w:cs="Times New Roman"/>
                      <w:i w:val="0"/>
                      <w:color w:val="auto"/>
                      <w:sz w:val="21"/>
                      <w:szCs w:val="21"/>
                      <w:highlight w:val="none"/>
                      <w:u w:val="none"/>
                      <w:lang w:val="en-US" w:eastAsia="zh-CN"/>
                    </w:rPr>
                    <w:t>6-</w:t>
                  </w:r>
                  <w:r>
                    <w:rPr>
                      <w:rFonts w:hint="eastAsia" w:cs="Times New Roman"/>
                      <w:i w:val="0"/>
                      <w:color w:val="auto"/>
                      <w:sz w:val="21"/>
                      <w:szCs w:val="21"/>
                      <w:highlight w:val="none"/>
                      <w:u w:val="none"/>
                      <w:lang w:val="en-US" w:eastAsia="zh-CN"/>
                    </w:rPr>
                    <w:t>8.5</w:t>
                  </w:r>
                </w:p>
              </w:tc>
              <w:tc>
                <w:tcPr>
                  <w:tcW w:w="743" w:type="dxa"/>
                  <w:tcBorders>
                    <w:tl2br w:val="nil"/>
                    <w:tr2bl w:val="nil"/>
                  </w:tcBorders>
                  <w:shd w:val="clear" w:color="auto" w:fill="FFFFFF"/>
                  <w:noWrap w:val="0"/>
                  <w:vAlign w:val="center"/>
                </w:tcPr>
                <w:p w14:paraId="0B7733C5">
                  <w:pPr>
                    <w:pStyle w:val="13"/>
                    <w:bidi w:val="0"/>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500</w:t>
                  </w:r>
                </w:p>
              </w:tc>
              <w:tc>
                <w:tcPr>
                  <w:tcW w:w="743" w:type="dxa"/>
                  <w:tcBorders>
                    <w:tl2br w:val="nil"/>
                    <w:tr2bl w:val="nil"/>
                  </w:tcBorders>
                  <w:shd w:val="clear" w:color="auto" w:fill="FFFFFF"/>
                  <w:noWrap w:val="0"/>
                  <w:vAlign w:val="center"/>
                </w:tcPr>
                <w:p w14:paraId="7C78A5D8">
                  <w:pPr>
                    <w:pStyle w:val="13"/>
                    <w:bidi w:val="0"/>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300</w:t>
                  </w:r>
                </w:p>
              </w:tc>
              <w:tc>
                <w:tcPr>
                  <w:tcW w:w="755" w:type="dxa"/>
                  <w:tcBorders>
                    <w:tl2br w:val="nil"/>
                    <w:tr2bl w:val="nil"/>
                  </w:tcBorders>
                  <w:shd w:val="clear" w:color="auto" w:fill="FFFFFF"/>
                  <w:noWrap w:val="0"/>
                  <w:vAlign w:val="center"/>
                </w:tcPr>
                <w:p w14:paraId="09D59596">
                  <w:pPr>
                    <w:pStyle w:val="13"/>
                    <w:bidi w:val="0"/>
                    <w:ind w:left="0" w:leftChars="0"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35</w:t>
                  </w:r>
                  <w:r>
                    <w:rPr>
                      <w:rFonts w:hint="default"/>
                      <w:color w:val="auto"/>
                      <w:highlight w:val="none"/>
                    </w:rPr>
                    <w:t>0</w:t>
                  </w:r>
                </w:p>
              </w:tc>
              <w:tc>
                <w:tcPr>
                  <w:tcW w:w="780" w:type="dxa"/>
                  <w:tcBorders>
                    <w:tl2br w:val="nil"/>
                    <w:tr2bl w:val="nil"/>
                  </w:tcBorders>
                  <w:shd w:val="clear" w:color="auto" w:fill="FFFFFF"/>
                  <w:noWrap w:val="0"/>
                  <w:vAlign w:val="center"/>
                </w:tcPr>
                <w:p w14:paraId="415726CD">
                  <w:pPr>
                    <w:pStyle w:val="13"/>
                    <w:bidi w:val="0"/>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50</w:t>
                  </w:r>
                </w:p>
              </w:tc>
              <w:tc>
                <w:tcPr>
                  <w:tcW w:w="695" w:type="dxa"/>
                  <w:tcBorders>
                    <w:tl2br w:val="nil"/>
                    <w:tr2bl w:val="nil"/>
                  </w:tcBorders>
                  <w:shd w:val="clear" w:color="auto" w:fill="FFFFFF"/>
                  <w:noWrap w:val="0"/>
                  <w:vAlign w:val="center"/>
                </w:tcPr>
                <w:p w14:paraId="56D48D9F">
                  <w:pPr>
                    <w:pStyle w:val="13"/>
                    <w:bidi w:val="0"/>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5</w:t>
                  </w:r>
                </w:p>
              </w:tc>
              <w:tc>
                <w:tcPr>
                  <w:tcW w:w="775" w:type="dxa"/>
                  <w:tcBorders>
                    <w:tl2br w:val="nil"/>
                    <w:tr2bl w:val="nil"/>
                  </w:tcBorders>
                  <w:shd w:val="clear" w:color="auto" w:fill="FFFFFF"/>
                  <w:noWrap w:val="0"/>
                  <w:vAlign w:val="center"/>
                </w:tcPr>
                <w:p w14:paraId="15B9A681">
                  <w:pPr>
                    <w:pStyle w:val="13"/>
                    <w:bidi w:val="0"/>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70</w:t>
                  </w:r>
                </w:p>
              </w:tc>
              <w:tc>
                <w:tcPr>
                  <w:tcW w:w="869" w:type="dxa"/>
                  <w:tcBorders>
                    <w:tl2br w:val="nil"/>
                    <w:tr2bl w:val="nil"/>
                  </w:tcBorders>
                  <w:shd w:val="clear" w:color="auto" w:fill="FFFFFF"/>
                  <w:noWrap w:val="0"/>
                  <w:vAlign w:val="center"/>
                </w:tcPr>
                <w:p w14:paraId="50684C0D">
                  <w:pPr>
                    <w:pStyle w:val="13"/>
                    <w:bidi w:val="0"/>
                    <w:ind w:left="0" w:leftChars="0"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3</w:t>
                  </w:r>
                </w:p>
              </w:tc>
            </w:tr>
            <w:tr w14:paraId="381B4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5" w:hRule="atLeast"/>
                <w:jc w:val="center"/>
              </w:trPr>
              <w:tc>
                <w:tcPr>
                  <w:tcW w:w="2272" w:type="dxa"/>
                  <w:gridSpan w:val="2"/>
                  <w:tcBorders>
                    <w:tl2br w:val="nil"/>
                    <w:tr2bl w:val="nil"/>
                  </w:tcBorders>
                  <w:noWrap w:val="0"/>
                  <w:vAlign w:val="center"/>
                </w:tcPr>
                <w:p w14:paraId="1C0A3A4A">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cs="Times New Roman"/>
                      <w:i w:val="0"/>
                      <w:color w:val="auto"/>
                      <w:kern w:val="0"/>
                      <w:sz w:val="21"/>
                      <w:szCs w:val="21"/>
                      <w:highlight w:val="none"/>
                      <w:u w:val="none"/>
                      <w:lang w:val="en-US" w:eastAsia="zh-CN" w:bidi="ar"/>
                    </w:rPr>
                  </w:pPr>
                  <w:r>
                    <w:rPr>
                      <w:rFonts w:hint="eastAsia"/>
                      <w:color w:val="auto"/>
                      <w:highlight w:val="none"/>
                      <w:lang w:val="en-US" w:eastAsia="zh-CN"/>
                    </w:rPr>
                    <w:t>达标可行性</w:t>
                  </w:r>
                </w:p>
              </w:tc>
              <w:tc>
                <w:tcPr>
                  <w:tcW w:w="560" w:type="dxa"/>
                  <w:tcBorders>
                    <w:tl2br w:val="nil"/>
                    <w:tr2bl w:val="nil"/>
                  </w:tcBorders>
                  <w:noWrap w:val="0"/>
                  <w:vAlign w:val="center"/>
                </w:tcPr>
                <w:p w14:paraId="1B6EC483">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olor w:val="auto"/>
                      <w:highlight w:val="none"/>
                      <w:lang w:val="en-US" w:eastAsia="zh-CN"/>
                    </w:rPr>
                    <w:t>达标</w:t>
                  </w:r>
                </w:p>
              </w:tc>
              <w:tc>
                <w:tcPr>
                  <w:tcW w:w="743" w:type="dxa"/>
                  <w:tcBorders>
                    <w:tl2br w:val="nil"/>
                    <w:tr2bl w:val="nil"/>
                  </w:tcBorders>
                  <w:noWrap w:val="0"/>
                  <w:vAlign w:val="center"/>
                </w:tcPr>
                <w:p w14:paraId="4AF5E75B">
                  <w:pPr>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达标</w:t>
                  </w:r>
                </w:p>
              </w:tc>
              <w:tc>
                <w:tcPr>
                  <w:tcW w:w="743" w:type="dxa"/>
                  <w:tcBorders>
                    <w:tl2br w:val="nil"/>
                    <w:tr2bl w:val="nil"/>
                  </w:tcBorders>
                  <w:noWrap w:val="0"/>
                  <w:vAlign w:val="center"/>
                </w:tcPr>
                <w:p w14:paraId="575B7CC3">
                  <w:pPr>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达标</w:t>
                  </w:r>
                </w:p>
              </w:tc>
              <w:tc>
                <w:tcPr>
                  <w:tcW w:w="755" w:type="dxa"/>
                  <w:tcBorders>
                    <w:tl2br w:val="nil"/>
                    <w:tr2bl w:val="nil"/>
                  </w:tcBorders>
                  <w:noWrap w:val="0"/>
                  <w:vAlign w:val="center"/>
                </w:tcPr>
                <w:p w14:paraId="61AFE310">
                  <w:pPr>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达标</w:t>
                  </w:r>
                </w:p>
              </w:tc>
              <w:tc>
                <w:tcPr>
                  <w:tcW w:w="780" w:type="dxa"/>
                  <w:tcBorders>
                    <w:tl2br w:val="nil"/>
                    <w:tr2bl w:val="nil"/>
                  </w:tcBorders>
                  <w:noWrap w:val="0"/>
                  <w:vAlign w:val="center"/>
                </w:tcPr>
                <w:p w14:paraId="757B4049">
                  <w:pPr>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达标</w:t>
                  </w:r>
                </w:p>
              </w:tc>
              <w:tc>
                <w:tcPr>
                  <w:tcW w:w="695" w:type="dxa"/>
                  <w:tcBorders>
                    <w:tl2br w:val="nil"/>
                    <w:tr2bl w:val="nil"/>
                  </w:tcBorders>
                  <w:noWrap w:val="0"/>
                  <w:vAlign w:val="center"/>
                </w:tcPr>
                <w:p w14:paraId="5E0E5097">
                  <w:pPr>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达标</w:t>
                  </w:r>
                </w:p>
              </w:tc>
              <w:tc>
                <w:tcPr>
                  <w:tcW w:w="775" w:type="dxa"/>
                  <w:tcBorders>
                    <w:tl2br w:val="nil"/>
                    <w:tr2bl w:val="nil"/>
                  </w:tcBorders>
                  <w:noWrap w:val="0"/>
                  <w:vAlign w:val="center"/>
                </w:tcPr>
                <w:p w14:paraId="4F7D71E2">
                  <w:pPr>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达标</w:t>
                  </w:r>
                </w:p>
              </w:tc>
              <w:tc>
                <w:tcPr>
                  <w:tcW w:w="869" w:type="dxa"/>
                  <w:tcBorders>
                    <w:tl2br w:val="nil"/>
                    <w:tr2bl w:val="nil"/>
                  </w:tcBorders>
                  <w:noWrap w:val="0"/>
                  <w:vAlign w:val="center"/>
                </w:tcPr>
                <w:p w14:paraId="63AD8CCD">
                  <w:pPr>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达标</w:t>
                  </w:r>
                </w:p>
              </w:tc>
            </w:tr>
          </w:tbl>
          <w:p w14:paraId="49ADF3A1">
            <w:pPr>
              <w:autoSpaceDE w:val="0"/>
              <w:autoSpaceDN w:val="0"/>
              <w:adjustRightInd w:val="0"/>
              <w:spacing w:line="360" w:lineRule="auto"/>
              <w:ind w:firstLine="480" w:firstLineChars="200"/>
              <w:rPr>
                <w:rFonts w:hint="default"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val="en-US" w:eastAsia="zh-CN"/>
              </w:rPr>
              <w:t>根据上表计算数据可得，</w:t>
            </w:r>
            <w:r>
              <w:rPr>
                <w:rFonts w:hint="default" w:ascii="Times New Roman" w:hAnsi="Times New Roman" w:cs="Times New Roman"/>
                <w:bCs/>
                <w:color w:val="auto"/>
                <w:sz w:val="24"/>
                <w:szCs w:val="24"/>
                <w:lang w:val="en-US" w:eastAsia="zh-CN"/>
              </w:rPr>
              <w:t>本项目</w:t>
            </w:r>
            <w:r>
              <w:rPr>
                <w:rFonts w:hint="eastAsia" w:ascii="Times New Roman" w:hAnsi="Times New Roman" w:cs="Times New Roman"/>
                <w:color w:val="auto"/>
                <w:sz w:val="24"/>
                <w:szCs w:val="24"/>
                <w:lang w:val="en-US" w:eastAsia="zh-CN"/>
              </w:rPr>
              <w:t>综合废水</w:t>
            </w:r>
            <w:r>
              <w:rPr>
                <w:rFonts w:hint="default" w:ascii="Times New Roman" w:hAnsi="Times New Roman" w:cs="Times New Roman"/>
                <w:bCs/>
                <w:color w:val="auto"/>
                <w:sz w:val="24"/>
                <w:szCs w:val="24"/>
                <w:lang w:eastAsia="zh-CN"/>
              </w:rPr>
              <w:t>出水水质能达到</w:t>
            </w:r>
            <w:r>
              <w:rPr>
                <w:rFonts w:hint="eastAsia" w:ascii="Times New Roman" w:hAnsi="Times New Roman" w:eastAsia="宋体" w:cs="Times New Roman"/>
                <w:b w:val="0"/>
                <w:bCs w:val="0"/>
                <w:color w:val="auto"/>
                <w:kern w:val="2"/>
                <w:sz w:val="24"/>
                <w:szCs w:val="24"/>
                <w:highlight w:val="none"/>
                <w:lang w:val="en-US" w:eastAsia="zh-CN" w:bidi="ar-SA"/>
              </w:rPr>
              <w:t>《肉类加工工业水污染物排放标准》（</w:t>
            </w:r>
            <w:r>
              <w:rPr>
                <w:rFonts w:hint="default" w:ascii="Times New Roman" w:hAnsi="Times New Roman" w:eastAsia="宋体" w:cs="Times New Roman"/>
                <w:b w:val="0"/>
                <w:bCs w:val="0"/>
                <w:color w:val="auto"/>
                <w:kern w:val="2"/>
                <w:sz w:val="24"/>
                <w:szCs w:val="24"/>
                <w:highlight w:val="none"/>
                <w:lang w:val="en-US" w:eastAsia="zh-CN" w:bidi="ar-SA"/>
              </w:rPr>
              <w:t>GB13457-92</w:t>
            </w:r>
            <w:r>
              <w:rPr>
                <w:rFonts w:hint="eastAsia" w:ascii="Times New Roman" w:hAnsi="Times New Roman" w:eastAsia="宋体" w:cs="Times New Roman"/>
                <w:b w:val="0"/>
                <w:bCs w:val="0"/>
                <w:color w:val="auto"/>
                <w:kern w:val="2"/>
                <w:sz w:val="24"/>
                <w:szCs w:val="24"/>
                <w:highlight w:val="none"/>
                <w:lang w:val="en-US" w:eastAsia="zh-CN" w:bidi="ar-SA"/>
              </w:rPr>
              <w:t xml:space="preserve">）表 </w:t>
            </w:r>
            <w:r>
              <w:rPr>
                <w:rFonts w:hint="default" w:ascii="Times New Roman" w:hAnsi="Times New Roman" w:eastAsia="宋体" w:cs="Times New Roman"/>
                <w:b w:val="0"/>
                <w:bCs w:val="0"/>
                <w:color w:val="auto"/>
                <w:kern w:val="2"/>
                <w:sz w:val="24"/>
                <w:szCs w:val="24"/>
                <w:highlight w:val="none"/>
                <w:lang w:val="en-US" w:eastAsia="zh-CN" w:bidi="ar-SA"/>
              </w:rPr>
              <w:t xml:space="preserve">3 </w:t>
            </w:r>
            <w:r>
              <w:rPr>
                <w:rFonts w:hint="eastAsia" w:ascii="Times New Roman" w:hAnsi="Times New Roman" w:eastAsia="宋体" w:cs="Times New Roman"/>
                <w:b w:val="0"/>
                <w:bCs w:val="0"/>
                <w:color w:val="auto"/>
                <w:kern w:val="2"/>
                <w:sz w:val="24"/>
                <w:szCs w:val="24"/>
                <w:highlight w:val="none"/>
                <w:lang w:val="en-US" w:eastAsia="zh-CN" w:bidi="ar-SA"/>
              </w:rPr>
              <w:t>三级标准和宁都县第二污水处理厂接管标准较严值</w:t>
            </w:r>
            <w:r>
              <w:rPr>
                <w:rFonts w:hint="default" w:ascii="Times New Roman" w:hAnsi="Times New Roman" w:cs="Times New Roman"/>
                <w:bCs/>
                <w:color w:val="auto"/>
                <w:sz w:val="24"/>
                <w:szCs w:val="24"/>
                <w:lang w:eastAsia="zh-CN"/>
              </w:rPr>
              <w:t>要求</w:t>
            </w:r>
            <w:r>
              <w:rPr>
                <w:rFonts w:hint="eastAsia" w:ascii="Times New Roman" w:hAnsi="Times New Roman" w:cs="Times New Roman"/>
                <w:bCs/>
                <w:color w:val="auto"/>
                <w:sz w:val="24"/>
                <w:szCs w:val="24"/>
                <w:lang w:eastAsia="zh-CN"/>
              </w:rPr>
              <w:t>，</w:t>
            </w:r>
            <w:r>
              <w:rPr>
                <w:rFonts w:hint="default" w:ascii="Times New Roman" w:hAnsi="Times New Roman" w:cs="Times New Roman"/>
                <w:color w:val="auto"/>
                <w:kern w:val="0"/>
                <w:sz w:val="24"/>
                <w:szCs w:val="24"/>
              </w:rPr>
              <w:t>对</w:t>
            </w:r>
            <w:r>
              <w:rPr>
                <w:rFonts w:hint="eastAsia" w:ascii="Times New Roman" w:hAnsi="Times New Roman" w:cs="Times New Roman"/>
                <w:color w:val="auto"/>
                <w:kern w:val="0"/>
                <w:sz w:val="24"/>
                <w:szCs w:val="24"/>
                <w:lang w:eastAsia="zh-CN"/>
              </w:rPr>
              <w:t>污水处理厂</w:t>
            </w:r>
            <w:r>
              <w:rPr>
                <w:rFonts w:hint="default" w:ascii="Times New Roman" w:hAnsi="Times New Roman" w:cs="Times New Roman"/>
                <w:color w:val="auto"/>
                <w:kern w:val="0"/>
                <w:sz w:val="24"/>
                <w:szCs w:val="24"/>
              </w:rPr>
              <w:t>的正常运行不会产生影响</w:t>
            </w:r>
            <w:r>
              <w:rPr>
                <w:rFonts w:hint="default" w:ascii="Times New Roman" w:hAnsi="Times New Roman" w:cs="Times New Roman"/>
                <w:bCs/>
                <w:color w:val="auto"/>
                <w:sz w:val="24"/>
                <w:szCs w:val="24"/>
                <w:lang w:eastAsia="zh-CN"/>
              </w:rPr>
              <w:t>。</w:t>
            </w:r>
          </w:p>
          <w:p w14:paraId="498E82B3">
            <w:pPr>
              <w:widowControl/>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②进水水量可接纳分析</w:t>
            </w:r>
          </w:p>
          <w:p w14:paraId="6CCF9A8F">
            <w:pPr>
              <w:spacing w:line="360" w:lineRule="auto"/>
              <w:ind w:firstLine="480" w:firstLineChars="200"/>
              <w:rPr>
                <w:rFonts w:eastAsia="宋体"/>
                <w:color w:val="auto"/>
                <w:sz w:val="24"/>
                <w:highlight w:val="none"/>
              </w:rPr>
            </w:pPr>
            <w:r>
              <w:rPr>
                <w:rFonts w:hint="eastAsia" w:eastAsia="宋体"/>
                <w:color w:val="auto"/>
                <w:sz w:val="24"/>
                <w:highlight w:val="none"/>
                <w:lang w:val="en-US" w:eastAsia="zh-CN"/>
              </w:rPr>
              <w:t>宁都县第二污水处理厂现有处理规模为</w:t>
            </w:r>
            <w:r>
              <w:rPr>
                <w:rFonts w:hint="default" w:eastAsia="宋体"/>
                <w:color w:val="auto"/>
                <w:sz w:val="24"/>
                <w:highlight w:val="none"/>
                <w:lang w:val="en-US" w:eastAsia="zh-CN"/>
              </w:rPr>
              <w:t>5000m</w:t>
            </w:r>
            <w:r>
              <w:rPr>
                <w:rFonts w:hint="default" w:eastAsia="宋体"/>
                <w:color w:val="auto"/>
                <w:sz w:val="24"/>
                <w:highlight w:val="none"/>
                <w:vertAlign w:val="superscript"/>
                <w:lang w:val="en-US" w:eastAsia="zh-CN"/>
              </w:rPr>
              <w:t>3</w:t>
            </w:r>
            <w:r>
              <w:rPr>
                <w:rFonts w:hint="default" w:eastAsia="宋体"/>
                <w:color w:val="auto"/>
                <w:sz w:val="24"/>
                <w:highlight w:val="none"/>
                <w:lang w:val="en-US" w:eastAsia="zh-CN"/>
              </w:rPr>
              <w:t>/d</w:t>
            </w:r>
            <w:r>
              <w:rPr>
                <w:rFonts w:hint="eastAsia" w:eastAsia="宋体"/>
                <w:color w:val="auto"/>
                <w:sz w:val="24"/>
                <w:highlight w:val="none"/>
                <w:lang w:val="en-US" w:eastAsia="zh-CN"/>
              </w:rPr>
              <w:t xml:space="preserve">，目前剩余余量约 </w:t>
            </w:r>
            <w:r>
              <w:rPr>
                <w:rFonts w:hint="default" w:eastAsia="宋体"/>
                <w:color w:val="auto"/>
                <w:sz w:val="24"/>
                <w:highlight w:val="none"/>
                <w:lang w:val="en-US" w:eastAsia="zh-CN"/>
              </w:rPr>
              <w:t>1000m</w:t>
            </w:r>
            <w:r>
              <w:rPr>
                <w:rFonts w:hint="default" w:eastAsia="宋体"/>
                <w:color w:val="auto"/>
                <w:sz w:val="24"/>
                <w:highlight w:val="none"/>
                <w:vertAlign w:val="superscript"/>
                <w:lang w:val="en-US" w:eastAsia="zh-CN"/>
              </w:rPr>
              <w:t>3</w:t>
            </w:r>
            <w:r>
              <w:rPr>
                <w:rFonts w:hint="default" w:eastAsia="宋体"/>
                <w:color w:val="auto"/>
                <w:sz w:val="24"/>
                <w:highlight w:val="none"/>
                <w:lang w:val="en-US" w:eastAsia="zh-CN"/>
              </w:rPr>
              <w:t>/d</w:t>
            </w:r>
            <w:r>
              <w:rPr>
                <w:rFonts w:hint="eastAsia" w:eastAsia="宋体"/>
                <w:color w:val="auto"/>
                <w:sz w:val="24"/>
                <w:highlight w:val="none"/>
                <w:lang w:val="en-US" w:eastAsia="zh-CN"/>
              </w:rPr>
              <w:t>，本项目最大废</w:t>
            </w:r>
            <w:r>
              <w:rPr>
                <w:rFonts w:hint="eastAsia" w:eastAsia="宋体"/>
                <w:color w:val="auto"/>
                <w:sz w:val="24"/>
                <w:szCs w:val="24"/>
                <w:highlight w:val="none"/>
                <w:lang w:val="en-US" w:eastAsia="zh-CN"/>
              </w:rPr>
              <w:t>水排放量约为</w:t>
            </w:r>
            <w:r>
              <w:rPr>
                <w:rFonts w:hint="eastAsia" w:cs="Times New Roman"/>
                <w:color w:val="auto"/>
                <w:sz w:val="24"/>
                <w:szCs w:val="24"/>
                <w:vertAlign w:val="baseline"/>
                <w:lang w:val="en-US" w:eastAsia="zh-CN"/>
              </w:rPr>
              <w:t>628.933</w:t>
            </w:r>
            <w:r>
              <w:rPr>
                <w:rFonts w:hint="default" w:eastAsia="宋体"/>
                <w:color w:val="auto"/>
                <w:sz w:val="24"/>
                <w:szCs w:val="24"/>
                <w:highlight w:val="none"/>
                <w:lang w:val="en-US" w:eastAsia="zh-CN"/>
              </w:rPr>
              <w:t>m</w:t>
            </w:r>
            <w:r>
              <w:rPr>
                <w:rFonts w:hint="default" w:eastAsia="宋体"/>
                <w:color w:val="auto"/>
                <w:sz w:val="24"/>
                <w:szCs w:val="24"/>
                <w:highlight w:val="none"/>
                <w:vertAlign w:val="superscript"/>
                <w:lang w:val="en-US" w:eastAsia="zh-CN"/>
              </w:rPr>
              <w:t>3</w:t>
            </w:r>
            <w:r>
              <w:rPr>
                <w:rFonts w:hint="default" w:eastAsia="宋体"/>
                <w:color w:val="auto"/>
                <w:sz w:val="24"/>
                <w:szCs w:val="24"/>
                <w:highlight w:val="none"/>
                <w:lang w:val="en-US" w:eastAsia="zh-CN"/>
              </w:rPr>
              <w:t>/d</w:t>
            </w:r>
            <w:r>
              <w:rPr>
                <w:rFonts w:hint="eastAsia" w:eastAsia="宋体"/>
                <w:color w:val="auto"/>
                <w:sz w:val="24"/>
                <w:szCs w:val="24"/>
                <w:highlight w:val="none"/>
                <w:lang w:val="en-US" w:eastAsia="zh-CN"/>
              </w:rPr>
              <w:t>，占污水</w:t>
            </w:r>
            <w:r>
              <w:rPr>
                <w:rFonts w:hint="eastAsia" w:eastAsia="宋体"/>
                <w:color w:val="auto"/>
                <w:sz w:val="24"/>
                <w:highlight w:val="none"/>
                <w:lang w:val="en-US" w:eastAsia="zh-CN"/>
              </w:rPr>
              <w:t xml:space="preserve">处理厂余量的 </w:t>
            </w:r>
            <w:r>
              <w:rPr>
                <w:rFonts w:hint="eastAsia"/>
                <w:color w:val="auto"/>
                <w:sz w:val="24"/>
                <w:highlight w:val="none"/>
                <w:lang w:val="en-US" w:eastAsia="zh-CN"/>
              </w:rPr>
              <w:t>62.9</w:t>
            </w:r>
            <w:r>
              <w:rPr>
                <w:rFonts w:hint="default" w:eastAsia="宋体"/>
                <w:color w:val="auto"/>
                <w:sz w:val="24"/>
                <w:highlight w:val="none"/>
                <w:lang w:val="en-US" w:eastAsia="zh-CN"/>
              </w:rPr>
              <w:t>%</w:t>
            </w:r>
            <w:r>
              <w:rPr>
                <w:rFonts w:hint="eastAsia" w:eastAsia="宋体"/>
                <w:color w:val="auto"/>
                <w:sz w:val="24"/>
                <w:highlight w:val="none"/>
                <w:lang w:val="en-US" w:eastAsia="zh-CN"/>
              </w:rPr>
              <w:t>，小于剩余处理能力。</w:t>
            </w:r>
            <w:r>
              <w:rPr>
                <w:rFonts w:hint="eastAsia"/>
                <w:color w:val="auto"/>
                <w:sz w:val="24"/>
                <w:highlight w:val="none"/>
                <w:lang w:val="en-US" w:eastAsia="zh-CN"/>
              </w:rPr>
              <w:t>但根据实际的客户需求情况，目前企业2023和2024年生产能力约6000t产品，实际污水排放量在50</w:t>
            </w:r>
            <w:r>
              <w:rPr>
                <w:rFonts w:hint="default" w:eastAsia="宋体"/>
                <w:color w:val="auto"/>
                <w:sz w:val="24"/>
                <w:szCs w:val="24"/>
                <w:highlight w:val="none"/>
                <w:lang w:val="en-US" w:eastAsia="zh-CN"/>
              </w:rPr>
              <w:t>m</w:t>
            </w:r>
            <w:r>
              <w:rPr>
                <w:rFonts w:hint="default" w:eastAsia="宋体"/>
                <w:color w:val="auto"/>
                <w:sz w:val="24"/>
                <w:szCs w:val="24"/>
                <w:highlight w:val="none"/>
                <w:vertAlign w:val="superscript"/>
                <w:lang w:val="en-US" w:eastAsia="zh-CN"/>
              </w:rPr>
              <w:t>3</w:t>
            </w:r>
            <w:r>
              <w:rPr>
                <w:rFonts w:hint="default" w:eastAsia="宋体"/>
                <w:color w:val="auto"/>
                <w:sz w:val="24"/>
                <w:szCs w:val="24"/>
                <w:highlight w:val="none"/>
                <w:lang w:val="en-US" w:eastAsia="zh-CN"/>
              </w:rPr>
              <w:t>/d</w:t>
            </w:r>
            <w:r>
              <w:rPr>
                <w:rFonts w:hint="eastAsia"/>
                <w:color w:val="auto"/>
                <w:sz w:val="24"/>
                <w:szCs w:val="24"/>
                <w:highlight w:val="none"/>
                <w:lang w:val="en-US" w:eastAsia="zh-CN"/>
              </w:rPr>
              <w:t>以下</w:t>
            </w:r>
            <w:r>
              <w:rPr>
                <w:rFonts w:hint="eastAsia"/>
                <w:color w:val="auto"/>
                <w:sz w:val="24"/>
                <w:highlight w:val="none"/>
                <w:lang w:val="en-US" w:eastAsia="zh-CN"/>
              </w:rPr>
              <w:t>，</w:t>
            </w:r>
            <w:r>
              <w:rPr>
                <w:rFonts w:hint="eastAsia" w:eastAsia="宋体"/>
                <w:color w:val="auto"/>
                <w:sz w:val="24"/>
                <w:highlight w:val="none"/>
                <w:lang w:val="en-US" w:eastAsia="zh-CN"/>
              </w:rPr>
              <w:t>且宁都县第二污水处理厂正在进行扩建提标，扩容工程建成后将新增</w:t>
            </w:r>
            <w:r>
              <w:rPr>
                <w:rFonts w:hint="default" w:eastAsia="宋体"/>
                <w:color w:val="auto"/>
                <w:sz w:val="24"/>
                <w:highlight w:val="none"/>
                <w:lang w:val="en-US" w:eastAsia="zh-CN"/>
              </w:rPr>
              <w:t>1.5</w:t>
            </w:r>
            <w:r>
              <w:rPr>
                <w:rFonts w:hint="eastAsia" w:eastAsia="宋体"/>
                <w:color w:val="auto"/>
                <w:sz w:val="24"/>
                <w:highlight w:val="none"/>
                <w:lang w:val="en-US" w:eastAsia="zh-CN"/>
              </w:rPr>
              <w:t>万</w:t>
            </w:r>
            <w:r>
              <w:rPr>
                <w:rFonts w:hint="default" w:eastAsia="宋体"/>
                <w:color w:val="auto"/>
                <w:sz w:val="24"/>
                <w:highlight w:val="none"/>
                <w:lang w:val="en-US" w:eastAsia="zh-CN"/>
              </w:rPr>
              <w:t>m</w:t>
            </w:r>
            <w:r>
              <w:rPr>
                <w:rFonts w:hint="default" w:eastAsia="宋体"/>
                <w:color w:val="auto"/>
                <w:sz w:val="24"/>
                <w:highlight w:val="none"/>
                <w:vertAlign w:val="superscript"/>
                <w:lang w:val="en-US" w:eastAsia="zh-CN"/>
              </w:rPr>
              <w:t>3</w:t>
            </w:r>
            <w:r>
              <w:rPr>
                <w:rFonts w:hint="default" w:eastAsia="宋体"/>
                <w:color w:val="auto"/>
                <w:sz w:val="24"/>
                <w:highlight w:val="none"/>
                <w:lang w:val="en-US" w:eastAsia="zh-CN"/>
              </w:rPr>
              <w:t>/d</w:t>
            </w:r>
            <w:r>
              <w:rPr>
                <w:rFonts w:hint="eastAsia" w:eastAsia="宋体"/>
                <w:color w:val="auto"/>
                <w:sz w:val="24"/>
                <w:highlight w:val="none"/>
                <w:lang w:val="en-US" w:eastAsia="zh-CN"/>
              </w:rPr>
              <w:t>的处理能力，</w:t>
            </w:r>
            <w:r>
              <w:rPr>
                <w:rFonts w:hint="eastAsia" w:ascii="Times New Roman" w:hAnsi="Times New Roman" w:eastAsia="宋体" w:cs="Times New Roman"/>
                <w:color w:val="000000"/>
                <w:kern w:val="0"/>
                <w:sz w:val="24"/>
                <w:szCs w:val="24"/>
                <w:lang w:val="en-US" w:eastAsia="zh-CN" w:bidi="ar"/>
              </w:rPr>
              <w:t>达到</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的处理规模</w:t>
            </w:r>
            <w:r>
              <w:rPr>
                <w:rFonts w:hint="eastAsia" w:eastAsia="宋体"/>
                <w:color w:val="auto"/>
                <w:sz w:val="24"/>
                <w:highlight w:val="none"/>
                <w:lang w:val="en-US" w:eastAsia="zh-CN"/>
              </w:rPr>
              <w:t>。因此宁都县第二污水处理厂有足够能力处理本项目产生的废水。</w:t>
            </w:r>
          </w:p>
          <w:p w14:paraId="79C304DF">
            <w:pPr>
              <w:widowControl/>
              <w:spacing w:line="360" w:lineRule="auto"/>
              <w:ind w:firstLine="480" w:firstLineChars="200"/>
              <w:rPr>
                <w:bCs/>
                <w:color w:val="auto"/>
                <w:sz w:val="24"/>
                <w:szCs w:val="24"/>
                <w:highlight w:val="none"/>
              </w:rPr>
            </w:pPr>
            <w:r>
              <w:rPr>
                <w:rFonts w:hint="default" w:ascii="Times New Roman" w:hAnsi="Times New Roman" w:eastAsia="宋体" w:cs="Times New Roman"/>
                <w:bCs/>
                <w:color w:val="auto"/>
                <w:sz w:val="24"/>
                <w:szCs w:val="24"/>
              </w:rPr>
              <w:t>③</w:t>
            </w:r>
            <w:r>
              <w:rPr>
                <w:bCs/>
                <w:color w:val="auto"/>
                <w:sz w:val="24"/>
                <w:szCs w:val="24"/>
                <w:highlight w:val="none"/>
              </w:rPr>
              <w:t>时间</w:t>
            </w:r>
            <w:r>
              <w:rPr>
                <w:rFonts w:hint="eastAsia"/>
                <w:bCs/>
                <w:color w:val="auto"/>
                <w:sz w:val="24"/>
                <w:szCs w:val="24"/>
                <w:highlight w:val="none"/>
                <w:lang w:eastAsia="zh-CN"/>
              </w:rPr>
              <w:t>、</w:t>
            </w:r>
            <w:r>
              <w:rPr>
                <w:rFonts w:hint="eastAsia"/>
                <w:bCs/>
                <w:color w:val="auto"/>
                <w:sz w:val="24"/>
                <w:szCs w:val="24"/>
                <w:highlight w:val="none"/>
                <w:lang w:val="en-US" w:eastAsia="zh-CN"/>
              </w:rPr>
              <w:t>地理位置</w:t>
            </w:r>
            <w:r>
              <w:rPr>
                <w:bCs/>
                <w:color w:val="auto"/>
                <w:sz w:val="24"/>
                <w:szCs w:val="24"/>
                <w:highlight w:val="none"/>
              </w:rPr>
              <w:t>衔接性</w:t>
            </w:r>
          </w:p>
          <w:p w14:paraId="25E89D00">
            <w:pPr>
              <w:widowControl/>
              <w:spacing w:line="360" w:lineRule="auto"/>
              <w:ind w:firstLine="480" w:firstLineChars="200"/>
              <w:rPr>
                <w:rFonts w:hint="default" w:ascii="Times New Roman" w:hAnsi="Times New Roman" w:eastAsia="宋体" w:cs="Times New Roman"/>
                <w:bCs/>
                <w:color w:val="auto"/>
                <w:sz w:val="24"/>
                <w:szCs w:val="24"/>
              </w:rPr>
            </w:pPr>
            <w:r>
              <w:rPr>
                <w:rFonts w:hint="eastAsia" w:eastAsia="宋体" w:cs="Times New Roman"/>
                <w:color w:val="auto"/>
                <w:sz w:val="24"/>
                <w:szCs w:val="24"/>
                <w:lang w:val="en-US" w:eastAsia="zh-CN"/>
              </w:rPr>
              <w:t>根据附图1</w:t>
            </w:r>
            <w:r>
              <w:rPr>
                <w:rFonts w:hint="eastAsia" w:cs="Times New Roman"/>
                <w:color w:val="auto"/>
                <w:sz w:val="24"/>
                <w:szCs w:val="24"/>
                <w:lang w:val="en-US" w:eastAsia="zh-CN"/>
              </w:rPr>
              <w:t>0宁都县中心城区</w:t>
            </w:r>
            <w:r>
              <w:rPr>
                <w:rFonts w:hint="eastAsia" w:eastAsia="宋体" w:cs="Times New Roman"/>
                <w:color w:val="auto"/>
                <w:sz w:val="24"/>
                <w:szCs w:val="24"/>
                <w:lang w:val="en-US" w:eastAsia="zh-CN"/>
              </w:rPr>
              <w:t>污水工程规划</w:t>
            </w:r>
            <w:r>
              <w:rPr>
                <w:rFonts w:hint="eastAsia" w:cs="Times New Roman"/>
                <w:color w:val="auto"/>
                <w:sz w:val="24"/>
                <w:szCs w:val="24"/>
                <w:lang w:val="en-US" w:eastAsia="zh-CN"/>
              </w:rPr>
              <w:t>图</w:t>
            </w:r>
            <w:r>
              <w:rPr>
                <w:rFonts w:hint="eastAsia" w:eastAsia="宋体" w:cs="Times New Roman"/>
                <w:color w:val="auto"/>
                <w:sz w:val="24"/>
                <w:szCs w:val="24"/>
                <w:lang w:val="en-US" w:eastAsia="zh-CN"/>
              </w:rPr>
              <w:t>。</w:t>
            </w:r>
            <w:r>
              <w:rPr>
                <w:rFonts w:hint="eastAsia" w:ascii="Times New Roman" w:hAnsi="Times New Roman" w:eastAsia="宋体" w:cs="Times New Roman"/>
                <w:bCs/>
                <w:color w:val="auto"/>
                <w:sz w:val="24"/>
                <w:szCs w:val="24"/>
                <w:lang w:val="en-US" w:eastAsia="zh-CN"/>
              </w:rPr>
              <w:t>宁都县第二污水处理厂主要用于收集宁都县工业园区工业废水和生活污水，配套污水管网已经建设完毕，污水管网已接入宁都县第二污水处理厂。本项目位于宁都县工业园区易富北路北侧宁都大道东侧，属于污水接纳范围，因此本项目废水可进入宁都县第二污水处理厂处理。</w:t>
            </w:r>
          </w:p>
          <w:p w14:paraId="7C07D63C">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eastAsia="宋体" w:cs="Times New Roman"/>
                <w:bCs/>
                <w:color w:val="auto"/>
                <w:sz w:val="24"/>
                <w:szCs w:val="24"/>
                <w:lang w:eastAsia="zh-CN"/>
              </w:rPr>
              <w:t>综合以上分析，从</w:t>
            </w:r>
            <w:r>
              <w:rPr>
                <w:bCs/>
                <w:color w:val="auto"/>
                <w:sz w:val="24"/>
                <w:highlight w:val="none"/>
              </w:rPr>
              <w:t>时间</w:t>
            </w:r>
            <w:r>
              <w:rPr>
                <w:rFonts w:hint="eastAsia"/>
                <w:bCs/>
                <w:color w:val="auto"/>
                <w:sz w:val="24"/>
                <w:highlight w:val="none"/>
                <w:lang w:eastAsia="zh-CN"/>
              </w:rPr>
              <w:t>、</w:t>
            </w:r>
            <w:r>
              <w:rPr>
                <w:rFonts w:hint="eastAsia"/>
                <w:bCs/>
                <w:color w:val="auto"/>
                <w:sz w:val="24"/>
                <w:highlight w:val="none"/>
                <w:lang w:val="en-US" w:eastAsia="zh-CN"/>
              </w:rPr>
              <w:t>地理位置</w:t>
            </w:r>
            <w:r>
              <w:rPr>
                <w:bCs/>
                <w:color w:val="auto"/>
                <w:sz w:val="24"/>
                <w:highlight w:val="none"/>
              </w:rPr>
              <w:t>衔接性</w:t>
            </w:r>
            <w:r>
              <w:rPr>
                <w:rFonts w:hint="eastAsia"/>
                <w:color w:val="auto"/>
                <w:sz w:val="24"/>
                <w:lang w:eastAsia="zh-CN"/>
              </w:rPr>
              <w:t>、</w:t>
            </w:r>
            <w:r>
              <w:rPr>
                <w:rFonts w:hint="default" w:ascii="Times New Roman" w:hAnsi="Times New Roman" w:eastAsia="宋体" w:cs="Times New Roman"/>
                <w:bCs/>
                <w:color w:val="auto"/>
                <w:sz w:val="24"/>
                <w:szCs w:val="24"/>
                <w:lang w:eastAsia="zh-CN"/>
              </w:rPr>
              <w:t>水质</w:t>
            </w:r>
            <w:r>
              <w:rPr>
                <w:rFonts w:hint="eastAsia" w:cs="Times New Roman"/>
                <w:bCs/>
                <w:color w:val="auto"/>
                <w:sz w:val="24"/>
                <w:szCs w:val="24"/>
                <w:lang w:val="en-US" w:eastAsia="zh-CN"/>
              </w:rPr>
              <w:t>和</w:t>
            </w:r>
            <w:r>
              <w:rPr>
                <w:rFonts w:hint="default" w:ascii="Times New Roman" w:hAnsi="Times New Roman" w:eastAsia="宋体" w:cs="Times New Roman"/>
                <w:bCs/>
                <w:color w:val="auto"/>
                <w:sz w:val="24"/>
                <w:szCs w:val="24"/>
                <w:lang w:eastAsia="zh-CN"/>
              </w:rPr>
              <w:t>水量方面分析，</w:t>
            </w:r>
            <w:r>
              <w:rPr>
                <w:bCs/>
                <w:color w:val="auto"/>
                <w:sz w:val="24"/>
                <w:highlight w:val="none"/>
              </w:rPr>
              <w:t>本项目废水</w:t>
            </w:r>
            <w:r>
              <w:rPr>
                <w:rFonts w:hint="eastAsia"/>
                <w:bCs/>
                <w:color w:val="auto"/>
                <w:sz w:val="24"/>
                <w:highlight w:val="none"/>
              </w:rPr>
              <w:t>纳</w:t>
            </w:r>
            <w:r>
              <w:rPr>
                <w:bCs/>
                <w:color w:val="auto"/>
                <w:sz w:val="24"/>
                <w:highlight w:val="none"/>
              </w:rPr>
              <w:t>入</w:t>
            </w:r>
            <w:r>
              <w:rPr>
                <w:rFonts w:hint="eastAsia" w:ascii="Times New Roman" w:hAnsi="Times New Roman" w:eastAsia="宋体" w:cs="Times New Roman"/>
                <w:bCs/>
                <w:color w:val="auto"/>
                <w:sz w:val="24"/>
                <w:szCs w:val="24"/>
                <w:lang w:val="en-US" w:eastAsia="zh-CN"/>
              </w:rPr>
              <w:t>宁都县第二污水处理厂</w:t>
            </w:r>
            <w:r>
              <w:rPr>
                <w:rFonts w:hint="eastAsia"/>
                <w:bCs/>
                <w:color w:val="auto"/>
                <w:sz w:val="24"/>
                <w:highlight w:val="none"/>
              </w:rPr>
              <w:t>是可行的</w:t>
            </w:r>
            <w:r>
              <w:rPr>
                <w:color w:val="auto"/>
                <w:sz w:val="24"/>
                <w:highlight w:val="none"/>
              </w:rPr>
              <w:t>。</w:t>
            </w:r>
            <w:r>
              <w:rPr>
                <w:rFonts w:hint="default" w:ascii="Times New Roman" w:hAnsi="Times New Roman" w:eastAsia="宋体" w:cs="Times New Roman"/>
                <w:bCs/>
                <w:color w:val="auto"/>
                <w:sz w:val="24"/>
                <w:szCs w:val="24"/>
                <w:lang w:val="en-US" w:eastAsia="zh-CN"/>
              </w:rPr>
              <w:t>项目建成后，在正常排放情况下，本项目排放废水对控制断面影响较小</w:t>
            </w:r>
            <w:r>
              <w:rPr>
                <w:rFonts w:hint="default" w:ascii="Times New Roman" w:hAnsi="Times New Roman" w:cs="Times New Roman"/>
                <w:bCs/>
                <w:color w:val="auto"/>
                <w:sz w:val="24"/>
                <w:lang w:eastAsia="zh-CN"/>
              </w:rPr>
              <w:t>。</w:t>
            </w:r>
          </w:p>
          <w:p w14:paraId="75F24206">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82" w:firstLine="0" w:firstLineChars="0"/>
              <w:textAlignment w:val="auto"/>
              <w:rPr>
                <w:rFonts w:hint="eastAsia" w:cs="Times New Roman"/>
                <w:b/>
                <w:color w:val="auto"/>
                <w:sz w:val="24"/>
                <w:szCs w:val="24"/>
                <w:highlight w:val="none"/>
                <w:lang w:val="en-US" w:eastAsia="zh-CN"/>
              </w:rPr>
            </w:pPr>
            <w:r>
              <w:rPr>
                <w:rFonts w:hint="eastAsia" w:cs="Times New Roman"/>
                <w:b/>
                <w:color w:val="auto"/>
                <w:sz w:val="24"/>
                <w:szCs w:val="24"/>
                <w:highlight w:val="none"/>
                <w:lang w:val="en-US" w:eastAsia="zh-CN"/>
              </w:rPr>
              <w:t>6、监测要求</w:t>
            </w:r>
          </w:p>
          <w:p w14:paraId="154B3CF4">
            <w:pPr>
              <w:pStyle w:val="4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根据《排污单位自行监测技术指南 总则》（</w:t>
            </w:r>
            <w:r>
              <w:rPr>
                <w:rFonts w:hint="default" w:ascii="Times New Roman" w:hAnsi="Times New Roman" w:eastAsia="宋体" w:cs="Times New Roman"/>
                <w:color w:val="auto"/>
                <w:sz w:val="24"/>
                <w:highlight w:val="none"/>
                <w:lang w:val="en-US" w:eastAsia="zh-CN"/>
              </w:rPr>
              <w:t>HJ819-2017</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和</w:t>
            </w:r>
            <w:r>
              <w:rPr>
                <w:rFonts w:ascii="宋体" w:hAnsi="宋体" w:eastAsia="宋体" w:cs="宋体"/>
                <w:color w:val="auto"/>
                <w:sz w:val="24"/>
                <w:szCs w:val="24"/>
              </w:rPr>
              <w:t>《</w:t>
            </w:r>
            <w:r>
              <w:rPr>
                <w:rFonts w:hint="eastAsia" w:ascii="Times New Roman" w:hAnsi="Times New Roman" w:eastAsia="宋体" w:cs="Times New Roman"/>
                <w:color w:val="auto"/>
                <w:sz w:val="24"/>
                <w:highlight w:val="none"/>
                <w:lang w:val="en-US" w:eastAsia="zh-CN"/>
              </w:rPr>
              <w:t>排污单位自行监测技术指南 食品制造</w:t>
            </w:r>
            <w:r>
              <w:rPr>
                <w:rFonts w:ascii="宋体" w:hAnsi="宋体" w:eastAsia="宋体" w:cs="宋体"/>
                <w:color w:val="auto"/>
                <w:spacing w:val="1"/>
                <w:sz w:val="24"/>
                <w:szCs w:val="24"/>
              </w:rPr>
              <w:t>》</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highlight w:val="none"/>
                <w:lang w:val="en-US" w:eastAsia="zh-CN"/>
              </w:rPr>
              <w:t>HJ 1084-2020</w:t>
            </w:r>
            <w:r>
              <w:rPr>
                <w:rFonts w:hint="default" w:ascii="Times New Roman" w:hAnsi="Times New Roman" w:cs="Times New Roman"/>
                <w:color w:val="auto"/>
                <w:sz w:val="24"/>
                <w:szCs w:val="24"/>
                <w:lang w:val="en-US" w:eastAsia="zh-CN"/>
              </w:rPr>
              <w:t>）</w:t>
            </w:r>
            <w:r>
              <w:rPr>
                <w:rFonts w:hint="eastAsia" w:cs="Times New Roman"/>
                <w:color w:val="auto"/>
                <w:sz w:val="24"/>
                <w:highlight w:val="none"/>
                <w:lang w:val="en-US" w:eastAsia="zh-CN"/>
              </w:rPr>
              <w:t>相关规定，</w:t>
            </w:r>
            <w:r>
              <w:rPr>
                <w:rFonts w:hint="eastAsia" w:ascii="Times New Roman" w:hAnsi="Times New Roman" w:eastAsia="宋体" w:cs="Times New Roman"/>
                <w:color w:val="auto"/>
                <w:sz w:val="24"/>
                <w:highlight w:val="none"/>
                <w:lang w:val="en-US" w:eastAsia="zh-CN"/>
              </w:rPr>
              <w:t>制定本项目</w:t>
            </w:r>
            <w:r>
              <w:rPr>
                <w:rFonts w:hint="eastAsia" w:cs="Times New Roman"/>
                <w:color w:val="auto"/>
                <w:sz w:val="24"/>
                <w:highlight w:val="none"/>
                <w:lang w:val="en-US" w:eastAsia="zh-CN"/>
              </w:rPr>
              <w:t>废水自行</w:t>
            </w:r>
            <w:r>
              <w:rPr>
                <w:rFonts w:hint="eastAsia" w:ascii="Times New Roman" w:hAnsi="Times New Roman" w:eastAsia="宋体" w:cs="Times New Roman"/>
                <w:color w:val="auto"/>
                <w:sz w:val="24"/>
                <w:highlight w:val="none"/>
                <w:lang w:val="en-US" w:eastAsia="zh-CN"/>
              </w:rPr>
              <w:t>监测计划</w:t>
            </w:r>
            <w:r>
              <w:rPr>
                <w:rFonts w:hint="eastAsia" w:cs="Times New Roman"/>
                <w:color w:val="auto"/>
                <w:sz w:val="24"/>
                <w:highlight w:val="none"/>
                <w:lang w:val="en-US" w:eastAsia="zh-CN"/>
              </w:rPr>
              <w:t>，具体见下表</w:t>
            </w:r>
            <w:r>
              <w:rPr>
                <w:rFonts w:hint="eastAsia" w:ascii="Times New Roman" w:hAnsi="Times New Roman" w:eastAsia="宋体" w:cs="Times New Roman"/>
                <w:color w:val="auto"/>
                <w:sz w:val="24"/>
                <w:highlight w:val="none"/>
                <w:lang w:val="en-US" w:eastAsia="zh-CN"/>
              </w:rPr>
              <w:t>：</w:t>
            </w:r>
          </w:p>
          <w:p w14:paraId="3135EAC7">
            <w:pPr>
              <w:keepNext w:val="0"/>
              <w:keepLines w:val="0"/>
              <w:pageBreakBefore w:val="0"/>
              <w:widowControl/>
              <w:suppressLineNumbers w:val="0"/>
              <w:kinsoku/>
              <w:wordWrap/>
              <w:overflowPunct/>
              <w:topLinePunct w:val="0"/>
              <w:autoSpaceDE/>
              <w:autoSpaceDN/>
              <w:bidi w:val="0"/>
              <w:adjustRightInd/>
              <w:snapToGrid/>
              <w:spacing w:line="240" w:lineRule="auto"/>
              <w:ind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25  厂区综合废水排放自行监测要求</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37"/>
              <w:gridCol w:w="1142"/>
              <w:gridCol w:w="1043"/>
              <w:gridCol w:w="2850"/>
              <w:gridCol w:w="1718"/>
            </w:tblGrid>
            <w:tr w14:paraId="4FD39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tcBorders>
                    <w:tl2br w:val="nil"/>
                    <w:tr2bl w:val="nil"/>
                  </w:tcBorders>
                  <w:shd w:val="clear" w:color="auto" w:fill="FFFFFF"/>
                  <w:noWrap w:val="0"/>
                  <w:vAlign w:val="center"/>
                </w:tcPr>
                <w:p w14:paraId="2EE5D264">
                  <w:pPr>
                    <w:jc w:val="center"/>
                    <w:rPr>
                      <w:color w:val="auto"/>
                      <w:kern w:val="0"/>
                      <w:sz w:val="21"/>
                      <w:szCs w:val="21"/>
                      <w:lang w:eastAsia="en-US"/>
                    </w:rPr>
                  </w:pPr>
                  <w:r>
                    <w:rPr>
                      <w:color w:val="auto"/>
                      <w:kern w:val="0"/>
                      <w:sz w:val="21"/>
                      <w:szCs w:val="21"/>
                      <w:lang w:eastAsia="en-US"/>
                    </w:rPr>
                    <w:t>排放口编号</w:t>
                  </w:r>
                </w:p>
              </w:tc>
              <w:tc>
                <w:tcPr>
                  <w:tcW w:w="1142" w:type="dxa"/>
                  <w:tcBorders>
                    <w:tl2br w:val="nil"/>
                    <w:tr2bl w:val="nil"/>
                  </w:tcBorders>
                  <w:shd w:val="clear" w:color="auto" w:fill="FFFFFF"/>
                  <w:noWrap w:val="0"/>
                  <w:vAlign w:val="center"/>
                </w:tcPr>
                <w:p w14:paraId="7B005F5F">
                  <w:pPr>
                    <w:jc w:val="center"/>
                    <w:rPr>
                      <w:color w:val="auto"/>
                      <w:kern w:val="0"/>
                      <w:sz w:val="21"/>
                      <w:szCs w:val="21"/>
                      <w:lang w:eastAsia="en-US"/>
                    </w:rPr>
                  </w:pPr>
                  <w:r>
                    <w:rPr>
                      <w:color w:val="auto"/>
                      <w:kern w:val="0"/>
                      <w:sz w:val="21"/>
                      <w:szCs w:val="21"/>
                      <w:lang w:eastAsia="en-US"/>
                    </w:rPr>
                    <w:t>污染物名称</w:t>
                  </w:r>
                </w:p>
              </w:tc>
              <w:tc>
                <w:tcPr>
                  <w:tcW w:w="1043" w:type="dxa"/>
                  <w:tcBorders>
                    <w:tl2br w:val="nil"/>
                    <w:tr2bl w:val="nil"/>
                  </w:tcBorders>
                  <w:shd w:val="clear" w:color="auto" w:fill="FFFFFF"/>
                  <w:noWrap w:val="0"/>
                  <w:vAlign w:val="center"/>
                </w:tcPr>
                <w:p w14:paraId="3F7DCE1B">
                  <w:pPr>
                    <w:jc w:val="center"/>
                    <w:rPr>
                      <w:color w:val="auto"/>
                      <w:kern w:val="0"/>
                      <w:sz w:val="21"/>
                      <w:szCs w:val="21"/>
                      <w:lang w:eastAsia="en-US"/>
                    </w:rPr>
                  </w:pPr>
                  <w:r>
                    <w:rPr>
                      <w:color w:val="auto"/>
                      <w:kern w:val="0"/>
                      <w:sz w:val="21"/>
                      <w:szCs w:val="21"/>
                      <w:lang w:eastAsia="en-US"/>
                    </w:rPr>
                    <w:t>监测设施</w:t>
                  </w:r>
                </w:p>
              </w:tc>
              <w:tc>
                <w:tcPr>
                  <w:tcW w:w="2850" w:type="dxa"/>
                  <w:tcBorders>
                    <w:tl2br w:val="nil"/>
                    <w:tr2bl w:val="nil"/>
                  </w:tcBorders>
                  <w:shd w:val="clear" w:color="auto" w:fill="FFFFFF"/>
                  <w:noWrap w:val="0"/>
                  <w:vAlign w:val="center"/>
                </w:tcPr>
                <w:p w14:paraId="37B42DA3">
                  <w:pPr>
                    <w:jc w:val="center"/>
                    <w:rPr>
                      <w:color w:val="auto"/>
                      <w:kern w:val="0"/>
                      <w:sz w:val="21"/>
                      <w:szCs w:val="21"/>
                    </w:rPr>
                  </w:pPr>
                  <w:r>
                    <w:rPr>
                      <w:color w:val="auto"/>
                      <w:spacing w:val="-6"/>
                      <w:kern w:val="0"/>
                      <w:sz w:val="21"/>
                      <w:szCs w:val="21"/>
                    </w:rPr>
                    <w:t>手工监测采样方法及个数</w:t>
                  </w:r>
                </w:p>
              </w:tc>
              <w:tc>
                <w:tcPr>
                  <w:tcW w:w="1718" w:type="dxa"/>
                  <w:tcBorders>
                    <w:tl2br w:val="nil"/>
                    <w:tr2bl w:val="nil"/>
                  </w:tcBorders>
                  <w:shd w:val="clear" w:color="auto" w:fill="FFFFFF"/>
                  <w:noWrap w:val="0"/>
                  <w:vAlign w:val="center"/>
                </w:tcPr>
                <w:p w14:paraId="7F4AA921">
                  <w:pPr>
                    <w:jc w:val="center"/>
                    <w:rPr>
                      <w:color w:val="auto"/>
                      <w:kern w:val="0"/>
                      <w:sz w:val="21"/>
                      <w:szCs w:val="21"/>
                    </w:rPr>
                  </w:pPr>
                  <w:r>
                    <w:rPr>
                      <w:color w:val="auto"/>
                      <w:spacing w:val="-6"/>
                      <w:kern w:val="0"/>
                      <w:sz w:val="21"/>
                      <w:szCs w:val="21"/>
                      <w:lang w:eastAsia="en-US"/>
                    </w:rPr>
                    <w:t>手工监测频次</w:t>
                  </w:r>
                </w:p>
              </w:tc>
            </w:tr>
            <w:tr w14:paraId="4C122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vMerge w:val="restart"/>
                  <w:tcBorders>
                    <w:tl2br w:val="nil"/>
                    <w:tr2bl w:val="nil"/>
                  </w:tcBorders>
                  <w:shd w:val="clear" w:color="auto" w:fill="FFFFFF"/>
                  <w:noWrap w:val="0"/>
                  <w:vAlign w:val="center"/>
                </w:tcPr>
                <w:p w14:paraId="34EE0EE3">
                  <w:pPr>
                    <w:jc w:val="center"/>
                    <w:rPr>
                      <w:color w:val="auto"/>
                      <w:kern w:val="0"/>
                      <w:sz w:val="21"/>
                      <w:szCs w:val="21"/>
                    </w:rPr>
                  </w:pPr>
                  <w:r>
                    <w:rPr>
                      <w:color w:val="auto"/>
                      <w:kern w:val="0"/>
                      <w:sz w:val="21"/>
                      <w:szCs w:val="21"/>
                    </w:rPr>
                    <w:t>DW00</w:t>
                  </w:r>
                  <w:r>
                    <w:rPr>
                      <w:rFonts w:hint="eastAsia"/>
                      <w:color w:val="auto"/>
                      <w:kern w:val="0"/>
                      <w:sz w:val="21"/>
                      <w:szCs w:val="21"/>
                    </w:rPr>
                    <w:t>1</w:t>
                  </w:r>
                </w:p>
              </w:tc>
              <w:tc>
                <w:tcPr>
                  <w:tcW w:w="1142" w:type="dxa"/>
                  <w:tcBorders>
                    <w:tl2br w:val="nil"/>
                    <w:tr2bl w:val="nil"/>
                  </w:tcBorders>
                  <w:shd w:val="clear" w:color="auto" w:fill="FFFFFF"/>
                  <w:noWrap w:val="0"/>
                  <w:vAlign w:val="center"/>
                </w:tcPr>
                <w:p w14:paraId="75D11AEA">
                  <w:pPr>
                    <w:jc w:val="center"/>
                    <w:rPr>
                      <w:color w:val="auto"/>
                      <w:kern w:val="0"/>
                      <w:sz w:val="21"/>
                      <w:szCs w:val="21"/>
                    </w:rPr>
                  </w:pPr>
                  <w:r>
                    <w:rPr>
                      <w:color w:val="auto"/>
                      <w:sz w:val="21"/>
                      <w:szCs w:val="21"/>
                      <w:lang w:eastAsia="en-US"/>
                    </w:rPr>
                    <w:t>pH</w:t>
                  </w:r>
                </w:p>
              </w:tc>
              <w:tc>
                <w:tcPr>
                  <w:tcW w:w="1043" w:type="dxa"/>
                  <w:tcBorders>
                    <w:tl2br w:val="nil"/>
                    <w:tr2bl w:val="nil"/>
                  </w:tcBorders>
                  <w:shd w:val="clear" w:color="auto" w:fill="FFFFFF"/>
                  <w:noWrap w:val="0"/>
                  <w:vAlign w:val="center"/>
                </w:tcPr>
                <w:p w14:paraId="6A8DA63B">
                  <w:pPr>
                    <w:jc w:val="center"/>
                    <w:rPr>
                      <w:color w:val="auto"/>
                      <w:kern w:val="0"/>
                      <w:sz w:val="21"/>
                      <w:szCs w:val="21"/>
                      <w:lang w:eastAsia="en-US"/>
                    </w:rPr>
                  </w:pPr>
                  <w:r>
                    <w:rPr>
                      <w:color w:val="auto"/>
                      <w:kern w:val="0"/>
                      <w:sz w:val="21"/>
                      <w:szCs w:val="21"/>
                      <w:lang w:eastAsia="en-US"/>
                    </w:rPr>
                    <w:t>手工</w:t>
                  </w:r>
                </w:p>
              </w:tc>
              <w:tc>
                <w:tcPr>
                  <w:tcW w:w="2850" w:type="dxa"/>
                  <w:tcBorders>
                    <w:tl2br w:val="nil"/>
                    <w:tr2bl w:val="nil"/>
                  </w:tcBorders>
                  <w:shd w:val="clear" w:color="auto" w:fill="FFFFFF"/>
                  <w:noWrap w:val="0"/>
                  <w:vAlign w:val="center"/>
                </w:tcPr>
                <w:p w14:paraId="6285B3A9">
                  <w:pPr>
                    <w:jc w:val="center"/>
                    <w:rPr>
                      <w:color w:val="auto"/>
                      <w:kern w:val="0"/>
                      <w:sz w:val="21"/>
                      <w:szCs w:val="21"/>
                    </w:rPr>
                  </w:pPr>
                  <w:r>
                    <w:rPr>
                      <w:color w:val="auto"/>
                      <w:kern w:val="0"/>
                      <w:sz w:val="21"/>
                      <w:szCs w:val="21"/>
                    </w:rPr>
                    <w:t>瞬时采样（至少3个瞬时样）</w:t>
                  </w:r>
                </w:p>
              </w:tc>
              <w:tc>
                <w:tcPr>
                  <w:tcW w:w="1718" w:type="dxa"/>
                  <w:tcBorders>
                    <w:tl2br w:val="nil"/>
                    <w:tr2bl w:val="nil"/>
                  </w:tcBorders>
                  <w:shd w:val="clear" w:color="auto" w:fill="FFFFFF"/>
                  <w:noWrap w:val="0"/>
                  <w:vAlign w:val="center"/>
                </w:tcPr>
                <w:p w14:paraId="1EDDA3E9">
                  <w:pPr>
                    <w:jc w:val="center"/>
                    <w:rPr>
                      <w:rFonts w:hint="eastAsia" w:eastAsia="宋体"/>
                      <w:color w:val="auto"/>
                      <w:kern w:val="0"/>
                      <w:sz w:val="21"/>
                      <w:szCs w:val="21"/>
                      <w:lang w:eastAsia="zh-CN"/>
                    </w:rPr>
                  </w:pPr>
                  <w:r>
                    <w:rPr>
                      <w:rFonts w:hint="default" w:ascii="Times New Roman" w:hAnsi="Times New Roman" w:eastAsia="宋体" w:cs="Times New Roman"/>
                      <w:bCs/>
                      <w:color w:val="auto"/>
                      <w:sz w:val="21"/>
                      <w:szCs w:val="21"/>
                    </w:rPr>
                    <w:t>1次/</w:t>
                  </w:r>
                  <w:r>
                    <w:rPr>
                      <w:rFonts w:hint="eastAsia" w:cs="Times New Roman"/>
                      <w:bCs/>
                      <w:color w:val="auto"/>
                      <w:sz w:val="21"/>
                      <w:szCs w:val="21"/>
                      <w:lang w:val="en-US" w:eastAsia="zh-CN"/>
                    </w:rPr>
                    <w:t>半</w:t>
                  </w:r>
                  <w:r>
                    <w:rPr>
                      <w:rFonts w:hint="eastAsia" w:ascii="Times New Roman" w:hAnsi="Times New Roman" w:eastAsia="宋体" w:cs="Times New Roman"/>
                      <w:bCs/>
                      <w:color w:val="auto"/>
                      <w:sz w:val="21"/>
                      <w:szCs w:val="21"/>
                      <w:lang w:val="en-US" w:eastAsia="zh-CN"/>
                    </w:rPr>
                    <w:t>年</w:t>
                  </w:r>
                </w:p>
              </w:tc>
            </w:tr>
            <w:tr w14:paraId="7182E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vMerge w:val="continue"/>
                  <w:tcBorders>
                    <w:tl2br w:val="nil"/>
                    <w:tr2bl w:val="nil"/>
                  </w:tcBorders>
                  <w:shd w:val="clear" w:color="auto" w:fill="FFFFFF"/>
                  <w:noWrap w:val="0"/>
                  <w:vAlign w:val="center"/>
                </w:tcPr>
                <w:p w14:paraId="2CEE8543">
                  <w:pPr>
                    <w:jc w:val="center"/>
                    <w:rPr>
                      <w:color w:val="auto"/>
                      <w:kern w:val="0"/>
                      <w:sz w:val="21"/>
                      <w:szCs w:val="21"/>
                      <w:lang w:eastAsia="en-US"/>
                    </w:rPr>
                  </w:pPr>
                </w:p>
              </w:tc>
              <w:tc>
                <w:tcPr>
                  <w:tcW w:w="1142" w:type="dxa"/>
                  <w:tcBorders>
                    <w:tl2br w:val="nil"/>
                    <w:tr2bl w:val="nil"/>
                  </w:tcBorders>
                  <w:shd w:val="clear" w:color="auto" w:fill="FFFFFF"/>
                  <w:noWrap w:val="0"/>
                  <w:vAlign w:val="center"/>
                </w:tcPr>
                <w:p w14:paraId="64DE4D76">
                  <w:pPr>
                    <w:jc w:val="center"/>
                    <w:rPr>
                      <w:color w:val="auto"/>
                      <w:kern w:val="0"/>
                      <w:sz w:val="21"/>
                      <w:szCs w:val="21"/>
                      <w:lang w:eastAsia="en-US"/>
                    </w:rPr>
                  </w:pPr>
                  <w:r>
                    <w:rPr>
                      <w:color w:val="auto"/>
                      <w:sz w:val="21"/>
                      <w:szCs w:val="21"/>
                      <w:lang w:eastAsia="en-US"/>
                    </w:rPr>
                    <w:t>COD</w:t>
                  </w:r>
                  <w:r>
                    <w:rPr>
                      <w:color w:val="auto"/>
                      <w:sz w:val="21"/>
                      <w:szCs w:val="21"/>
                      <w:vertAlign w:val="subscript"/>
                      <w:lang w:eastAsia="en-US"/>
                    </w:rPr>
                    <w:t>cr</w:t>
                  </w:r>
                </w:p>
              </w:tc>
              <w:tc>
                <w:tcPr>
                  <w:tcW w:w="1043" w:type="dxa"/>
                  <w:tcBorders>
                    <w:tl2br w:val="nil"/>
                    <w:tr2bl w:val="nil"/>
                  </w:tcBorders>
                  <w:shd w:val="clear" w:color="auto" w:fill="FFFFFF"/>
                  <w:noWrap w:val="0"/>
                  <w:vAlign w:val="center"/>
                </w:tcPr>
                <w:p w14:paraId="5D3B2575">
                  <w:pPr>
                    <w:jc w:val="center"/>
                    <w:rPr>
                      <w:color w:val="auto"/>
                      <w:kern w:val="0"/>
                      <w:sz w:val="21"/>
                      <w:szCs w:val="21"/>
                      <w:lang w:eastAsia="en-US"/>
                    </w:rPr>
                  </w:pPr>
                  <w:r>
                    <w:rPr>
                      <w:color w:val="auto"/>
                      <w:kern w:val="0"/>
                      <w:sz w:val="21"/>
                      <w:szCs w:val="21"/>
                      <w:lang w:eastAsia="en-US"/>
                    </w:rPr>
                    <w:t>手工</w:t>
                  </w:r>
                </w:p>
              </w:tc>
              <w:tc>
                <w:tcPr>
                  <w:tcW w:w="2850" w:type="dxa"/>
                  <w:tcBorders>
                    <w:tl2br w:val="nil"/>
                    <w:tr2bl w:val="nil"/>
                  </w:tcBorders>
                  <w:shd w:val="clear" w:color="auto" w:fill="FFFFFF"/>
                  <w:noWrap w:val="0"/>
                  <w:vAlign w:val="center"/>
                </w:tcPr>
                <w:p w14:paraId="16E6695C">
                  <w:pPr>
                    <w:jc w:val="center"/>
                    <w:rPr>
                      <w:color w:val="auto"/>
                      <w:kern w:val="0"/>
                      <w:sz w:val="21"/>
                      <w:szCs w:val="21"/>
                    </w:rPr>
                  </w:pPr>
                  <w:r>
                    <w:rPr>
                      <w:color w:val="auto"/>
                      <w:kern w:val="0"/>
                      <w:sz w:val="21"/>
                      <w:szCs w:val="21"/>
                    </w:rPr>
                    <w:t>瞬时采样（至少3个瞬时样）</w:t>
                  </w:r>
                </w:p>
              </w:tc>
              <w:tc>
                <w:tcPr>
                  <w:tcW w:w="1718" w:type="dxa"/>
                  <w:tcBorders>
                    <w:tl2br w:val="nil"/>
                    <w:tr2bl w:val="nil"/>
                  </w:tcBorders>
                  <w:shd w:val="clear" w:color="auto" w:fill="FFFFFF"/>
                  <w:noWrap w:val="0"/>
                  <w:vAlign w:val="center"/>
                </w:tcPr>
                <w:p w14:paraId="1B830C8E">
                  <w:pPr>
                    <w:jc w:val="center"/>
                    <w:rPr>
                      <w:color w:val="auto"/>
                      <w:kern w:val="0"/>
                      <w:sz w:val="21"/>
                      <w:szCs w:val="21"/>
                      <w:lang w:eastAsia="en-US"/>
                    </w:rPr>
                  </w:pPr>
                  <w:r>
                    <w:rPr>
                      <w:rFonts w:hint="default" w:ascii="Times New Roman" w:hAnsi="Times New Roman" w:eastAsia="宋体" w:cs="Times New Roman"/>
                      <w:bCs/>
                      <w:color w:val="auto"/>
                      <w:sz w:val="21"/>
                      <w:szCs w:val="21"/>
                    </w:rPr>
                    <w:t>1次/</w:t>
                  </w:r>
                  <w:r>
                    <w:rPr>
                      <w:rFonts w:hint="eastAsia" w:cs="Times New Roman"/>
                      <w:bCs/>
                      <w:color w:val="auto"/>
                      <w:sz w:val="21"/>
                      <w:szCs w:val="21"/>
                      <w:lang w:val="en-US" w:eastAsia="zh-CN"/>
                    </w:rPr>
                    <w:t>半</w:t>
                  </w:r>
                  <w:r>
                    <w:rPr>
                      <w:rFonts w:hint="eastAsia" w:ascii="Times New Roman" w:hAnsi="Times New Roman" w:eastAsia="宋体" w:cs="Times New Roman"/>
                      <w:bCs/>
                      <w:color w:val="auto"/>
                      <w:sz w:val="21"/>
                      <w:szCs w:val="21"/>
                      <w:lang w:val="en-US" w:eastAsia="zh-CN"/>
                    </w:rPr>
                    <w:t>年</w:t>
                  </w:r>
                </w:p>
              </w:tc>
            </w:tr>
            <w:tr w14:paraId="4EFD9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vMerge w:val="continue"/>
                  <w:tcBorders>
                    <w:tl2br w:val="nil"/>
                    <w:tr2bl w:val="nil"/>
                  </w:tcBorders>
                  <w:shd w:val="clear" w:color="auto" w:fill="FFFFFF"/>
                  <w:noWrap w:val="0"/>
                  <w:vAlign w:val="center"/>
                </w:tcPr>
                <w:p w14:paraId="171051EA">
                  <w:pPr>
                    <w:jc w:val="center"/>
                    <w:rPr>
                      <w:color w:val="auto"/>
                      <w:kern w:val="0"/>
                      <w:sz w:val="21"/>
                      <w:szCs w:val="21"/>
                      <w:lang w:eastAsia="en-US"/>
                    </w:rPr>
                  </w:pPr>
                </w:p>
              </w:tc>
              <w:tc>
                <w:tcPr>
                  <w:tcW w:w="1142" w:type="dxa"/>
                  <w:tcBorders>
                    <w:tl2br w:val="nil"/>
                    <w:tr2bl w:val="nil"/>
                  </w:tcBorders>
                  <w:shd w:val="clear" w:color="auto" w:fill="FFFFFF"/>
                  <w:noWrap w:val="0"/>
                  <w:vAlign w:val="center"/>
                </w:tcPr>
                <w:p w14:paraId="22C562EF">
                  <w:pPr>
                    <w:jc w:val="center"/>
                    <w:rPr>
                      <w:color w:val="auto"/>
                      <w:kern w:val="0"/>
                      <w:sz w:val="21"/>
                      <w:szCs w:val="21"/>
                      <w:lang w:eastAsia="en-US"/>
                    </w:rPr>
                  </w:pPr>
                  <w:r>
                    <w:rPr>
                      <w:color w:val="auto"/>
                      <w:sz w:val="21"/>
                      <w:szCs w:val="21"/>
                      <w:lang w:eastAsia="en-US"/>
                    </w:rPr>
                    <w:t>BOD</w:t>
                  </w:r>
                  <w:r>
                    <w:rPr>
                      <w:color w:val="auto"/>
                      <w:sz w:val="21"/>
                      <w:szCs w:val="21"/>
                      <w:vertAlign w:val="subscript"/>
                      <w:lang w:eastAsia="en-US"/>
                    </w:rPr>
                    <w:t>5</w:t>
                  </w:r>
                </w:p>
              </w:tc>
              <w:tc>
                <w:tcPr>
                  <w:tcW w:w="1043" w:type="dxa"/>
                  <w:tcBorders>
                    <w:tl2br w:val="nil"/>
                    <w:tr2bl w:val="nil"/>
                  </w:tcBorders>
                  <w:shd w:val="clear" w:color="auto" w:fill="FFFFFF"/>
                  <w:noWrap w:val="0"/>
                  <w:vAlign w:val="center"/>
                </w:tcPr>
                <w:p w14:paraId="32B265F2">
                  <w:pPr>
                    <w:jc w:val="center"/>
                    <w:rPr>
                      <w:color w:val="auto"/>
                      <w:kern w:val="0"/>
                      <w:sz w:val="21"/>
                      <w:szCs w:val="21"/>
                      <w:lang w:eastAsia="en-US"/>
                    </w:rPr>
                  </w:pPr>
                  <w:r>
                    <w:rPr>
                      <w:color w:val="auto"/>
                      <w:kern w:val="0"/>
                      <w:sz w:val="21"/>
                      <w:szCs w:val="21"/>
                      <w:lang w:eastAsia="en-US"/>
                    </w:rPr>
                    <w:t>手工</w:t>
                  </w:r>
                </w:p>
              </w:tc>
              <w:tc>
                <w:tcPr>
                  <w:tcW w:w="2850" w:type="dxa"/>
                  <w:tcBorders>
                    <w:tl2br w:val="nil"/>
                    <w:tr2bl w:val="nil"/>
                  </w:tcBorders>
                  <w:shd w:val="clear" w:color="auto" w:fill="FFFFFF"/>
                  <w:noWrap w:val="0"/>
                  <w:vAlign w:val="center"/>
                </w:tcPr>
                <w:p w14:paraId="78E2F655">
                  <w:pPr>
                    <w:jc w:val="center"/>
                    <w:rPr>
                      <w:color w:val="auto"/>
                      <w:kern w:val="0"/>
                      <w:sz w:val="21"/>
                      <w:szCs w:val="21"/>
                    </w:rPr>
                  </w:pPr>
                  <w:r>
                    <w:rPr>
                      <w:color w:val="auto"/>
                      <w:kern w:val="0"/>
                      <w:sz w:val="21"/>
                      <w:szCs w:val="21"/>
                    </w:rPr>
                    <w:t>瞬时采样（至少3个瞬时样）</w:t>
                  </w:r>
                </w:p>
              </w:tc>
              <w:tc>
                <w:tcPr>
                  <w:tcW w:w="1718" w:type="dxa"/>
                  <w:tcBorders>
                    <w:tl2br w:val="nil"/>
                    <w:tr2bl w:val="nil"/>
                  </w:tcBorders>
                  <w:shd w:val="clear" w:color="auto" w:fill="FFFFFF"/>
                  <w:noWrap w:val="0"/>
                  <w:vAlign w:val="center"/>
                </w:tcPr>
                <w:p w14:paraId="40DC8B63">
                  <w:pPr>
                    <w:jc w:val="center"/>
                    <w:rPr>
                      <w:color w:val="auto"/>
                      <w:kern w:val="0"/>
                      <w:sz w:val="21"/>
                      <w:szCs w:val="21"/>
                    </w:rPr>
                  </w:pPr>
                  <w:r>
                    <w:rPr>
                      <w:rFonts w:hint="default" w:ascii="Times New Roman" w:hAnsi="Times New Roman" w:eastAsia="宋体" w:cs="Times New Roman"/>
                      <w:bCs/>
                      <w:color w:val="auto"/>
                      <w:sz w:val="21"/>
                      <w:szCs w:val="21"/>
                    </w:rPr>
                    <w:t>1次/</w:t>
                  </w:r>
                  <w:r>
                    <w:rPr>
                      <w:rFonts w:hint="eastAsia" w:cs="Times New Roman"/>
                      <w:bCs/>
                      <w:color w:val="auto"/>
                      <w:sz w:val="21"/>
                      <w:szCs w:val="21"/>
                      <w:lang w:val="en-US" w:eastAsia="zh-CN"/>
                    </w:rPr>
                    <w:t>半</w:t>
                  </w:r>
                  <w:r>
                    <w:rPr>
                      <w:rFonts w:hint="eastAsia" w:ascii="Times New Roman" w:hAnsi="Times New Roman" w:eastAsia="宋体" w:cs="Times New Roman"/>
                      <w:bCs/>
                      <w:color w:val="auto"/>
                      <w:sz w:val="21"/>
                      <w:szCs w:val="21"/>
                      <w:lang w:val="en-US" w:eastAsia="zh-CN"/>
                    </w:rPr>
                    <w:t>年</w:t>
                  </w:r>
                </w:p>
              </w:tc>
            </w:tr>
            <w:tr w14:paraId="4B171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vMerge w:val="continue"/>
                  <w:tcBorders>
                    <w:tl2br w:val="nil"/>
                    <w:tr2bl w:val="nil"/>
                  </w:tcBorders>
                  <w:shd w:val="clear" w:color="auto" w:fill="FFFFFF"/>
                  <w:noWrap w:val="0"/>
                  <w:vAlign w:val="center"/>
                </w:tcPr>
                <w:p w14:paraId="51CFC9BA">
                  <w:pPr>
                    <w:jc w:val="center"/>
                    <w:rPr>
                      <w:color w:val="auto"/>
                      <w:kern w:val="0"/>
                      <w:sz w:val="21"/>
                      <w:szCs w:val="21"/>
                      <w:lang w:eastAsia="en-US"/>
                    </w:rPr>
                  </w:pPr>
                </w:p>
              </w:tc>
              <w:tc>
                <w:tcPr>
                  <w:tcW w:w="1142" w:type="dxa"/>
                  <w:tcBorders>
                    <w:tl2br w:val="nil"/>
                    <w:tr2bl w:val="nil"/>
                  </w:tcBorders>
                  <w:shd w:val="clear" w:color="auto" w:fill="FFFFFF"/>
                  <w:noWrap w:val="0"/>
                  <w:vAlign w:val="center"/>
                </w:tcPr>
                <w:p w14:paraId="0C6AE8C6">
                  <w:pPr>
                    <w:jc w:val="center"/>
                    <w:rPr>
                      <w:color w:val="auto"/>
                      <w:kern w:val="0"/>
                      <w:sz w:val="21"/>
                      <w:szCs w:val="21"/>
                    </w:rPr>
                  </w:pPr>
                  <w:r>
                    <w:rPr>
                      <w:color w:val="auto"/>
                      <w:kern w:val="0"/>
                      <w:sz w:val="21"/>
                      <w:szCs w:val="21"/>
                    </w:rPr>
                    <w:t>SS</w:t>
                  </w:r>
                </w:p>
              </w:tc>
              <w:tc>
                <w:tcPr>
                  <w:tcW w:w="1043" w:type="dxa"/>
                  <w:tcBorders>
                    <w:tl2br w:val="nil"/>
                    <w:tr2bl w:val="nil"/>
                  </w:tcBorders>
                  <w:shd w:val="clear" w:color="auto" w:fill="FFFFFF"/>
                  <w:noWrap w:val="0"/>
                  <w:vAlign w:val="center"/>
                </w:tcPr>
                <w:p w14:paraId="6ABD9ABD">
                  <w:pPr>
                    <w:jc w:val="center"/>
                    <w:rPr>
                      <w:color w:val="auto"/>
                      <w:kern w:val="0"/>
                      <w:sz w:val="21"/>
                      <w:szCs w:val="21"/>
                      <w:lang w:eastAsia="en-US"/>
                    </w:rPr>
                  </w:pPr>
                  <w:r>
                    <w:rPr>
                      <w:color w:val="auto"/>
                      <w:kern w:val="0"/>
                      <w:sz w:val="21"/>
                      <w:szCs w:val="21"/>
                      <w:lang w:eastAsia="en-US"/>
                    </w:rPr>
                    <w:t>手工</w:t>
                  </w:r>
                </w:p>
              </w:tc>
              <w:tc>
                <w:tcPr>
                  <w:tcW w:w="2850" w:type="dxa"/>
                  <w:tcBorders>
                    <w:tl2br w:val="nil"/>
                    <w:tr2bl w:val="nil"/>
                  </w:tcBorders>
                  <w:shd w:val="clear" w:color="auto" w:fill="FFFFFF"/>
                  <w:noWrap w:val="0"/>
                  <w:vAlign w:val="center"/>
                </w:tcPr>
                <w:p w14:paraId="5225B239">
                  <w:pPr>
                    <w:jc w:val="center"/>
                    <w:rPr>
                      <w:color w:val="auto"/>
                      <w:kern w:val="0"/>
                      <w:sz w:val="21"/>
                      <w:szCs w:val="21"/>
                    </w:rPr>
                  </w:pPr>
                  <w:r>
                    <w:rPr>
                      <w:color w:val="auto"/>
                      <w:kern w:val="0"/>
                      <w:sz w:val="21"/>
                      <w:szCs w:val="21"/>
                    </w:rPr>
                    <w:t>瞬时采样（至少3个瞬时样）</w:t>
                  </w:r>
                </w:p>
              </w:tc>
              <w:tc>
                <w:tcPr>
                  <w:tcW w:w="1718" w:type="dxa"/>
                  <w:tcBorders>
                    <w:tl2br w:val="nil"/>
                    <w:tr2bl w:val="nil"/>
                  </w:tcBorders>
                  <w:shd w:val="clear" w:color="auto" w:fill="FFFFFF"/>
                  <w:noWrap w:val="0"/>
                  <w:vAlign w:val="center"/>
                </w:tcPr>
                <w:p w14:paraId="2CA99506">
                  <w:pPr>
                    <w:jc w:val="center"/>
                    <w:rPr>
                      <w:color w:val="auto"/>
                      <w:kern w:val="0"/>
                      <w:sz w:val="21"/>
                      <w:szCs w:val="21"/>
                      <w:lang w:eastAsia="en-US"/>
                    </w:rPr>
                  </w:pPr>
                  <w:r>
                    <w:rPr>
                      <w:rFonts w:hint="default" w:ascii="Times New Roman" w:hAnsi="Times New Roman" w:eastAsia="宋体" w:cs="Times New Roman"/>
                      <w:bCs/>
                      <w:color w:val="auto"/>
                      <w:sz w:val="21"/>
                      <w:szCs w:val="21"/>
                    </w:rPr>
                    <w:t>1次/</w:t>
                  </w:r>
                  <w:r>
                    <w:rPr>
                      <w:rFonts w:hint="eastAsia" w:cs="Times New Roman"/>
                      <w:bCs/>
                      <w:color w:val="auto"/>
                      <w:sz w:val="21"/>
                      <w:szCs w:val="21"/>
                      <w:lang w:val="en-US" w:eastAsia="zh-CN"/>
                    </w:rPr>
                    <w:t>半</w:t>
                  </w:r>
                  <w:r>
                    <w:rPr>
                      <w:rFonts w:hint="eastAsia" w:ascii="Times New Roman" w:hAnsi="Times New Roman" w:eastAsia="宋体" w:cs="Times New Roman"/>
                      <w:bCs/>
                      <w:color w:val="auto"/>
                      <w:sz w:val="21"/>
                      <w:szCs w:val="21"/>
                      <w:lang w:val="en-US" w:eastAsia="zh-CN"/>
                    </w:rPr>
                    <w:t>年</w:t>
                  </w:r>
                </w:p>
              </w:tc>
            </w:tr>
            <w:tr w14:paraId="1ADAC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vMerge w:val="continue"/>
                  <w:tcBorders>
                    <w:tl2br w:val="nil"/>
                    <w:tr2bl w:val="nil"/>
                  </w:tcBorders>
                  <w:shd w:val="clear" w:color="auto" w:fill="FFFFFF"/>
                  <w:noWrap w:val="0"/>
                  <w:vAlign w:val="center"/>
                </w:tcPr>
                <w:p w14:paraId="1DD1157C">
                  <w:pPr>
                    <w:jc w:val="center"/>
                    <w:rPr>
                      <w:color w:val="auto"/>
                      <w:kern w:val="0"/>
                      <w:sz w:val="21"/>
                      <w:szCs w:val="21"/>
                      <w:lang w:eastAsia="en-US"/>
                    </w:rPr>
                  </w:pPr>
                </w:p>
              </w:tc>
              <w:tc>
                <w:tcPr>
                  <w:tcW w:w="1142" w:type="dxa"/>
                  <w:tcBorders>
                    <w:tl2br w:val="nil"/>
                    <w:tr2bl w:val="nil"/>
                  </w:tcBorders>
                  <w:shd w:val="clear" w:color="auto" w:fill="FFFFFF"/>
                  <w:noWrap w:val="0"/>
                  <w:vAlign w:val="center"/>
                </w:tcPr>
                <w:p w14:paraId="076DD670">
                  <w:pPr>
                    <w:jc w:val="center"/>
                    <w:rPr>
                      <w:color w:val="auto"/>
                      <w:kern w:val="0"/>
                      <w:sz w:val="21"/>
                      <w:szCs w:val="21"/>
                      <w:lang w:eastAsia="en-US"/>
                    </w:rPr>
                  </w:pPr>
                  <w:r>
                    <w:rPr>
                      <w:color w:val="auto"/>
                      <w:sz w:val="21"/>
                      <w:szCs w:val="21"/>
                      <w:lang w:eastAsia="en-US"/>
                    </w:rPr>
                    <w:t>NH</w:t>
                  </w:r>
                  <w:r>
                    <w:rPr>
                      <w:color w:val="auto"/>
                      <w:sz w:val="21"/>
                      <w:szCs w:val="21"/>
                      <w:vertAlign w:val="subscript"/>
                      <w:lang w:eastAsia="en-US"/>
                    </w:rPr>
                    <w:t>3</w:t>
                  </w:r>
                  <w:r>
                    <w:rPr>
                      <w:color w:val="auto"/>
                      <w:sz w:val="21"/>
                      <w:szCs w:val="21"/>
                      <w:lang w:eastAsia="en-US"/>
                    </w:rPr>
                    <w:t>-N</w:t>
                  </w:r>
                </w:p>
              </w:tc>
              <w:tc>
                <w:tcPr>
                  <w:tcW w:w="1043" w:type="dxa"/>
                  <w:tcBorders>
                    <w:tl2br w:val="nil"/>
                    <w:tr2bl w:val="nil"/>
                  </w:tcBorders>
                  <w:shd w:val="clear" w:color="auto" w:fill="FFFFFF"/>
                  <w:noWrap w:val="0"/>
                  <w:vAlign w:val="center"/>
                </w:tcPr>
                <w:p w14:paraId="74DFC284">
                  <w:pPr>
                    <w:jc w:val="center"/>
                    <w:rPr>
                      <w:color w:val="auto"/>
                      <w:kern w:val="0"/>
                      <w:sz w:val="21"/>
                      <w:szCs w:val="21"/>
                      <w:lang w:eastAsia="en-US"/>
                    </w:rPr>
                  </w:pPr>
                  <w:r>
                    <w:rPr>
                      <w:color w:val="auto"/>
                      <w:kern w:val="0"/>
                      <w:sz w:val="21"/>
                      <w:szCs w:val="21"/>
                      <w:lang w:eastAsia="en-US"/>
                    </w:rPr>
                    <w:t>手工</w:t>
                  </w:r>
                </w:p>
              </w:tc>
              <w:tc>
                <w:tcPr>
                  <w:tcW w:w="2850" w:type="dxa"/>
                  <w:tcBorders>
                    <w:tl2br w:val="nil"/>
                    <w:tr2bl w:val="nil"/>
                  </w:tcBorders>
                  <w:shd w:val="clear" w:color="auto" w:fill="FFFFFF"/>
                  <w:noWrap w:val="0"/>
                  <w:vAlign w:val="center"/>
                </w:tcPr>
                <w:p w14:paraId="7A030A91">
                  <w:pPr>
                    <w:jc w:val="center"/>
                    <w:rPr>
                      <w:color w:val="auto"/>
                      <w:kern w:val="0"/>
                      <w:sz w:val="21"/>
                      <w:szCs w:val="21"/>
                    </w:rPr>
                  </w:pPr>
                  <w:r>
                    <w:rPr>
                      <w:color w:val="auto"/>
                      <w:kern w:val="0"/>
                      <w:sz w:val="21"/>
                      <w:szCs w:val="21"/>
                    </w:rPr>
                    <w:t>瞬时采样（至少3个瞬时样）</w:t>
                  </w:r>
                </w:p>
              </w:tc>
              <w:tc>
                <w:tcPr>
                  <w:tcW w:w="1718" w:type="dxa"/>
                  <w:tcBorders>
                    <w:tl2br w:val="nil"/>
                    <w:tr2bl w:val="nil"/>
                  </w:tcBorders>
                  <w:shd w:val="clear" w:color="auto" w:fill="FFFFFF"/>
                  <w:noWrap w:val="0"/>
                  <w:vAlign w:val="center"/>
                </w:tcPr>
                <w:p w14:paraId="0C2AE29D">
                  <w:pPr>
                    <w:jc w:val="center"/>
                    <w:rPr>
                      <w:color w:val="auto"/>
                      <w:kern w:val="0"/>
                      <w:sz w:val="21"/>
                      <w:szCs w:val="21"/>
                      <w:lang w:eastAsia="en-US"/>
                    </w:rPr>
                  </w:pPr>
                  <w:r>
                    <w:rPr>
                      <w:rFonts w:hint="default" w:ascii="Times New Roman" w:hAnsi="Times New Roman" w:eastAsia="宋体" w:cs="Times New Roman"/>
                      <w:bCs/>
                      <w:color w:val="auto"/>
                      <w:sz w:val="21"/>
                      <w:szCs w:val="21"/>
                    </w:rPr>
                    <w:t>1次/</w:t>
                  </w:r>
                  <w:r>
                    <w:rPr>
                      <w:rFonts w:hint="eastAsia" w:cs="Times New Roman"/>
                      <w:bCs/>
                      <w:color w:val="auto"/>
                      <w:sz w:val="21"/>
                      <w:szCs w:val="21"/>
                      <w:lang w:val="en-US" w:eastAsia="zh-CN"/>
                    </w:rPr>
                    <w:t>半</w:t>
                  </w:r>
                  <w:r>
                    <w:rPr>
                      <w:rFonts w:hint="eastAsia" w:ascii="Times New Roman" w:hAnsi="Times New Roman" w:eastAsia="宋体" w:cs="Times New Roman"/>
                      <w:bCs/>
                      <w:color w:val="auto"/>
                      <w:sz w:val="21"/>
                      <w:szCs w:val="21"/>
                      <w:lang w:val="en-US" w:eastAsia="zh-CN"/>
                    </w:rPr>
                    <w:t>年</w:t>
                  </w:r>
                </w:p>
              </w:tc>
            </w:tr>
            <w:tr w14:paraId="2EFB6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vMerge w:val="continue"/>
                  <w:tcBorders>
                    <w:tl2br w:val="nil"/>
                    <w:tr2bl w:val="nil"/>
                  </w:tcBorders>
                  <w:shd w:val="clear" w:color="auto" w:fill="FFFFFF"/>
                  <w:noWrap w:val="0"/>
                  <w:vAlign w:val="center"/>
                </w:tcPr>
                <w:p w14:paraId="241DCB0F">
                  <w:pPr>
                    <w:jc w:val="center"/>
                    <w:rPr>
                      <w:color w:val="auto"/>
                      <w:kern w:val="0"/>
                      <w:sz w:val="21"/>
                      <w:szCs w:val="21"/>
                      <w:lang w:eastAsia="en-US"/>
                    </w:rPr>
                  </w:pPr>
                </w:p>
              </w:tc>
              <w:tc>
                <w:tcPr>
                  <w:tcW w:w="1142" w:type="dxa"/>
                  <w:tcBorders>
                    <w:tl2br w:val="nil"/>
                    <w:tr2bl w:val="nil"/>
                  </w:tcBorders>
                  <w:shd w:val="clear" w:color="auto" w:fill="FFFFFF"/>
                  <w:noWrap w:val="0"/>
                  <w:vAlign w:val="center"/>
                </w:tcPr>
                <w:p w14:paraId="45492254">
                  <w:pPr>
                    <w:jc w:val="center"/>
                    <w:rPr>
                      <w:rFonts w:hint="default" w:eastAsia="宋体"/>
                      <w:color w:val="auto"/>
                      <w:sz w:val="21"/>
                      <w:szCs w:val="21"/>
                      <w:lang w:val="en-US" w:eastAsia="zh-CN"/>
                    </w:rPr>
                  </w:pPr>
                  <w:r>
                    <w:rPr>
                      <w:rFonts w:hint="eastAsia"/>
                      <w:color w:val="auto"/>
                      <w:sz w:val="21"/>
                      <w:szCs w:val="21"/>
                      <w:lang w:val="en-US" w:eastAsia="zh-CN"/>
                    </w:rPr>
                    <w:t>TP</w:t>
                  </w:r>
                </w:p>
              </w:tc>
              <w:tc>
                <w:tcPr>
                  <w:tcW w:w="1043" w:type="dxa"/>
                  <w:tcBorders>
                    <w:tl2br w:val="nil"/>
                    <w:tr2bl w:val="nil"/>
                  </w:tcBorders>
                  <w:shd w:val="clear" w:color="auto" w:fill="FFFFFF"/>
                  <w:noWrap w:val="0"/>
                  <w:vAlign w:val="center"/>
                </w:tcPr>
                <w:p w14:paraId="0695B967">
                  <w:pPr>
                    <w:jc w:val="center"/>
                    <w:rPr>
                      <w:color w:val="auto"/>
                      <w:kern w:val="0"/>
                      <w:sz w:val="21"/>
                      <w:szCs w:val="21"/>
                      <w:lang w:eastAsia="en-US"/>
                    </w:rPr>
                  </w:pPr>
                  <w:r>
                    <w:rPr>
                      <w:color w:val="auto"/>
                      <w:kern w:val="0"/>
                      <w:sz w:val="21"/>
                      <w:szCs w:val="21"/>
                      <w:lang w:eastAsia="en-US"/>
                    </w:rPr>
                    <w:t>手工</w:t>
                  </w:r>
                </w:p>
              </w:tc>
              <w:tc>
                <w:tcPr>
                  <w:tcW w:w="2850" w:type="dxa"/>
                  <w:tcBorders>
                    <w:tl2br w:val="nil"/>
                    <w:tr2bl w:val="nil"/>
                  </w:tcBorders>
                  <w:shd w:val="clear" w:color="auto" w:fill="FFFFFF"/>
                  <w:noWrap w:val="0"/>
                  <w:vAlign w:val="center"/>
                </w:tcPr>
                <w:p w14:paraId="409E9B0B">
                  <w:pPr>
                    <w:jc w:val="center"/>
                    <w:rPr>
                      <w:color w:val="auto"/>
                      <w:kern w:val="0"/>
                      <w:sz w:val="21"/>
                      <w:szCs w:val="21"/>
                    </w:rPr>
                  </w:pPr>
                  <w:r>
                    <w:rPr>
                      <w:color w:val="auto"/>
                      <w:kern w:val="0"/>
                      <w:sz w:val="21"/>
                      <w:szCs w:val="21"/>
                    </w:rPr>
                    <w:t>瞬时采样（至少3个瞬时样）</w:t>
                  </w:r>
                </w:p>
              </w:tc>
              <w:tc>
                <w:tcPr>
                  <w:tcW w:w="1718" w:type="dxa"/>
                  <w:tcBorders>
                    <w:tl2br w:val="nil"/>
                    <w:tr2bl w:val="nil"/>
                  </w:tcBorders>
                  <w:shd w:val="clear" w:color="auto" w:fill="FFFFFF"/>
                  <w:noWrap w:val="0"/>
                  <w:vAlign w:val="center"/>
                </w:tcPr>
                <w:p w14:paraId="1875D25A">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1次/</w:t>
                  </w:r>
                  <w:r>
                    <w:rPr>
                      <w:rFonts w:hint="eastAsia" w:cs="Times New Roman"/>
                      <w:bCs/>
                      <w:color w:val="auto"/>
                      <w:sz w:val="21"/>
                      <w:szCs w:val="21"/>
                      <w:lang w:val="en-US" w:eastAsia="zh-CN"/>
                    </w:rPr>
                    <w:t>半</w:t>
                  </w:r>
                  <w:r>
                    <w:rPr>
                      <w:rFonts w:hint="eastAsia" w:ascii="Times New Roman" w:hAnsi="Times New Roman" w:eastAsia="宋体" w:cs="Times New Roman"/>
                      <w:bCs/>
                      <w:color w:val="auto"/>
                      <w:sz w:val="21"/>
                      <w:szCs w:val="21"/>
                      <w:lang w:val="en-US" w:eastAsia="zh-CN"/>
                    </w:rPr>
                    <w:t>年</w:t>
                  </w:r>
                </w:p>
              </w:tc>
            </w:tr>
            <w:tr w14:paraId="229E7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vMerge w:val="continue"/>
                  <w:tcBorders>
                    <w:tl2br w:val="nil"/>
                    <w:tr2bl w:val="nil"/>
                  </w:tcBorders>
                  <w:shd w:val="clear" w:color="auto" w:fill="FFFFFF"/>
                  <w:noWrap w:val="0"/>
                  <w:vAlign w:val="center"/>
                </w:tcPr>
                <w:p w14:paraId="0020FD80">
                  <w:pPr>
                    <w:jc w:val="center"/>
                    <w:rPr>
                      <w:color w:val="auto"/>
                      <w:kern w:val="0"/>
                      <w:sz w:val="21"/>
                      <w:szCs w:val="21"/>
                      <w:lang w:eastAsia="en-US"/>
                    </w:rPr>
                  </w:pPr>
                </w:p>
              </w:tc>
              <w:tc>
                <w:tcPr>
                  <w:tcW w:w="1142" w:type="dxa"/>
                  <w:tcBorders>
                    <w:tl2br w:val="nil"/>
                    <w:tr2bl w:val="nil"/>
                  </w:tcBorders>
                  <w:shd w:val="clear" w:color="auto" w:fill="FFFFFF"/>
                  <w:noWrap w:val="0"/>
                  <w:vAlign w:val="center"/>
                </w:tcPr>
                <w:p w14:paraId="3E3EDC1D">
                  <w:pPr>
                    <w:jc w:val="center"/>
                    <w:rPr>
                      <w:rFonts w:hint="default"/>
                      <w:color w:val="auto"/>
                      <w:sz w:val="21"/>
                      <w:szCs w:val="21"/>
                      <w:lang w:val="en-US" w:eastAsia="zh-CN"/>
                    </w:rPr>
                  </w:pPr>
                  <w:r>
                    <w:rPr>
                      <w:rFonts w:hint="eastAsia"/>
                      <w:color w:val="auto"/>
                      <w:sz w:val="21"/>
                      <w:szCs w:val="21"/>
                      <w:lang w:val="en-US" w:eastAsia="zh-CN"/>
                    </w:rPr>
                    <w:t>TN</w:t>
                  </w:r>
                </w:p>
              </w:tc>
              <w:tc>
                <w:tcPr>
                  <w:tcW w:w="1043" w:type="dxa"/>
                  <w:tcBorders>
                    <w:tl2br w:val="nil"/>
                    <w:tr2bl w:val="nil"/>
                  </w:tcBorders>
                  <w:shd w:val="clear" w:color="auto" w:fill="FFFFFF"/>
                  <w:noWrap w:val="0"/>
                  <w:vAlign w:val="center"/>
                </w:tcPr>
                <w:p w14:paraId="5E1BE1E4">
                  <w:pPr>
                    <w:jc w:val="center"/>
                    <w:rPr>
                      <w:color w:val="auto"/>
                      <w:kern w:val="0"/>
                      <w:sz w:val="21"/>
                      <w:szCs w:val="21"/>
                      <w:lang w:eastAsia="en-US"/>
                    </w:rPr>
                  </w:pPr>
                  <w:r>
                    <w:rPr>
                      <w:color w:val="auto"/>
                      <w:kern w:val="0"/>
                      <w:sz w:val="21"/>
                      <w:szCs w:val="21"/>
                      <w:lang w:eastAsia="en-US"/>
                    </w:rPr>
                    <w:t>手工</w:t>
                  </w:r>
                </w:p>
              </w:tc>
              <w:tc>
                <w:tcPr>
                  <w:tcW w:w="2850" w:type="dxa"/>
                  <w:tcBorders>
                    <w:tl2br w:val="nil"/>
                    <w:tr2bl w:val="nil"/>
                  </w:tcBorders>
                  <w:shd w:val="clear" w:color="auto" w:fill="FFFFFF"/>
                  <w:noWrap w:val="0"/>
                  <w:vAlign w:val="center"/>
                </w:tcPr>
                <w:p w14:paraId="7FE0F5AF">
                  <w:pPr>
                    <w:jc w:val="center"/>
                    <w:rPr>
                      <w:color w:val="auto"/>
                      <w:kern w:val="0"/>
                      <w:sz w:val="21"/>
                      <w:szCs w:val="21"/>
                    </w:rPr>
                  </w:pPr>
                  <w:r>
                    <w:rPr>
                      <w:color w:val="auto"/>
                      <w:kern w:val="0"/>
                      <w:sz w:val="21"/>
                      <w:szCs w:val="21"/>
                    </w:rPr>
                    <w:t>瞬时采样（至少3个瞬时样）</w:t>
                  </w:r>
                </w:p>
              </w:tc>
              <w:tc>
                <w:tcPr>
                  <w:tcW w:w="1718" w:type="dxa"/>
                  <w:tcBorders>
                    <w:tl2br w:val="nil"/>
                    <w:tr2bl w:val="nil"/>
                  </w:tcBorders>
                  <w:shd w:val="clear" w:color="auto" w:fill="FFFFFF"/>
                  <w:noWrap w:val="0"/>
                  <w:vAlign w:val="center"/>
                </w:tcPr>
                <w:p w14:paraId="23934BC8">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1次/</w:t>
                  </w:r>
                  <w:r>
                    <w:rPr>
                      <w:rFonts w:hint="eastAsia" w:cs="Times New Roman"/>
                      <w:bCs/>
                      <w:color w:val="auto"/>
                      <w:sz w:val="21"/>
                      <w:szCs w:val="21"/>
                      <w:lang w:val="en-US" w:eastAsia="zh-CN"/>
                    </w:rPr>
                    <w:t>半</w:t>
                  </w:r>
                  <w:r>
                    <w:rPr>
                      <w:rFonts w:hint="eastAsia" w:ascii="Times New Roman" w:hAnsi="Times New Roman" w:eastAsia="宋体" w:cs="Times New Roman"/>
                      <w:bCs/>
                      <w:color w:val="auto"/>
                      <w:sz w:val="21"/>
                      <w:szCs w:val="21"/>
                      <w:lang w:val="en-US" w:eastAsia="zh-CN"/>
                    </w:rPr>
                    <w:t>年</w:t>
                  </w:r>
                </w:p>
              </w:tc>
            </w:tr>
            <w:tr w14:paraId="5712B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vMerge w:val="continue"/>
                  <w:tcBorders>
                    <w:tl2br w:val="nil"/>
                    <w:tr2bl w:val="nil"/>
                  </w:tcBorders>
                  <w:shd w:val="clear" w:color="auto" w:fill="FFFFFF"/>
                  <w:noWrap w:val="0"/>
                  <w:vAlign w:val="center"/>
                </w:tcPr>
                <w:p w14:paraId="63E9CCE8">
                  <w:pPr>
                    <w:jc w:val="center"/>
                    <w:rPr>
                      <w:color w:val="auto"/>
                      <w:kern w:val="0"/>
                      <w:sz w:val="21"/>
                      <w:szCs w:val="21"/>
                      <w:lang w:eastAsia="en-US"/>
                    </w:rPr>
                  </w:pPr>
                </w:p>
              </w:tc>
              <w:tc>
                <w:tcPr>
                  <w:tcW w:w="1142" w:type="dxa"/>
                  <w:tcBorders>
                    <w:tl2br w:val="nil"/>
                    <w:tr2bl w:val="nil"/>
                  </w:tcBorders>
                  <w:shd w:val="clear" w:color="auto" w:fill="FFFFFF"/>
                  <w:noWrap w:val="0"/>
                  <w:vAlign w:val="center"/>
                </w:tcPr>
                <w:p w14:paraId="4268FB28">
                  <w:pPr>
                    <w:jc w:val="center"/>
                    <w:rPr>
                      <w:rFonts w:hint="eastAsia"/>
                      <w:color w:val="auto"/>
                      <w:sz w:val="21"/>
                      <w:szCs w:val="21"/>
                      <w:lang w:val="en-US" w:eastAsia="zh-CN"/>
                    </w:rPr>
                  </w:pPr>
                  <w:r>
                    <w:rPr>
                      <w:rFonts w:hint="eastAsia"/>
                      <w:b w:val="0"/>
                      <w:bCs w:val="0"/>
                      <w:color w:val="auto"/>
                      <w:highlight w:val="none"/>
                      <w:lang w:val="en-US" w:eastAsia="zh-CN"/>
                    </w:rPr>
                    <w:t>动植物油</w:t>
                  </w:r>
                </w:p>
              </w:tc>
              <w:tc>
                <w:tcPr>
                  <w:tcW w:w="1043" w:type="dxa"/>
                  <w:tcBorders>
                    <w:tl2br w:val="nil"/>
                    <w:tr2bl w:val="nil"/>
                  </w:tcBorders>
                  <w:shd w:val="clear" w:color="auto" w:fill="FFFFFF"/>
                  <w:noWrap w:val="0"/>
                  <w:vAlign w:val="center"/>
                </w:tcPr>
                <w:p w14:paraId="0395884E">
                  <w:pPr>
                    <w:jc w:val="center"/>
                    <w:rPr>
                      <w:color w:val="auto"/>
                      <w:kern w:val="0"/>
                      <w:sz w:val="21"/>
                      <w:szCs w:val="21"/>
                      <w:lang w:eastAsia="en-US"/>
                    </w:rPr>
                  </w:pPr>
                  <w:r>
                    <w:rPr>
                      <w:color w:val="auto"/>
                      <w:kern w:val="0"/>
                      <w:sz w:val="21"/>
                      <w:szCs w:val="21"/>
                      <w:lang w:eastAsia="en-US"/>
                    </w:rPr>
                    <w:t>手工</w:t>
                  </w:r>
                </w:p>
              </w:tc>
              <w:tc>
                <w:tcPr>
                  <w:tcW w:w="2850" w:type="dxa"/>
                  <w:tcBorders>
                    <w:tl2br w:val="nil"/>
                    <w:tr2bl w:val="nil"/>
                  </w:tcBorders>
                  <w:shd w:val="clear" w:color="auto" w:fill="FFFFFF"/>
                  <w:noWrap w:val="0"/>
                  <w:vAlign w:val="center"/>
                </w:tcPr>
                <w:p w14:paraId="0B631D14">
                  <w:pPr>
                    <w:jc w:val="center"/>
                    <w:rPr>
                      <w:color w:val="auto"/>
                      <w:kern w:val="0"/>
                      <w:sz w:val="21"/>
                      <w:szCs w:val="21"/>
                    </w:rPr>
                  </w:pPr>
                  <w:r>
                    <w:rPr>
                      <w:color w:val="auto"/>
                      <w:kern w:val="0"/>
                      <w:sz w:val="21"/>
                      <w:szCs w:val="21"/>
                    </w:rPr>
                    <w:t>瞬时采样（至少3个瞬时样）</w:t>
                  </w:r>
                </w:p>
              </w:tc>
              <w:tc>
                <w:tcPr>
                  <w:tcW w:w="1718" w:type="dxa"/>
                  <w:tcBorders>
                    <w:tl2br w:val="nil"/>
                    <w:tr2bl w:val="nil"/>
                  </w:tcBorders>
                  <w:shd w:val="clear" w:color="auto" w:fill="FFFFFF"/>
                  <w:noWrap w:val="0"/>
                  <w:vAlign w:val="center"/>
                </w:tcPr>
                <w:p w14:paraId="4E1F5B34">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1次/</w:t>
                  </w:r>
                  <w:r>
                    <w:rPr>
                      <w:rFonts w:hint="eastAsia" w:cs="Times New Roman"/>
                      <w:bCs/>
                      <w:color w:val="auto"/>
                      <w:sz w:val="21"/>
                      <w:szCs w:val="21"/>
                      <w:lang w:val="en-US" w:eastAsia="zh-CN"/>
                    </w:rPr>
                    <w:t>半</w:t>
                  </w:r>
                  <w:r>
                    <w:rPr>
                      <w:rFonts w:hint="eastAsia" w:ascii="Times New Roman" w:hAnsi="Times New Roman" w:eastAsia="宋体" w:cs="Times New Roman"/>
                      <w:bCs/>
                      <w:color w:val="auto"/>
                      <w:sz w:val="21"/>
                      <w:szCs w:val="21"/>
                      <w:lang w:val="en-US" w:eastAsia="zh-CN"/>
                    </w:rPr>
                    <w:t>年</w:t>
                  </w:r>
                </w:p>
              </w:tc>
            </w:tr>
            <w:tr w14:paraId="191D9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37" w:type="dxa"/>
                  <w:tcBorders>
                    <w:tl2br w:val="nil"/>
                    <w:tr2bl w:val="nil"/>
                  </w:tcBorders>
                  <w:shd w:val="clear" w:color="auto" w:fill="FFFFFF"/>
                  <w:noWrap w:val="0"/>
                  <w:vAlign w:val="center"/>
                </w:tcPr>
                <w:p w14:paraId="413C6EDF">
                  <w:pPr>
                    <w:jc w:val="center"/>
                    <w:rPr>
                      <w:rFonts w:hint="default" w:ascii="Times New Roman" w:hAnsi="Times New Roman" w:eastAsia="宋体" w:cs="Times New Roman"/>
                      <w:color w:val="auto"/>
                      <w:kern w:val="0"/>
                      <w:sz w:val="21"/>
                      <w:szCs w:val="21"/>
                      <w:lang w:val="en-US" w:eastAsia="en-US" w:bidi="ar-SA"/>
                    </w:rPr>
                  </w:pPr>
                  <w:r>
                    <w:rPr>
                      <w:rFonts w:hint="eastAsia"/>
                      <w:color w:val="auto"/>
                      <w:kern w:val="0"/>
                      <w:sz w:val="21"/>
                      <w:szCs w:val="21"/>
                      <w:lang w:val="en-US" w:eastAsia="zh-CN"/>
                    </w:rPr>
                    <w:t>执行标准</w:t>
                  </w:r>
                </w:p>
              </w:tc>
              <w:tc>
                <w:tcPr>
                  <w:tcW w:w="6753" w:type="dxa"/>
                  <w:gridSpan w:val="4"/>
                  <w:tcBorders>
                    <w:tl2br w:val="nil"/>
                    <w:tr2bl w:val="nil"/>
                  </w:tcBorders>
                  <w:shd w:val="clear" w:color="auto" w:fill="FFFFFF"/>
                  <w:noWrap w:val="0"/>
                  <w:vAlign w:val="center"/>
                </w:tcPr>
                <w:p w14:paraId="6B80A33C">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i w:val="0"/>
                      <w:color w:val="auto"/>
                      <w:sz w:val="21"/>
                      <w:szCs w:val="21"/>
                      <w:highlight w:val="none"/>
                      <w:u w:val="none"/>
                      <w:lang w:val="en-US" w:eastAsia="zh-CN"/>
                    </w:rPr>
                    <w:t>《肉类加工工业水污染物排放标准》（</w:t>
                  </w:r>
                  <w:r>
                    <w:rPr>
                      <w:rFonts w:hint="default" w:ascii="Times New Roman" w:hAnsi="Times New Roman" w:eastAsia="宋体" w:cs="Times New Roman"/>
                      <w:i w:val="0"/>
                      <w:color w:val="auto"/>
                      <w:sz w:val="21"/>
                      <w:szCs w:val="21"/>
                      <w:highlight w:val="none"/>
                      <w:u w:val="none"/>
                      <w:lang w:val="en-US" w:eastAsia="zh-CN"/>
                    </w:rPr>
                    <w:t>GB13457-92</w:t>
                  </w:r>
                  <w:r>
                    <w:rPr>
                      <w:rFonts w:hint="eastAsia" w:ascii="Times New Roman" w:hAnsi="Times New Roman" w:eastAsia="宋体" w:cs="Times New Roman"/>
                      <w:i w:val="0"/>
                      <w:color w:val="auto"/>
                      <w:sz w:val="21"/>
                      <w:szCs w:val="21"/>
                      <w:highlight w:val="none"/>
                      <w:u w:val="none"/>
                      <w:lang w:val="en-US" w:eastAsia="zh-CN"/>
                    </w:rPr>
                    <w:t xml:space="preserve">）表 </w:t>
                  </w:r>
                  <w:r>
                    <w:rPr>
                      <w:rFonts w:hint="default" w:ascii="Times New Roman" w:hAnsi="Times New Roman" w:eastAsia="宋体" w:cs="Times New Roman"/>
                      <w:i w:val="0"/>
                      <w:color w:val="auto"/>
                      <w:sz w:val="21"/>
                      <w:szCs w:val="21"/>
                      <w:highlight w:val="none"/>
                      <w:u w:val="none"/>
                      <w:lang w:val="en-US" w:eastAsia="zh-CN"/>
                    </w:rPr>
                    <w:t xml:space="preserve">3 </w:t>
                  </w:r>
                  <w:r>
                    <w:rPr>
                      <w:rFonts w:hint="eastAsia" w:ascii="Times New Roman" w:hAnsi="Times New Roman" w:eastAsia="宋体" w:cs="Times New Roman"/>
                      <w:i w:val="0"/>
                      <w:color w:val="auto"/>
                      <w:sz w:val="21"/>
                      <w:szCs w:val="21"/>
                      <w:highlight w:val="none"/>
                      <w:u w:val="none"/>
                      <w:lang w:val="en-US" w:eastAsia="zh-CN"/>
                    </w:rPr>
                    <w:t>三级标准和宁都县第二污水处理厂接管标准较严值</w:t>
                  </w:r>
                </w:p>
              </w:tc>
            </w:tr>
          </w:tbl>
          <w:p w14:paraId="4F70B4A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（三）</w:t>
            </w:r>
            <w:r>
              <w:rPr>
                <w:rFonts w:hint="default" w:ascii="Times New Roman" w:hAnsi="Times New Roman" w:eastAsia="宋体" w:cs="Times New Roman"/>
                <w:b/>
                <w:bCs w:val="0"/>
                <w:color w:val="auto"/>
                <w:sz w:val="24"/>
                <w:szCs w:val="24"/>
                <w:highlight w:val="none"/>
                <w:lang w:val="en-US" w:eastAsia="zh-CN"/>
              </w:rPr>
              <w:t>噪声</w:t>
            </w:r>
          </w:p>
          <w:p w14:paraId="4BEE6781">
            <w:pPr>
              <w:widowControl w:val="0"/>
              <w:bidi w:val="0"/>
              <w:spacing w:line="360" w:lineRule="auto"/>
              <w:ind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1、噪声源强</w:t>
            </w:r>
            <w:r>
              <w:rPr>
                <w:rFonts w:hint="eastAsia" w:cs="Times New Roman"/>
                <w:b/>
                <w:bCs/>
                <w:color w:val="auto"/>
                <w:kern w:val="2"/>
                <w:sz w:val="24"/>
                <w:szCs w:val="24"/>
                <w:lang w:val="en-US" w:eastAsia="zh-CN" w:bidi="ar-SA"/>
              </w:rPr>
              <w:t>分析</w:t>
            </w:r>
          </w:p>
          <w:p w14:paraId="5EC6B142">
            <w:pPr>
              <w:spacing w:line="360" w:lineRule="auto"/>
              <w:ind w:firstLine="480" w:firstLineChars="200"/>
              <w:rPr>
                <w:rFonts w:hint="default" w:ascii="Times New Roman" w:hAnsi="Times New Roman" w:eastAsia="宋体" w:cs="Times New Roman"/>
                <w:b/>
                <w:color w:val="auto"/>
                <w:kern w:val="2"/>
                <w:sz w:val="21"/>
                <w:szCs w:val="24"/>
                <w:lang w:val="en-US" w:eastAsia="zh-CN" w:bidi="ar-SA"/>
              </w:rPr>
            </w:pPr>
            <w:r>
              <w:rPr>
                <w:rFonts w:hint="default"/>
                <w:color w:val="auto"/>
                <w:sz w:val="24"/>
                <w:szCs w:val="24"/>
                <w:highlight w:val="none"/>
              </w:rPr>
              <w:t>本项目噪声源主要为</w:t>
            </w:r>
            <w:r>
              <w:rPr>
                <w:rFonts w:hint="eastAsia"/>
                <w:sz w:val="24"/>
                <w:szCs w:val="24"/>
                <w:vertAlign w:val="baseline"/>
                <w:lang w:val="en-US" w:eastAsia="zh-CN"/>
              </w:rPr>
              <w:t>炒锅</w:t>
            </w:r>
            <w:r>
              <w:rPr>
                <w:rFonts w:hint="eastAsia" w:ascii="Times New Roman" w:hAnsi="Times New Roman" w:eastAsia="宋体" w:cs="Times New Roman"/>
                <w:color w:val="auto"/>
                <w:sz w:val="24"/>
                <w:szCs w:val="24"/>
                <w:highlight w:val="none"/>
                <w:lang w:val="en-US" w:eastAsia="zh-CN"/>
              </w:rPr>
              <w:t>、</w:t>
            </w:r>
            <w:r>
              <w:rPr>
                <w:rFonts w:hint="eastAsia"/>
                <w:sz w:val="24"/>
                <w:szCs w:val="24"/>
                <w:vertAlign w:val="baseline"/>
                <w:lang w:val="en-US" w:eastAsia="zh-CN"/>
              </w:rPr>
              <w:t>汤锅</w:t>
            </w:r>
            <w:r>
              <w:rPr>
                <w:rFonts w:hint="eastAsia" w:cs="Times New Roman"/>
                <w:color w:val="auto"/>
                <w:sz w:val="24"/>
                <w:szCs w:val="24"/>
                <w:highlight w:val="none"/>
                <w:lang w:val="en-US" w:eastAsia="zh-CN"/>
              </w:rPr>
              <w:t>、</w:t>
            </w:r>
            <w:r>
              <w:rPr>
                <w:rFonts w:hint="eastAsia"/>
                <w:sz w:val="24"/>
                <w:szCs w:val="24"/>
                <w:vertAlign w:val="baseline"/>
                <w:lang w:eastAsia="zh-CN"/>
              </w:rPr>
              <w:t>燃气蒸箱</w:t>
            </w:r>
            <w:r>
              <w:rPr>
                <w:rFonts w:hint="eastAsia" w:cs="Times New Roman"/>
                <w:color w:val="auto"/>
                <w:sz w:val="24"/>
                <w:szCs w:val="24"/>
                <w:highlight w:val="none"/>
                <w:lang w:val="en-US" w:eastAsia="zh-CN"/>
              </w:rPr>
              <w:t>、</w:t>
            </w:r>
            <w:r>
              <w:rPr>
                <w:rFonts w:hint="eastAsia"/>
                <w:color w:val="auto"/>
                <w:sz w:val="24"/>
                <w:szCs w:val="24"/>
                <w:lang w:val="en-US" w:eastAsia="zh-CN"/>
              </w:rPr>
              <w:t>切肉机、切菜机</w:t>
            </w:r>
            <w:r>
              <w:rPr>
                <w:rFonts w:hint="default"/>
                <w:color w:val="auto"/>
                <w:sz w:val="24"/>
                <w:szCs w:val="24"/>
                <w:highlight w:val="none"/>
              </w:rPr>
              <w:t>等设备运行过程中产生的噪声，类比《环境噪声与振动控制工程技术导则》(HJ2034-2013)相关设备噪声源源强及设备厂家提供的数据，单台设备产生的噪声值约为</w:t>
            </w:r>
            <w:r>
              <w:rPr>
                <w:rFonts w:hint="eastAsia"/>
                <w:color w:val="auto"/>
                <w:sz w:val="24"/>
                <w:szCs w:val="24"/>
                <w:highlight w:val="none"/>
                <w:lang w:val="en-US" w:eastAsia="zh-CN"/>
              </w:rPr>
              <w:t>65</w:t>
            </w:r>
            <w:r>
              <w:rPr>
                <w:rFonts w:hint="default"/>
                <w:color w:val="auto"/>
                <w:sz w:val="24"/>
                <w:szCs w:val="24"/>
                <w:highlight w:val="none"/>
              </w:rPr>
              <w:t>~</w:t>
            </w:r>
            <w:r>
              <w:rPr>
                <w:rFonts w:hint="eastAsia"/>
                <w:color w:val="auto"/>
                <w:sz w:val="24"/>
                <w:szCs w:val="24"/>
                <w:highlight w:val="none"/>
                <w:lang w:val="en-US" w:eastAsia="zh-CN"/>
              </w:rPr>
              <w:t>85</w:t>
            </w:r>
            <w:r>
              <w:rPr>
                <w:rFonts w:hint="default"/>
                <w:color w:val="auto"/>
                <w:sz w:val="24"/>
                <w:szCs w:val="24"/>
                <w:highlight w:val="none"/>
              </w:rPr>
              <w:t xml:space="preserve"> dB(A)。生产设备均放置于生产区域内，钢</w:t>
            </w:r>
            <w:r>
              <w:rPr>
                <w:rFonts w:hint="eastAsia"/>
                <w:color w:val="auto"/>
                <w:sz w:val="24"/>
                <w:szCs w:val="24"/>
                <w:highlight w:val="none"/>
                <w:lang w:val="en-US" w:eastAsia="zh-CN"/>
              </w:rPr>
              <w:t>架</w:t>
            </w:r>
            <w:r>
              <w:rPr>
                <w:rFonts w:hint="default"/>
                <w:color w:val="auto"/>
                <w:sz w:val="24"/>
                <w:szCs w:val="24"/>
                <w:highlight w:val="none"/>
              </w:rPr>
              <w:t>结构厂房、门窗密闭，综合隔声量可达2</w:t>
            </w:r>
            <w:r>
              <w:rPr>
                <w:rFonts w:hint="eastAsia"/>
                <w:color w:val="auto"/>
                <w:sz w:val="24"/>
                <w:szCs w:val="24"/>
                <w:highlight w:val="none"/>
                <w:lang w:val="en-US" w:eastAsia="zh-CN"/>
              </w:rPr>
              <w:t>0</w:t>
            </w:r>
            <w:r>
              <w:rPr>
                <w:rFonts w:hint="default"/>
                <w:color w:val="auto"/>
                <w:sz w:val="24"/>
                <w:szCs w:val="24"/>
                <w:highlight w:val="none"/>
              </w:rPr>
              <w:t>dB(A)以上</w:t>
            </w:r>
            <w:r>
              <w:rPr>
                <w:rFonts w:hint="eastAsia"/>
                <w:color w:val="auto"/>
                <w:sz w:val="24"/>
                <w:szCs w:val="24"/>
                <w:highlight w:val="none"/>
                <w:lang w:eastAsia="zh-CN"/>
              </w:rPr>
              <w:t>。</w:t>
            </w:r>
            <w:r>
              <w:rPr>
                <w:rFonts w:hint="eastAsia" w:ascii="Times New Roman" w:hAnsi="Times New Roman" w:eastAsia="宋体" w:cs="Times New Roman"/>
                <w:color w:val="auto"/>
                <w:kern w:val="2"/>
                <w:sz w:val="24"/>
                <w:szCs w:val="24"/>
                <w:lang w:val="en-US" w:eastAsia="zh-CN" w:bidi="ar-SA"/>
              </w:rPr>
              <w:t>本项目</w:t>
            </w:r>
            <w:r>
              <w:rPr>
                <w:rFonts w:hint="default" w:ascii="Times New Roman" w:hAnsi="Times New Roman" w:eastAsia="宋体" w:cs="Times New Roman"/>
                <w:color w:val="auto"/>
                <w:kern w:val="2"/>
                <w:sz w:val="24"/>
                <w:szCs w:val="24"/>
                <w:lang w:val="en-US" w:eastAsia="zh-CN" w:bidi="ar-SA"/>
              </w:rPr>
              <w:t>噪声污染防治措施及排放情况见表</w:t>
            </w:r>
            <w:r>
              <w:rPr>
                <w:rFonts w:hint="eastAsia" w:ascii="Times New Roman" w:hAnsi="Times New Roman" w:eastAsia="宋体" w:cs="Times New Roman"/>
                <w:color w:val="auto"/>
                <w:kern w:val="2"/>
                <w:sz w:val="24"/>
                <w:szCs w:val="24"/>
                <w:lang w:val="en-US" w:eastAsia="zh-CN" w:bidi="ar-SA"/>
              </w:rPr>
              <w:t>4-</w:t>
            </w:r>
            <w:r>
              <w:rPr>
                <w:rFonts w:hint="eastAsia" w:cs="Times New Roman"/>
                <w:color w:val="auto"/>
                <w:kern w:val="2"/>
                <w:sz w:val="24"/>
                <w:szCs w:val="24"/>
                <w:lang w:val="en-US" w:eastAsia="zh-CN" w:bidi="ar-SA"/>
              </w:rPr>
              <w:t>26。</w:t>
            </w:r>
          </w:p>
          <w:p w14:paraId="05A89AF9">
            <w:pPr>
              <w:widowControl w:val="0"/>
              <w:bidi w:val="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w:t>
            </w:r>
            <w:r>
              <w:rPr>
                <w:rFonts w:hint="eastAsia" w:ascii="Times New Roman" w:hAnsi="Times New Roman" w:eastAsia="宋体" w:cs="Times New Roman"/>
                <w:b/>
                <w:color w:val="auto"/>
                <w:kern w:val="2"/>
                <w:sz w:val="21"/>
                <w:szCs w:val="24"/>
                <w:lang w:val="en-US" w:eastAsia="zh-CN" w:bidi="ar-SA"/>
              </w:rPr>
              <w:t>4</w:t>
            </w:r>
            <w:r>
              <w:rPr>
                <w:rFonts w:hint="default" w:ascii="Times New Roman" w:hAnsi="Times New Roman" w:eastAsia="宋体" w:cs="Times New Roman"/>
                <w:b/>
                <w:color w:val="auto"/>
                <w:kern w:val="2"/>
                <w:sz w:val="21"/>
                <w:szCs w:val="24"/>
                <w:lang w:val="en-US" w:eastAsia="zh-CN" w:bidi="ar-SA"/>
              </w:rPr>
              <w:t>-</w:t>
            </w:r>
            <w:r>
              <w:rPr>
                <w:rFonts w:hint="eastAsia" w:cs="Times New Roman"/>
                <w:b/>
                <w:color w:val="auto"/>
                <w:kern w:val="2"/>
                <w:sz w:val="21"/>
                <w:szCs w:val="24"/>
                <w:lang w:val="en-US" w:eastAsia="zh-CN" w:bidi="ar-SA"/>
              </w:rPr>
              <w:t xml:space="preserve">26  </w:t>
            </w:r>
            <w:r>
              <w:rPr>
                <w:rFonts w:hint="eastAsia" w:ascii="Times New Roman" w:hAnsi="Times New Roman" w:eastAsia="宋体" w:cs="Times New Roman"/>
                <w:b/>
                <w:color w:val="auto"/>
                <w:kern w:val="2"/>
                <w:sz w:val="21"/>
                <w:szCs w:val="24"/>
                <w:lang w:val="en-US" w:eastAsia="zh-CN" w:bidi="ar-SA"/>
              </w:rPr>
              <w:t>本项目</w:t>
            </w:r>
            <w:r>
              <w:rPr>
                <w:rFonts w:hint="default" w:ascii="Times New Roman" w:hAnsi="Times New Roman" w:eastAsia="宋体" w:cs="Times New Roman"/>
                <w:b/>
                <w:color w:val="auto"/>
                <w:kern w:val="2"/>
                <w:sz w:val="21"/>
                <w:szCs w:val="24"/>
                <w:lang w:val="en-US" w:eastAsia="zh-CN" w:bidi="ar-SA"/>
              </w:rPr>
              <w:t>主要噪声源统计表</w:t>
            </w:r>
          </w:p>
          <w:tbl>
            <w:tblPr>
              <w:tblStyle w:val="33"/>
              <w:tblW w:w="5000" w:type="pct"/>
              <w:jc w:val="center"/>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39"/>
              <w:gridCol w:w="1343"/>
              <w:gridCol w:w="697"/>
              <w:gridCol w:w="244"/>
              <w:gridCol w:w="776"/>
              <w:gridCol w:w="689"/>
              <w:gridCol w:w="758"/>
              <w:gridCol w:w="464"/>
              <w:gridCol w:w="1122"/>
              <w:gridCol w:w="856"/>
              <w:gridCol w:w="1002"/>
            </w:tblGrid>
            <w:tr w14:paraId="15721CF7">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3" w:hRule="atLeast"/>
                <w:jc w:val="center"/>
              </w:trPr>
              <w:tc>
                <w:tcPr>
                  <w:tcW w:w="146" w:type="pct"/>
                  <w:vMerge w:val="restart"/>
                  <w:noWrap w:val="0"/>
                  <w:vAlign w:val="center"/>
                </w:tcPr>
                <w:p w14:paraId="081C3EC9">
                  <w:pPr>
                    <w:widowControl/>
                    <w:jc w:val="center"/>
                    <w:textAlignment w:val="center"/>
                    <w:rPr>
                      <w:color w:val="auto"/>
                      <w:kern w:val="0"/>
                      <w:sz w:val="21"/>
                      <w:szCs w:val="21"/>
                      <w:lang w:bidi="ar"/>
                    </w:rPr>
                  </w:pPr>
                  <w:r>
                    <w:rPr>
                      <w:rFonts w:hint="eastAsia"/>
                      <w:color w:val="auto"/>
                      <w:kern w:val="0"/>
                      <w:sz w:val="21"/>
                      <w:szCs w:val="21"/>
                      <w:lang w:bidi="ar"/>
                    </w:rPr>
                    <w:t>建筑物名称</w:t>
                  </w:r>
                </w:p>
              </w:tc>
              <w:tc>
                <w:tcPr>
                  <w:tcW w:w="819" w:type="pct"/>
                  <w:vMerge w:val="restart"/>
                  <w:noWrap/>
                  <w:tcMar>
                    <w:top w:w="15" w:type="dxa"/>
                    <w:left w:w="15" w:type="dxa"/>
                    <w:right w:w="15" w:type="dxa"/>
                  </w:tcMar>
                  <w:vAlign w:val="center"/>
                </w:tcPr>
                <w:p w14:paraId="52333506">
                  <w:pPr>
                    <w:widowControl/>
                    <w:jc w:val="center"/>
                    <w:textAlignment w:val="center"/>
                    <w:rPr>
                      <w:color w:val="auto"/>
                      <w:kern w:val="0"/>
                      <w:sz w:val="21"/>
                      <w:szCs w:val="21"/>
                      <w:lang w:bidi="ar"/>
                    </w:rPr>
                  </w:pPr>
                  <w:r>
                    <w:rPr>
                      <w:color w:val="auto"/>
                      <w:kern w:val="0"/>
                      <w:sz w:val="21"/>
                      <w:szCs w:val="21"/>
                      <w:lang w:bidi="ar"/>
                    </w:rPr>
                    <w:t>设备名称</w:t>
                  </w:r>
                </w:p>
              </w:tc>
              <w:tc>
                <w:tcPr>
                  <w:tcW w:w="425" w:type="pct"/>
                  <w:vMerge w:val="restart"/>
                  <w:noWrap w:val="0"/>
                  <w:vAlign w:val="center"/>
                </w:tcPr>
                <w:p w14:paraId="23A8A9AA">
                  <w:pPr>
                    <w:widowControl/>
                    <w:jc w:val="center"/>
                    <w:textAlignment w:val="center"/>
                    <w:rPr>
                      <w:color w:val="auto"/>
                      <w:kern w:val="0"/>
                      <w:sz w:val="21"/>
                      <w:szCs w:val="21"/>
                      <w:lang w:bidi="ar"/>
                    </w:rPr>
                  </w:pPr>
                  <w:r>
                    <w:rPr>
                      <w:rFonts w:hint="eastAsia"/>
                      <w:color w:val="auto"/>
                      <w:kern w:val="0"/>
                      <w:sz w:val="21"/>
                      <w:szCs w:val="21"/>
                      <w:lang w:bidi="ar"/>
                    </w:rPr>
                    <w:t>声功率级/dB（A）</w:t>
                  </w:r>
                </w:p>
              </w:tc>
              <w:tc>
                <w:tcPr>
                  <w:tcW w:w="149" w:type="pct"/>
                  <w:vMerge w:val="restart"/>
                  <w:noWrap w:val="0"/>
                  <w:vAlign w:val="center"/>
                </w:tcPr>
                <w:p w14:paraId="16E2444F">
                  <w:pPr>
                    <w:jc w:val="center"/>
                    <w:textAlignment w:val="center"/>
                    <w:rPr>
                      <w:rFonts w:asciiTheme="minorHAnsi" w:hAnsiTheme="minorHAnsi" w:eastAsiaTheme="minorEastAsia" w:cstheme="minorBidi"/>
                      <w:color w:val="auto"/>
                      <w:kern w:val="2"/>
                      <w:sz w:val="21"/>
                      <w:szCs w:val="21"/>
                      <w:lang w:val="en-US" w:eastAsia="zh-CN" w:bidi="ar-SA"/>
                    </w:rPr>
                  </w:pPr>
                  <w:r>
                    <w:rPr>
                      <w:rFonts w:hint="eastAsia"/>
                      <w:color w:val="auto"/>
                      <w:kern w:val="0"/>
                      <w:sz w:val="21"/>
                      <w:szCs w:val="21"/>
                      <w:lang w:bidi="ar"/>
                    </w:rPr>
                    <w:t>声源控制措施</w:t>
                  </w:r>
                </w:p>
                <w:p w14:paraId="6AC5900B">
                  <w:pPr>
                    <w:widowControl/>
                    <w:jc w:val="center"/>
                    <w:textAlignment w:val="center"/>
                    <w:rPr>
                      <w:color w:val="auto"/>
                      <w:kern w:val="0"/>
                      <w:sz w:val="21"/>
                      <w:szCs w:val="21"/>
                      <w:lang w:bidi="ar"/>
                    </w:rPr>
                  </w:pPr>
                </w:p>
              </w:tc>
              <w:tc>
                <w:tcPr>
                  <w:tcW w:w="473" w:type="pct"/>
                  <w:noWrap w:val="0"/>
                  <w:vAlign w:val="center"/>
                </w:tcPr>
                <w:p w14:paraId="4BBA8D2E">
                  <w:pPr>
                    <w:widowControl/>
                    <w:jc w:val="center"/>
                    <w:textAlignment w:val="center"/>
                    <w:rPr>
                      <w:color w:val="auto"/>
                      <w:kern w:val="0"/>
                      <w:sz w:val="21"/>
                      <w:szCs w:val="21"/>
                      <w:lang w:bidi="ar"/>
                    </w:rPr>
                  </w:pPr>
                  <w:r>
                    <w:rPr>
                      <w:rFonts w:hint="eastAsia"/>
                      <w:color w:val="auto"/>
                      <w:kern w:val="0"/>
                      <w:sz w:val="21"/>
                      <w:szCs w:val="21"/>
                      <w:lang w:bidi="ar"/>
                    </w:rPr>
                    <w:t>空间相对位置</w:t>
                  </w:r>
                </w:p>
              </w:tc>
              <w:tc>
                <w:tcPr>
                  <w:tcW w:w="420" w:type="pct"/>
                  <w:vMerge w:val="restart"/>
                  <w:noWrap w:val="0"/>
                  <w:vAlign w:val="center"/>
                </w:tcPr>
                <w:p w14:paraId="65643D30">
                  <w:pPr>
                    <w:widowControl/>
                    <w:jc w:val="center"/>
                    <w:textAlignment w:val="center"/>
                    <w:rPr>
                      <w:color w:val="auto"/>
                      <w:kern w:val="0"/>
                      <w:sz w:val="21"/>
                      <w:szCs w:val="21"/>
                      <w:lang w:bidi="ar"/>
                    </w:rPr>
                  </w:pPr>
                  <w:r>
                    <w:rPr>
                      <w:rFonts w:hint="eastAsia"/>
                      <w:color w:val="auto"/>
                      <w:kern w:val="0"/>
                      <w:sz w:val="21"/>
                      <w:szCs w:val="21"/>
                      <w:lang w:bidi="ar"/>
                    </w:rPr>
                    <w:t>距室内边界距离/m</w:t>
                  </w:r>
                </w:p>
              </w:tc>
              <w:tc>
                <w:tcPr>
                  <w:tcW w:w="462" w:type="pct"/>
                  <w:vMerge w:val="restart"/>
                  <w:noWrap/>
                  <w:tcMar>
                    <w:top w:w="15" w:type="dxa"/>
                    <w:left w:w="15" w:type="dxa"/>
                    <w:right w:w="15" w:type="dxa"/>
                  </w:tcMar>
                  <w:vAlign w:val="center"/>
                </w:tcPr>
                <w:p w14:paraId="60A4C7CC">
                  <w:pPr>
                    <w:widowControl/>
                    <w:jc w:val="center"/>
                    <w:textAlignment w:val="center"/>
                    <w:rPr>
                      <w:color w:val="auto"/>
                      <w:kern w:val="0"/>
                      <w:sz w:val="21"/>
                      <w:szCs w:val="21"/>
                      <w:lang w:bidi="ar"/>
                    </w:rPr>
                  </w:pPr>
                  <w:r>
                    <w:rPr>
                      <w:rFonts w:hint="eastAsia"/>
                      <w:color w:val="auto"/>
                      <w:kern w:val="0"/>
                      <w:sz w:val="21"/>
                      <w:szCs w:val="21"/>
                      <w:lang w:bidi="ar"/>
                    </w:rPr>
                    <w:t>室内边界声级/dB</w:t>
                  </w:r>
                </w:p>
              </w:tc>
              <w:tc>
                <w:tcPr>
                  <w:tcW w:w="283" w:type="pct"/>
                  <w:vMerge w:val="restart"/>
                  <w:noWrap w:val="0"/>
                  <w:vAlign w:val="center"/>
                </w:tcPr>
                <w:p w14:paraId="077B64EA">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运行时段</w:t>
                  </w:r>
                </w:p>
                <w:p w14:paraId="673C82C9">
                  <w:pPr>
                    <w:widowControl/>
                    <w:jc w:val="center"/>
                    <w:textAlignment w:val="center"/>
                    <w:rPr>
                      <w:color w:val="auto"/>
                      <w:kern w:val="0"/>
                      <w:sz w:val="21"/>
                      <w:szCs w:val="21"/>
                      <w:lang w:bidi="ar"/>
                    </w:rPr>
                  </w:pPr>
                </w:p>
              </w:tc>
              <w:tc>
                <w:tcPr>
                  <w:tcW w:w="684" w:type="pct"/>
                  <w:vMerge w:val="restart"/>
                  <w:noWrap/>
                  <w:tcMar>
                    <w:top w:w="15" w:type="dxa"/>
                    <w:left w:w="15" w:type="dxa"/>
                    <w:right w:w="15" w:type="dxa"/>
                  </w:tcMar>
                  <w:vAlign w:val="center"/>
                </w:tcPr>
                <w:p w14:paraId="6E3D4F0E">
                  <w:pPr>
                    <w:widowControl/>
                    <w:jc w:val="center"/>
                    <w:textAlignment w:val="center"/>
                    <w:rPr>
                      <w:color w:val="auto"/>
                      <w:kern w:val="0"/>
                      <w:sz w:val="21"/>
                      <w:szCs w:val="21"/>
                      <w:lang w:bidi="ar"/>
                    </w:rPr>
                  </w:pPr>
                  <w:r>
                    <w:rPr>
                      <w:rFonts w:hint="eastAsia"/>
                      <w:color w:val="auto"/>
                      <w:kern w:val="0"/>
                      <w:sz w:val="21"/>
                      <w:szCs w:val="21"/>
                      <w:lang w:bidi="ar"/>
                    </w:rPr>
                    <w:t>建筑物插入损失/dB（A）</w:t>
                  </w:r>
                </w:p>
              </w:tc>
              <w:tc>
                <w:tcPr>
                  <w:tcW w:w="1133" w:type="pct"/>
                  <w:gridSpan w:val="2"/>
                  <w:noWrap/>
                  <w:tcMar>
                    <w:top w:w="15" w:type="dxa"/>
                    <w:left w:w="15" w:type="dxa"/>
                    <w:right w:w="15" w:type="dxa"/>
                  </w:tcMar>
                  <w:vAlign w:val="center"/>
                </w:tcPr>
                <w:p w14:paraId="79C2B555">
                  <w:pPr>
                    <w:widowControl/>
                    <w:jc w:val="center"/>
                    <w:textAlignment w:val="center"/>
                    <w:rPr>
                      <w:color w:val="auto"/>
                      <w:kern w:val="0"/>
                      <w:sz w:val="21"/>
                      <w:szCs w:val="21"/>
                      <w:lang w:bidi="ar"/>
                    </w:rPr>
                  </w:pPr>
                  <w:r>
                    <w:rPr>
                      <w:rFonts w:hint="eastAsia"/>
                      <w:color w:val="auto"/>
                      <w:kern w:val="0"/>
                      <w:sz w:val="21"/>
                      <w:szCs w:val="21"/>
                      <w:lang w:bidi="ar"/>
                    </w:rPr>
                    <w:t>建筑物外噪声</w:t>
                  </w:r>
                </w:p>
              </w:tc>
            </w:tr>
            <w:tr w14:paraId="07CA0D88">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2" w:hRule="atLeast"/>
                <w:jc w:val="center"/>
              </w:trPr>
              <w:tc>
                <w:tcPr>
                  <w:tcW w:w="146" w:type="pct"/>
                  <w:vMerge w:val="continue"/>
                  <w:noWrap w:val="0"/>
                  <w:vAlign w:val="center"/>
                </w:tcPr>
                <w:p w14:paraId="6C0D2C60">
                  <w:pPr>
                    <w:widowControl/>
                    <w:jc w:val="center"/>
                    <w:textAlignment w:val="center"/>
                    <w:rPr>
                      <w:rFonts w:hint="eastAsia"/>
                      <w:color w:val="auto"/>
                      <w:kern w:val="0"/>
                      <w:sz w:val="21"/>
                      <w:szCs w:val="21"/>
                      <w:lang w:bidi="ar"/>
                    </w:rPr>
                  </w:pPr>
                </w:p>
              </w:tc>
              <w:tc>
                <w:tcPr>
                  <w:tcW w:w="819" w:type="pct"/>
                  <w:vMerge w:val="continue"/>
                  <w:noWrap/>
                  <w:tcMar>
                    <w:top w:w="15" w:type="dxa"/>
                    <w:left w:w="15" w:type="dxa"/>
                    <w:right w:w="15" w:type="dxa"/>
                  </w:tcMar>
                  <w:vAlign w:val="center"/>
                </w:tcPr>
                <w:p w14:paraId="6E9F943E">
                  <w:pPr>
                    <w:widowControl/>
                    <w:jc w:val="center"/>
                    <w:textAlignment w:val="center"/>
                    <w:rPr>
                      <w:color w:val="auto"/>
                      <w:kern w:val="0"/>
                      <w:sz w:val="21"/>
                      <w:szCs w:val="21"/>
                      <w:lang w:bidi="ar"/>
                    </w:rPr>
                  </w:pPr>
                </w:p>
              </w:tc>
              <w:tc>
                <w:tcPr>
                  <w:tcW w:w="425" w:type="pct"/>
                  <w:vMerge w:val="continue"/>
                  <w:noWrap w:val="0"/>
                  <w:vAlign w:val="center"/>
                </w:tcPr>
                <w:p w14:paraId="72F4DA16">
                  <w:pPr>
                    <w:widowControl/>
                    <w:jc w:val="center"/>
                    <w:textAlignment w:val="center"/>
                    <w:rPr>
                      <w:rFonts w:hint="eastAsia"/>
                      <w:color w:val="auto"/>
                      <w:kern w:val="0"/>
                      <w:sz w:val="21"/>
                      <w:szCs w:val="21"/>
                      <w:lang w:bidi="ar"/>
                    </w:rPr>
                  </w:pPr>
                </w:p>
              </w:tc>
              <w:tc>
                <w:tcPr>
                  <w:tcW w:w="149" w:type="pct"/>
                  <w:vMerge w:val="continue"/>
                  <w:noWrap w:val="0"/>
                  <w:vAlign w:val="center"/>
                </w:tcPr>
                <w:p w14:paraId="0E6DBAFE">
                  <w:pPr>
                    <w:widowControl/>
                    <w:jc w:val="center"/>
                    <w:textAlignment w:val="center"/>
                    <w:rPr>
                      <w:rFonts w:hint="eastAsia"/>
                      <w:color w:val="auto"/>
                      <w:kern w:val="0"/>
                      <w:sz w:val="21"/>
                      <w:szCs w:val="21"/>
                      <w:lang w:bidi="ar"/>
                    </w:rPr>
                  </w:pPr>
                </w:p>
              </w:tc>
              <w:tc>
                <w:tcPr>
                  <w:tcW w:w="473" w:type="pct"/>
                  <w:noWrap w:val="0"/>
                  <w:vAlign w:val="center"/>
                </w:tcPr>
                <w:p w14:paraId="08E17C7F">
                  <w:pPr>
                    <w:widowControl/>
                    <w:jc w:val="center"/>
                    <w:textAlignment w:val="center"/>
                    <w:rPr>
                      <w:rFonts w:hint="eastAsia"/>
                      <w:color w:val="auto"/>
                      <w:kern w:val="0"/>
                      <w:sz w:val="21"/>
                      <w:szCs w:val="21"/>
                      <w:lang w:bidi="ar"/>
                    </w:rPr>
                  </w:pPr>
                  <w:r>
                    <w:rPr>
                      <w:rFonts w:hint="eastAsia"/>
                      <w:color w:val="auto"/>
                      <w:kern w:val="0"/>
                      <w:sz w:val="21"/>
                      <w:szCs w:val="21"/>
                      <w:lang w:bidi="ar"/>
                    </w:rPr>
                    <w:t>X/Y/Z</w:t>
                  </w:r>
                </w:p>
              </w:tc>
              <w:tc>
                <w:tcPr>
                  <w:tcW w:w="420" w:type="pct"/>
                  <w:vMerge w:val="continue"/>
                  <w:noWrap w:val="0"/>
                  <w:vAlign w:val="center"/>
                </w:tcPr>
                <w:p w14:paraId="3FA0772F">
                  <w:pPr>
                    <w:widowControl/>
                    <w:jc w:val="center"/>
                    <w:textAlignment w:val="center"/>
                    <w:rPr>
                      <w:color w:val="auto"/>
                      <w:kern w:val="0"/>
                      <w:sz w:val="21"/>
                      <w:szCs w:val="21"/>
                      <w:lang w:bidi="ar"/>
                    </w:rPr>
                  </w:pPr>
                </w:p>
              </w:tc>
              <w:tc>
                <w:tcPr>
                  <w:tcW w:w="462" w:type="pct"/>
                  <w:vMerge w:val="continue"/>
                  <w:noWrap/>
                  <w:tcMar>
                    <w:top w:w="15" w:type="dxa"/>
                    <w:left w:w="15" w:type="dxa"/>
                    <w:right w:w="15" w:type="dxa"/>
                  </w:tcMar>
                  <w:vAlign w:val="center"/>
                </w:tcPr>
                <w:p w14:paraId="0E50450B">
                  <w:pPr>
                    <w:widowControl/>
                    <w:jc w:val="center"/>
                    <w:textAlignment w:val="center"/>
                    <w:rPr>
                      <w:color w:val="auto"/>
                      <w:kern w:val="0"/>
                      <w:sz w:val="21"/>
                      <w:szCs w:val="21"/>
                      <w:lang w:bidi="ar"/>
                    </w:rPr>
                  </w:pPr>
                </w:p>
              </w:tc>
              <w:tc>
                <w:tcPr>
                  <w:tcW w:w="283" w:type="pct"/>
                  <w:vMerge w:val="continue"/>
                  <w:noWrap w:val="0"/>
                  <w:vAlign w:val="center"/>
                </w:tcPr>
                <w:p w14:paraId="69CACE92">
                  <w:pPr>
                    <w:widowControl/>
                    <w:jc w:val="center"/>
                    <w:textAlignment w:val="center"/>
                    <w:rPr>
                      <w:color w:val="auto"/>
                      <w:kern w:val="0"/>
                      <w:sz w:val="21"/>
                      <w:szCs w:val="21"/>
                      <w:lang w:bidi="ar"/>
                    </w:rPr>
                  </w:pPr>
                </w:p>
              </w:tc>
              <w:tc>
                <w:tcPr>
                  <w:tcW w:w="684" w:type="pct"/>
                  <w:vMerge w:val="continue"/>
                  <w:noWrap/>
                  <w:tcMar>
                    <w:top w:w="15" w:type="dxa"/>
                    <w:left w:w="15" w:type="dxa"/>
                    <w:right w:w="15" w:type="dxa"/>
                  </w:tcMar>
                  <w:vAlign w:val="center"/>
                </w:tcPr>
                <w:p w14:paraId="1EE1C440">
                  <w:pPr>
                    <w:widowControl/>
                    <w:jc w:val="center"/>
                    <w:textAlignment w:val="center"/>
                    <w:rPr>
                      <w:color w:val="auto"/>
                      <w:kern w:val="0"/>
                      <w:sz w:val="21"/>
                      <w:szCs w:val="21"/>
                      <w:lang w:bidi="ar"/>
                    </w:rPr>
                  </w:pPr>
                </w:p>
              </w:tc>
              <w:tc>
                <w:tcPr>
                  <w:tcW w:w="522" w:type="pct"/>
                  <w:noWrap/>
                  <w:tcMar>
                    <w:top w:w="15" w:type="dxa"/>
                    <w:left w:w="15" w:type="dxa"/>
                    <w:right w:w="15" w:type="dxa"/>
                  </w:tcMar>
                  <w:vAlign w:val="center"/>
                </w:tcPr>
                <w:p w14:paraId="353EE7C6">
                  <w:pPr>
                    <w:widowControl/>
                    <w:jc w:val="center"/>
                    <w:textAlignment w:val="center"/>
                    <w:rPr>
                      <w:color w:val="auto"/>
                      <w:kern w:val="0"/>
                      <w:sz w:val="21"/>
                      <w:szCs w:val="21"/>
                      <w:lang w:bidi="ar"/>
                    </w:rPr>
                  </w:pPr>
                  <w:r>
                    <w:rPr>
                      <w:rFonts w:hint="eastAsia"/>
                      <w:color w:val="auto"/>
                      <w:kern w:val="0"/>
                      <w:sz w:val="21"/>
                      <w:szCs w:val="21"/>
                      <w:lang w:bidi="ar"/>
                    </w:rPr>
                    <w:t>声压级/dB（A）</w:t>
                  </w:r>
                </w:p>
              </w:tc>
              <w:tc>
                <w:tcPr>
                  <w:tcW w:w="611" w:type="pct"/>
                  <w:noWrap w:val="0"/>
                  <w:vAlign w:val="center"/>
                </w:tcPr>
                <w:p w14:paraId="37E635DC">
                  <w:pPr>
                    <w:widowControl/>
                    <w:jc w:val="center"/>
                    <w:textAlignment w:val="center"/>
                    <w:rPr>
                      <w:color w:val="auto"/>
                      <w:kern w:val="0"/>
                      <w:sz w:val="21"/>
                      <w:szCs w:val="21"/>
                      <w:lang w:bidi="ar"/>
                    </w:rPr>
                  </w:pPr>
                  <w:r>
                    <w:rPr>
                      <w:rFonts w:hint="eastAsia"/>
                      <w:color w:val="auto"/>
                      <w:kern w:val="0"/>
                      <w:sz w:val="21"/>
                      <w:szCs w:val="21"/>
                      <w:lang w:bidi="ar"/>
                    </w:rPr>
                    <w:t>建筑物外距离/m</w:t>
                  </w:r>
                </w:p>
              </w:tc>
            </w:tr>
            <w:tr w14:paraId="1C364C76">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6" w:type="pct"/>
                  <w:vMerge w:val="restart"/>
                  <w:noWrap w:val="0"/>
                  <w:vAlign w:val="center"/>
                </w:tcPr>
                <w:p w14:paraId="26DA4C2E">
                  <w:pPr>
                    <w:jc w:val="center"/>
                    <w:textAlignment w:val="center"/>
                    <w:rPr>
                      <w:rFonts w:hint="default" w:eastAsia="宋体"/>
                      <w:color w:val="auto"/>
                      <w:sz w:val="21"/>
                      <w:szCs w:val="21"/>
                      <w:lang w:val="en-US" w:eastAsia="zh-CN"/>
                    </w:rPr>
                  </w:pPr>
                  <w:r>
                    <w:rPr>
                      <w:rFonts w:hint="eastAsia"/>
                      <w:color w:val="auto"/>
                      <w:sz w:val="21"/>
                      <w:szCs w:val="21"/>
                      <w:lang w:val="en-US" w:eastAsia="zh-CN"/>
                    </w:rPr>
                    <w:t>中央厨房</w:t>
                  </w:r>
                </w:p>
              </w:tc>
              <w:tc>
                <w:tcPr>
                  <w:tcW w:w="819" w:type="pct"/>
                  <w:shd w:val="clear" w:color="auto" w:fill="auto"/>
                  <w:noWrap/>
                  <w:tcMar>
                    <w:top w:w="15" w:type="dxa"/>
                    <w:left w:w="15" w:type="dxa"/>
                    <w:right w:w="15" w:type="dxa"/>
                  </w:tcMar>
                  <w:vAlign w:val="center"/>
                </w:tcPr>
                <w:p w14:paraId="4C84A4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炒锅</w:t>
                  </w:r>
                </w:p>
              </w:tc>
              <w:tc>
                <w:tcPr>
                  <w:tcW w:w="425" w:type="pct"/>
                  <w:noWrap w:val="0"/>
                  <w:vAlign w:val="center"/>
                </w:tcPr>
                <w:p w14:paraId="64740905">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87.8 </w:t>
                  </w:r>
                </w:p>
              </w:tc>
              <w:tc>
                <w:tcPr>
                  <w:tcW w:w="149" w:type="pct"/>
                  <w:vMerge w:val="restart"/>
                  <w:noWrap w:val="0"/>
                  <w:vAlign w:val="center"/>
                </w:tcPr>
                <w:p w14:paraId="5B3E077C">
                  <w:pPr>
                    <w:jc w:val="center"/>
                    <w:textAlignment w:val="center"/>
                    <w:rPr>
                      <w:rFonts w:hint="default" w:eastAsia="宋体"/>
                      <w:color w:val="auto"/>
                      <w:sz w:val="21"/>
                      <w:szCs w:val="21"/>
                      <w:lang w:val="en-US" w:eastAsia="zh-CN"/>
                    </w:rPr>
                  </w:pPr>
                  <w:r>
                    <w:rPr>
                      <w:color w:val="auto"/>
                      <w:sz w:val="21"/>
                      <w:szCs w:val="21"/>
                    </w:rPr>
                    <w:t>选用低噪声设备，</w:t>
                  </w:r>
                  <w:r>
                    <w:rPr>
                      <w:rFonts w:hint="eastAsia"/>
                      <w:color w:val="auto"/>
                      <w:sz w:val="21"/>
                      <w:szCs w:val="21"/>
                      <w:lang w:val="en-US" w:eastAsia="zh-CN"/>
                    </w:rPr>
                    <w:t>基础减振，厂房隔音</w:t>
                  </w:r>
                </w:p>
              </w:tc>
              <w:tc>
                <w:tcPr>
                  <w:tcW w:w="473" w:type="pct"/>
                  <w:noWrap w:val="0"/>
                  <w:vAlign w:val="center"/>
                </w:tcPr>
                <w:p w14:paraId="1DDBE9AD">
                  <w:pPr>
                    <w:jc w:val="center"/>
                    <w:textAlignment w:val="center"/>
                    <w:rPr>
                      <w:rFonts w:hint="default" w:eastAsia="宋体"/>
                      <w:color w:val="auto"/>
                      <w:sz w:val="21"/>
                      <w:szCs w:val="21"/>
                      <w:lang w:val="en-US" w:eastAsia="zh-CN"/>
                    </w:rPr>
                  </w:pPr>
                  <w:r>
                    <w:rPr>
                      <w:rFonts w:hint="eastAsia"/>
                      <w:color w:val="auto"/>
                      <w:sz w:val="21"/>
                      <w:szCs w:val="21"/>
                      <w:lang w:val="en-US" w:eastAsia="zh-CN"/>
                    </w:rPr>
                    <w:t>15/8/1</w:t>
                  </w:r>
                </w:p>
              </w:tc>
              <w:tc>
                <w:tcPr>
                  <w:tcW w:w="420" w:type="pct"/>
                  <w:shd w:val="clear" w:color="auto" w:fill="auto"/>
                  <w:noWrap w:val="0"/>
                  <w:vAlign w:val="center"/>
                </w:tcPr>
                <w:p w14:paraId="5CEFB8E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462" w:type="pct"/>
                  <w:noWrap/>
                  <w:tcMar>
                    <w:top w:w="15" w:type="dxa"/>
                    <w:left w:w="15" w:type="dxa"/>
                    <w:right w:w="15" w:type="dxa"/>
                  </w:tcMar>
                  <w:vAlign w:val="center"/>
                </w:tcPr>
                <w:p w14:paraId="516FEB16">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60.2 </w:t>
                  </w:r>
                </w:p>
              </w:tc>
              <w:tc>
                <w:tcPr>
                  <w:tcW w:w="283" w:type="pct"/>
                  <w:vMerge w:val="restart"/>
                  <w:noWrap w:val="0"/>
                  <w:vAlign w:val="center"/>
                </w:tcPr>
                <w:p w14:paraId="2B53D433">
                  <w:pPr>
                    <w:jc w:val="center"/>
                    <w:textAlignment w:val="center"/>
                    <w:rPr>
                      <w:rFonts w:hint="default" w:eastAsia="宋体"/>
                      <w:color w:val="auto"/>
                      <w:kern w:val="0"/>
                      <w:sz w:val="21"/>
                      <w:szCs w:val="21"/>
                      <w:lang w:val="en-US" w:eastAsia="zh-CN" w:bidi="ar"/>
                    </w:rPr>
                  </w:pPr>
                  <w:r>
                    <w:rPr>
                      <w:rFonts w:hint="eastAsia"/>
                      <w:color w:val="auto"/>
                      <w:kern w:val="0"/>
                      <w:sz w:val="21"/>
                      <w:szCs w:val="21"/>
                      <w:lang w:bidi="ar"/>
                    </w:rPr>
                    <w:t>昼</w:t>
                  </w:r>
                  <w:r>
                    <w:rPr>
                      <w:rFonts w:hint="eastAsia"/>
                      <w:color w:val="auto"/>
                      <w:kern w:val="0"/>
                      <w:sz w:val="21"/>
                      <w:szCs w:val="21"/>
                      <w:lang w:val="en-US" w:eastAsia="zh-CN" w:bidi="ar"/>
                    </w:rPr>
                    <w:t>间运行、夜间不运行</w:t>
                  </w:r>
                </w:p>
              </w:tc>
              <w:tc>
                <w:tcPr>
                  <w:tcW w:w="684" w:type="pct"/>
                  <w:noWrap/>
                  <w:tcMar>
                    <w:top w:w="15" w:type="dxa"/>
                    <w:left w:w="15" w:type="dxa"/>
                    <w:right w:w="15" w:type="dxa"/>
                  </w:tcMar>
                  <w:vAlign w:val="center"/>
                </w:tcPr>
                <w:p w14:paraId="5EF407F1">
                  <w:pPr>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noWrap/>
                  <w:tcMar>
                    <w:top w:w="15" w:type="dxa"/>
                    <w:left w:w="15" w:type="dxa"/>
                    <w:right w:w="15" w:type="dxa"/>
                  </w:tcMar>
                  <w:vAlign w:val="center"/>
                </w:tcPr>
                <w:p w14:paraId="7185B680">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40.2 </w:t>
                  </w:r>
                </w:p>
              </w:tc>
              <w:tc>
                <w:tcPr>
                  <w:tcW w:w="611" w:type="pct"/>
                  <w:tcBorders>
                    <w:top w:val="single" w:color="auto" w:sz="4" w:space="0"/>
                    <w:bottom w:val="single" w:color="auto" w:sz="4" w:space="0"/>
                  </w:tcBorders>
                  <w:noWrap/>
                  <w:tcMar>
                    <w:top w:w="15" w:type="dxa"/>
                    <w:left w:w="15" w:type="dxa"/>
                    <w:right w:w="15" w:type="dxa"/>
                  </w:tcMar>
                  <w:vAlign w:val="center"/>
                </w:tcPr>
                <w:p w14:paraId="4EF80E4C">
                  <w:pPr>
                    <w:widowControl/>
                    <w:jc w:val="center"/>
                    <w:textAlignment w:val="center"/>
                    <w:rPr>
                      <w:color w:val="auto"/>
                      <w:kern w:val="0"/>
                      <w:sz w:val="21"/>
                      <w:szCs w:val="21"/>
                      <w:lang w:bidi="ar"/>
                    </w:rPr>
                  </w:pPr>
                  <w:r>
                    <w:rPr>
                      <w:rFonts w:hint="eastAsia"/>
                      <w:color w:val="auto"/>
                      <w:kern w:val="0"/>
                      <w:sz w:val="21"/>
                      <w:szCs w:val="21"/>
                      <w:lang w:bidi="ar"/>
                    </w:rPr>
                    <w:t>1</w:t>
                  </w:r>
                </w:p>
              </w:tc>
            </w:tr>
            <w:tr w14:paraId="1DC80B00">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89C274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495F7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汤锅</w:t>
                  </w:r>
                </w:p>
              </w:tc>
              <w:tc>
                <w:tcPr>
                  <w:tcW w:w="425" w:type="pct"/>
                  <w:shd w:val="clear" w:color="auto" w:fill="auto"/>
                  <w:noWrap w:val="0"/>
                  <w:vAlign w:val="center"/>
                </w:tcPr>
                <w:p w14:paraId="4356AF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82.0 </w:t>
                  </w:r>
                </w:p>
              </w:tc>
              <w:tc>
                <w:tcPr>
                  <w:tcW w:w="149" w:type="pct"/>
                  <w:vMerge w:val="continue"/>
                  <w:noWrap w:val="0"/>
                  <w:vAlign w:val="center"/>
                </w:tcPr>
                <w:p w14:paraId="70B11C3B">
                  <w:pPr>
                    <w:jc w:val="center"/>
                    <w:textAlignment w:val="center"/>
                    <w:rPr>
                      <w:color w:val="auto"/>
                      <w:sz w:val="21"/>
                      <w:szCs w:val="21"/>
                    </w:rPr>
                  </w:pPr>
                </w:p>
              </w:tc>
              <w:tc>
                <w:tcPr>
                  <w:tcW w:w="473" w:type="pct"/>
                  <w:noWrap w:val="0"/>
                  <w:vAlign w:val="center"/>
                </w:tcPr>
                <w:p w14:paraId="37176F49">
                  <w:pPr>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18/9/1</w:t>
                  </w:r>
                </w:p>
              </w:tc>
              <w:tc>
                <w:tcPr>
                  <w:tcW w:w="420" w:type="pct"/>
                  <w:shd w:val="clear" w:color="auto" w:fill="auto"/>
                  <w:noWrap w:val="0"/>
                  <w:vAlign w:val="center"/>
                </w:tcPr>
                <w:p w14:paraId="3B20696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462" w:type="pct"/>
                  <w:shd w:val="clear" w:color="auto" w:fill="auto"/>
                  <w:noWrap/>
                  <w:tcMar>
                    <w:top w:w="15" w:type="dxa"/>
                    <w:left w:w="15" w:type="dxa"/>
                    <w:right w:w="15" w:type="dxa"/>
                  </w:tcMar>
                  <w:vAlign w:val="center"/>
                </w:tcPr>
                <w:p w14:paraId="28461FE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54.4 </w:t>
                  </w:r>
                </w:p>
              </w:tc>
              <w:tc>
                <w:tcPr>
                  <w:tcW w:w="283" w:type="pct"/>
                  <w:vMerge w:val="continue"/>
                  <w:noWrap w:val="0"/>
                  <w:vAlign w:val="center"/>
                </w:tcPr>
                <w:p w14:paraId="1F26B93C">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1AB8FE30">
                  <w:pPr>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0B06DA0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34.4 </w:t>
                  </w:r>
                </w:p>
              </w:tc>
              <w:tc>
                <w:tcPr>
                  <w:tcW w:w="611" w:type="pct"/>
                  <w:tcBorders>
                    <w:top w:val="single" w:color="auto" w:sz="4" w:space="0"/>
                    <w:bottom w:val="single" w:color="auto" w:sz="4" w:space="0"/>
                  </w:tcBorders>
                  <w:noWrap/>
                  <w:tcMar>
                    <w:top w:w="15" w:type="dxa"/>
                    <w:left w:w="15" w:type="dxa"/>
                    <w:right w:w="15" w:type="dxa"/>
                  </w:tcMar>
                  <w:vAlign w:val="center"/>
                </w:tcPr>
                <w:p w14:paraId="3B7E341D">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bidi="ar"/>
                    </w:rPr>
                    <w:t>1</w:t>
                  </w:r>
                </w:p>
              </w:tc>
            </w:tr>
            <w:tr w14:paraId="227283F3">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2F0BEF5">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9F007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eastAsia="zh-CN"/>
                    </w:rPr>
                    <w:t>燃气蒸箱</w:t>
                  </w:r>
                </w:p>
              </w:tc>
              <w:tc>
                <w:tcPr>
                  <w:tcW w:w="425" w:type="pct"/>
                  <w:shd w:val="clear" w:color="auto" w:fill="auto"/>
                  <w:noWrap w:val="0"/>
                  <w:vAlign w:val="center"/>
                </w:tcPr>
                <w:p w14:paraId="7D764AB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169A1374">
                  <w:pPr>
                    <w:jc w:val="center"/>
                    <w:textAlignment w:val="center"/>
                    <w:rPr>
                      <w:color w:val="auto"/>
                      <w:sz w:val="21"/>
                      <w:szCs w:val="21"/>
                    </w:rPr>
                  </w:pPr>
                </w:p>
              </w:tc>
              <w:tc>
                <w:tcPr>
                  <w:tcW w:w="473" w:type="pct"/>
                  <w:noWrap w:val="0"/>
                  <w:vAlign w:val="center"/>
                </w:tcPr>
                <w:p w14:paraId="5EA365D5">
                  <w:pPr>
                    <w:jc w:val="center"/>
                    <w:textAlignment w:val="center"/>
                    <w:rPr>
                      <w:rFonts w:hint="default"/>
                      <w:color w:val="auto"/>
                      <w:sz w:val="21"/>
                      <w:szCs w:val="21"/>
                      <w:lang w:val="en-US" w:eastAsia="zh-CN"/>
                    </w:rPr>
                  </w:pPr>
                  <w:r>
                    <w:rPr>
                      <w:rFonts w:hint="eastAsia"/>
                      <w:color w:val="auto"/>
                      <w:sz w:val="21"/>
                      <w:szCs w:val="21"/>
                      <w:lang w:val="en-US" w:eastAsia="zh-CN"/>
                    </w:rPr>
                    <w:t>20/8/1</w:t>
                  </w:r>
                </w:p>
              </w:tc>
              <w:tc>
                <w:tcPr>
                  <w:tcW w:w="420" w:type="pct"/>
                  <w:shd w:val="clear" w:color="auto" w:fill="auto"/>
                  <w:noWrap w:val="0"/>
                  <w:vAlign w:val="center"/>
                </w:tcPr>
                <w:p w14:paraId="049C490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2" w:type="pct"/>
                  <w:shd w:val="clear" w:color="auto" w:fill="auto"/>
                  <w:noWrap/>
                  <w:tcMar>
                    <w:top w:w="15" w:type="dxa"/>
                    <w:left w:w="15" w:type="dxa"/>
                    <w:right w:w="15" w:type="dxa"/>
                  </w:tcMar>
                  <w:vAlign w:val="center"/>
                </w:tcPr>
                <w:p w14:paraId="5BFF511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47.0 </w:t>
                  </w:r>
                </w:p>
              </w:tc>
              <w:tc>
                <w:tcPr>
                  <w:tcW w:w="283" w:type="pct"/>
                  <w:vMerge w:val="continue"/>
                  <w:noWrap w:val="0"/>
                  <w:vAlign w:val="center"/>
                </w:tcPr>
                <w:p w14:paraId="57C860A1">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1B642E01">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1248C1A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27.0 </w:t>
                  </w:r>
                </w:p>
              </w:tc>
              <w:tc>
                <w:tcPr>
                  <w:tcW w:w="611" w:type="pct"/>
                  <w:tcBorders>
                    <w:top w:val="single" w:color="auto" w:sz="4" w:space="0"/>
                    <w:bottom w:val="single" w:color="auto" w:sz="4" w:space="0"/>
                  </w:tcBorders>
                  <w:noWrap/>
                  <w:tcMar>
                    <w:top w:w="15" w:type="dxa"/>
                    <w:left w:w="15" w:type="dxa"/>
                    <w:right w:w="15" w:type="dxa"/>
                  </w:tcMar>
                  <w:vAlign w:val="center"/>
                </w:tcPr>
                <w:p w14:paraId="23D97E5A">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32D23949">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D63E603">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4010D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eastAsia="zh-CN"/>
                    </w:rPr>
                    <w:t>电蒸箱</w:t>
                  </w:r>
                </w:p>
              </w:tc>
              <w:tc>
                <w:tcPr>
                  <w:tcW w:w="425" w:type="pct"/>
                  <w:shd w:val="clear" w:color="auto" w:fill="auto"/>
                  <w:noWrap w:val="0"/>
                  <w:vAlign w:val="center"/>
                </w:tcPr>
                <w:p w14:paraId="369FD641">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77.0 </w:t>
                  </w:r>
                </w:p>
              </w:tc>
              <w:tc>
                <w:tcPr>
                  <w:tcW w:w="149" w:type="pct"/>
                  <w:vMerge w:val="continue"/>
                  <w:noWrap w:val="0"/>
                  <w:vAlign w:val="center"/>
                </w:tcPr>
                <w:p w14:paraId="5CB8AC44">
                  <w:pPr>
                    <w:jc w:val="center"/>
                    <w:textAlignment w:val="center"/>
                    <w:rPr>
                      <w:color w:val="auto"/>
                      <w:sz w:val="21"/>
                      <w:szCs w:val="21"/>
                    </w:rPr>
                  </w:pPr>
                </w:p>
              </w:tc>
              <w:tc>
                <w:tcPr>
                  <w:tcW w:w="473" w:type="pct"/>
                  <w:noWrap w:val="0"/>
                  <w:vAlign w:val="center"/>
                </w:tcPr>
                <w:p w14:paraId="06C4E325">
                  <w:pPr>
                    <w:jc w:val="center"/>
                    <w:textAlignment w:val="center"/>
                    <w:rPr>
                      <w:rFonts w:hint="default" w:eastAsia="宋体"/>
                      <w:color w:val="auto"/>
                      <w:sz w:val="21"/>
                      <w:szCs w:val="21"/>
                      <w:lang w:val="en-US" w:eastAsia="zh-CN"/>
                    </w:rPr>
                  </w:pPr>
                  <w:r>
                    <w:rPr>
                      <w:rFonts w:hint="eastAsia"/>
                      <w:color w:val="auto"/>
                      <w:sz w:val="21"/>
                      <w:szCs w:val="21"/>
                      <w:lang w:val="en-US" w:eastAsia="zh-CN"/>
                    </w:rPr>
                    <w:t>20/5/1</w:t>
                  </w:r>
                </w:p>
              </w:tc>
              <w:tc>
                <w:tcPr>
                  <w:tcW w:w="420" w:type="pct"/>
                  <w:shd w:val="clear" w:color="auto" w:fill="auto"/>
                  <w:noWrap w:val="0"/>
                  <w:vAlign w:val="center"/>
                </w:tcPr>
                <w:p w14:paraId="5D26109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462" w:type="pct"/>
                  <w:shd w:val="clear" w:color="auto" w:fill="auto"/>
                  <w:noWrap/>
                  <w:tcMar>
                    <w:top w:w="15" w:type="dxa"/>
                    <w:left w:w="15" w:type="dxa"/>
                    <w:right w:w="15" w:type="dxa"/>
                  </w:tcMar>
                  <w:vAlign w:val="center"/>
                </w:tcPr>
                <w:p w14:paraId="04F13AA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49.4 </w:t>
                  </w:r>
                </w:p>
              </w:tc>
              <w:tc>
                <w:tcPr>
                  <w:tcW w:w="283" w:type="pct"/>
                  <w:vMerge w:val="continue"/>
                  <w:noWrap w:val="0"/>
                  <w:vAlign w:val="center"/>
                </w:tcPr>
                <w:p w14:paraId="045CE459">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2D44BD69">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36156CF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29.4 </w:t>
                  </w:r>
                </w:p>
              </w:tc>
              <w:tc>
                <w:tcPr>
                  <w:tcW w:w="611" w:type="pct"/>
                  <w:tcBorders>
                    <w:top w:val="single" w:color="auto" w:sz="4" w:space="0"/>
                    <w:bottom w:val="single" w:color="auto" w:sz="4" w:space="0"/>
                  </w:tcBorders>
                  <w:noWrap/>
                  <w:tcMar>
                    <w:top w:w="15" w:type="dxa"/>
                    <w:left w:w="15" w:type="dxa"/>
                    <w:right w:w="15" w:type="dxa"/>
                  </w:tcMar>
                  <w:vAlign w:val="center"/>
                </w:tcPr>
                <w:p w14:paraId="1255B3EC">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596CABAF">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0031D12">
                  <w:pPr>
                    <w:jc w:val="center"/>
                    <w:textAlignment w:val="center"/>
                    <w:rPr>
                      <w:rFonts w:hint="default"/>
                      <w:color w:val="auto"/>
                      <w:sz w:val="21"/>
                      <w:szCs w:val="21"/>
                      <w:lang w:val="en-US" w:eastAsia="zh-CN"/>
                    </w:rPr>
                  </w:pPr>
                </w:p>
              </w:tc>
              <w:tc>
                <w:tcPr>
                  <w:tcW w:w="819" w:type="pct"/>
                  <w:noWrap/>
                  <w:tcMar>
                    <w:top w:w="15" w:type="dxa"/>
                    <w:left w:w="15" w:type="dxa"/>
                    <w:right w:w="15" w:type="dxa"/>
                  </w:tcMar>
                  <w:vAlign w:val="center"/>
                </w:tcPr>
                <w:p w14:paraId="05FEFEC5">
                  <w:pPr>
                    <w:pStyle w:val="142"/>
                    <w:jc w:val="center"/>
                    <w:rPr>
                      <w:rFonts w:hint="default" w:ascii="Times New Roman" w:hAnsi="Times New Roman" w:eastAsia="宋体" w:cs="Times New Roman"/>
                      <w:color w:val="auto"/>
                      <w:sz w:val="21"/>
                      <w:szCs w:val="21"/>
                      <w:highlight w:val="none"/>
                      <w:lang w:val="en-US" w:eastAsia="zh-CN"/>
                    </w:rPr>
                  </w:pPr>
                  <w:r>
                    <w:rPr>
                      <w:rFonts w:hint="eastAsia"/>
                      <w:color w:val="auto"/>
                      <w:vertAlign w:val="baseline"/>
                      <w:lang w:eastAsia="zh-CN"/>
                    </w:rPr>
                    <w:t>洗碗机</w:t>
                  </w:r>
                </w:p>
              </w:tc>
              <w:tc>
                <w:tcPr>
                  <w:tcW w:w="425" w:type="pct"/>
                  <w:shd w:val="clear" w:color="auto" w:fill="auto"/>
                  <w:noWrap w:val="0"/>
                  <w:vAlign w:val="center"/>
                </w:tcPr>
                <w:p w14:paraId="501E632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3EE37E23">
                  <w:pPr>
                    <w:jc w:val="center"/>
                    <w:textAlignment w:val="center"/>
                    <w:rPr>
                      <w:color w:val="auto"/>
                      <w:sz w:val="21"/>
                      <w:szCs w:val="21"/>
                    </w:rPr>
                  </w:pPr>
                </w:p>
              </w:tc>
              <w:tc>
                <w:tcPr>
                  <w:tcW w:w="473" w:type="pct"/>
                  <w:noWrap w:val="0"/>
                  <w:vAlign w:val="center"/>
                </w:tcPr>
                <w:p w14:paraId="12F23A99">
                  <w:pPr>
                    <w:jc w:val="center"/>
                    <w:textAlignment w:val="center"/>
                    <w:rPr>
                      <w:rFonts w:hint="default"/>
                      <w:color w:val="auto"/>
                      <w:sz w:val="21"/>
                      <w:szCs w:val="21"/>
                      <w:lang w:val="en-US" w:eastAsia="zh-CN"/>
                    </w:rPr>
                  </w:pPr>
                  <w:r>
                    <w:rPr>
                      <w:rFonts w:hint="eastAsia"/>
                      <w:color w:val="auto"/>
                      <w:sz w:val="21"/>
                      <w:szCs w:val="21"/>
                      <w:lang w:val="en-US" w:eastAsia="zh-CN"/>
                    </w:rPr>
                    <w:t>-12/8/1</w:t>
                  </w:r>
                </w:p>
              </w:tc>
              <w:tc>
                <w:tcPr>
                  <w:tcW w:w="420" w:type="pct"/>
                  <w:shd w:val="clear" w:color="auto" w:fill="auto"/>
                  <w:noWrap w:val="0"/>
                  <w:vAlign w:val="center"/>
                </w:tcPr>
                <w:p w14:paraId="49F65BA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62" w:type="pct"/>
                  <w:shd w:val="clear" w:color="auto" w:fill="auto"/>
                  <w:noWrap/>
                  <w:tcMar>
                    <w:top w:w="15" w:type="dxa"/>
                    <w:left w:w="15" w:type="dxa"/>
                    <w:right w:w="15" w:type="dxa"/>
                  </w:tcMar>
                  <w:vAlign w:val="center"/>
                </w:tcPr>
                <w:p w14:paraId="5BB9AE6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61.6 </w:t>
                  </w:r>
                </w:p>
              </w:tc>
              <w:tc>
                <w:tcPr>
                  <w:tcW w:w="283" w:type="pct"/>
                  <w:vMerge w:val="continue"/>
                  <w:noWrap w:val="0"/>
                  <w:vAlign w:val="center"/>
                </w:tcPr>
                <w:p w14:paraId="3EAABC86">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5B891E06">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67E3F2A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41.6 </w:t>
                  </w:r>
                </w:p>
              </w:tc>
              <w:tc>
                <w:tcPr>
                  <w:tcW w:w="611" w:type="pct"/>
                  <w:tcBorders>
                    <w:top w:val="single" w:color="auto" w:sz="4" w:space="0"/>
                    <w:bottom w:val="single" w:color="auto" w:sz="4" w:space="0"/>
                  </w:tcBorders>
                  <w:noWrap/>
                  <w:tcMar>
                    <w:top w:w="15" w:type="dxa"/>
                    <w:left w:w="15" w:type="dxa"/>
                    <w:right w:w="15" w:type="dxa"/>
                  </w:tcMar>
                  <w:vAlign w:val="center"/>
                </w:tcPr>
                <w:p w14:paraId="59304F5D">
                  <w:pPr>
                    <w:widowControl/>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1</w:t>
                  </w:r>
                </w:p>
              </w:tc>
            </w:tr>
            <w:tr w14:paraId="1CE43F70">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42B73C3">
                  <w:pPr>
                    <w:jc w:val="center"/>
                    <w:textAlignment w:val="center"/>
                    <w:rPr>
                      <w:rFonts w:hint="default"/>
                      <w:color w:val="auto"/>
                      <w:sz w:val="21"/>
                      <w:szCs w:val="21"/>
                      <w:lang w:val="en-US" w:eastAsia="zh-CN"/>
                    </w:rPr>
                  </w:pPr>
                </w:p>
              </w:tc>
              <w:tc>
                <w:tcPr>
                  <w:tcW w:w="819" w:type="pct"/>
                  <w:shd w:val="clear" w:color="auto" w:fill="auto"/>
                  <w:noWrap/>
                  <w:tcMar>
                    <w:top w:w="15" w:type="dxa"/>
                    <w:left w:w="15" w:type="dxa"/>
                    <w:right w:w="15" w:type="dxa"/>
                  </w:tcMar>
                  <w:vAlign w:val="center"/>
                </w:tcPr>
                <w:p w14:paraId="28CFA8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紫外线消毒设备</w:t>
                  </w:r>
                </w:p>
              </w:tc>
              <w:tc>
                <w:tcPr>
                  <w:tcW w:w="425" w:type="pct"/>
                  <w:shd w:val="clear" w:color="auto" w:fill="auto"/>
                  <w:noWrap w:val="0"/>
                  <w:vAlign w:val="center"/>
                </w:tcPr>
                <w:p w14:paraId="022C6B3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65.0 </w:t>
                  </w:r>
                </w:p>
              </w:tc>
              <w:tc>
                <w:tcPr>
                  <w:tcW w:w="149" w:type="pct"/>
                  <w:vMerge w:val="continue"/>
                  <w:noWrap w:val="0"/>
                  <w:vAlign w:val="center"/>
                </w:tcPr>
                <w:p w14:paraId="689E1077">
                  <w:pPr>
                    <w:jc w:val="center"/>
                    <w:textAlignment w:val="center"/>
                    <w:rPr>
                      <w:color w:val="auto"/>
                      <w:sz w:val="21"/>
                      <w:szCs w:val="21"/>
                    </w:rPr>
                  </w:pPr>
                </w:p>
              </w:tc>
              <w:tc>
                <w:tcPr>
                  <w:tcW w:w="473" w:type="pct"/>
                  <w:noWrap w:val="0"/>
                  <w:vAlign w:val="center"/>
                </w:tcPr>
                <w:p w14:paraId="5B1D0D9D">
                  <w:pPr>
                    <w:jc w:val="center"/>
                    <w:textAlignment w:val="center"/>
                    <w:rPr>
                      <w:rFonts w:hint="eastAsia"/>
                      <w:color w:val="auto"/>
                      <w:sz w:val="21"/>
                      <w:szCs w:val="21"/>
                      <w:lang w:val="en-US" w:eastAsia="zh-CN"/>
                    </w:rPr>
                  </w:pPr>
                  <w:r>
                    <w:rPr>
                      <w:rFonts w:hint="eastAsia"/>
                      <w:color w:val="auto"/>
                      <w:sz w:val="21"/>
                      <w:szCs w:val="21"/>
                      <w:lang w:val="en-US" w:eastAsia="zh-CN"/>
                    </w:rPr>
                    <w:t>-12/8/2</w:t>
                  </w:r>
                </w:p>
              </w:tc>
              <w:tc>
                <w:tcPr>
                  <w:tcW w:w="420" w:type="pct"/>
                  <w:shd w:val="clear" w:color="auto" w:fill="auto"/>
                  <w:noWrap w:val="0"/>
                  <w:vAlign w:val="center"/>
                </w:tcPr>
                <w:p w14:paraId="2F7484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352DE1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45.0 </w:t>
                  </w:r>
                </w:p>
              </w:tc>
              <w:tc>
                <w:tcPr>
                  <w:tcW w:w="283" w:type="pct"/>
                  <w:vMerge w:val="continue"/>
                  <w:noWrap w:val="0"/>
                  <w:vAlign w:val="center"/>
                </w:tcPr>
                <w:p w14:paraId="403B7E12">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1AFE9AD1">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15DA66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25.0 </w:t>
                  </w:r>
                </w:p>
              </w:tc>
              <w:tc>
                <w:tcPr>
                  <w:tcW w:w="611" w:type="pct"/>
                  <w:tcBorders>
                    <w:top w:val="single" w:color="auto" w:sz="4" w:space="0"/>
                    <w:bottom w:val="single" w:color="auto" w:sz="4" w:space="0"/>
                  </w:tcBorders>
                  <w:noWrap/>
                  <w:tcMar>
                    <w:top w:w="15" w:type="dxa"/>
                    <w:left w:w="15" w:type="dxa"/>
                    <w:right w:w="15" w:type="dxa"/>
                  </w:tcMar>
                  <w:vAlign w:val="center"/>
                </w:tcPr>
                <w:p w14:paraId="53AA8EBA">
                  <w:pPr>
                    <w:widowControl/>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1</w:t>
                  </w:r>
                </w:p>
              </w:tc>
            </w:tr>
            <w:tr w14:paraId="416913F8">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E10F81E">
                  <w:pPr>
                    <w:jc w:val="center"/>
                    <w:textAlignment w:val="center"/>
                    <w:rPr>
                      <w:rFonts w:hint="default"/>
                      <w:color w:val="auto"/>
                      <w:sz w:val="21"/>
                      <w:szCs w:val="21"/>
                      <w:lang w:val="en-US" w:eastAsia="zh-CN"/>
                    </w:rPr>
                  </w:pPr>
                </w:p>
              </w:tc>
              <w:tc>
                <w:tcPr>
                  <w:tcW w:w="819" w:type="pct"/>
                  <w:shd w:val="clear" w:color="auto" w:fill="auto"/>
                  <w:noWrap/>
                  <w:tcMar>
                    <w:top w:w="15" w:type="dxa"/>
                    <w:left w:w="15" w:type="dxa"/>
                    <w:right w:w="15" w:type="dxa"/>
                  </w:tcMar>
                  <w:vAlign w:val="center"/>
                </w:tcPr>
                <w:p w14:paraId="5971BB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臭氧消毒设备</w:t>
                  </w:r>
                </w:p>
              </w:tc>
              <w:tc>
                <w:tcPr>
                  <w:tcW w:w="425" w:type="pct"/>
                  <w:shd w:val="clear" w:color="auto" w:fill="auto"/>
                  <w:noWrap w:val="0"/>
                  <w:vAlign w:val="center"/>
                </w:tcPr>
                <w:p w14:paraId="14C8F51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65.0 </w:t>
                  </w:r>
                </w:p>
              </w:tc>
              <w:tc>
                <w:tcPr>
                  <w:tcW w:w="149" w:type="pct"/>
                  <w:vMerge w:val="continue"/>
                  <w:noWrap w:val="0"/>
                  <w:vAlign w:val="center"/>
                </w:tcPr>
                <w:p w14:paraId="678875E5">
                  <w:pPr>
                    <w:jc w:val="center"/>
                    <w:textAlignment w:val="center"/>
                    <w:rPr>
                      <w:color w:val="auto"/>
                      <w:sz w:val="21"/>
                      <w:szCs w:val="21"/>
                    </w:rPr>
                  </w:pPr>
                </w:p>
              </w:tc>
              <w:tc>
                <w:tcPr>
                  <w:tcW w:w="473" w:type="pct"/>
                  <w:noWrap w:val="0"/>
                  <w:vAlign w:val="center"/>
                </w:tcPr>
                <w:p w14:paraId="19BFF5EE">
                  <w:pPr>
                    <w:jc w:val="center"/>
                    <w:textAlignment w:val="center"/>
                    <w:rPr>
                      <w:rFonts w:hint="eastAsia"/>
                      <w:color w:val="auto"/>
                      <w:sz w:val="21"/>
                      <w:szCs w:val="21"/>
                      <w:lang w:val="en-US" w:eastAsia="zh-CN"/>
                    </w:rPr>
                  </w:pPr>
                  <w:r>
                    <w:rPr>
                      <w:rFonts w:hint="eastAsia"/>
                      <w:color w:val="auto"/>
                      <w:sz w:val="21"/>
                      <w:szCs w:val="21"/>
                      <w:lang w:val="en-US" w:eastAsia="zh-CN"/>
                    </w:rPr>
                    <w:t>-8/8/2</w:t>
                  </w:r>
                </w:p>
              </w:tc>
              <w:tc>
                <w:tcPr>
                  <w:tcW w:w="420" w:type="pct"/>
                  <w:shd w:val="clear" w:color="auto" w:fill="auto"/>
                  <w:noWrap w:val="0"/>
                  <w:vAlign w:val="center"/>
                </w:tcPr>
                <w:p w14:paraId="634FB5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792146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45.0 </w:t>
                  </w:r>
                </w:p>
              </w:tc>
              <w:tc>
                <w:tcPr>
                  <w:tcW w:w="283" w:type="pct"/>
                  <w:vMerge w:val="continue"/>
                  <w:noWrap w:val="0"/>
                  <w:vAlign w:val="center"/>
                </w:tcPr>
                <w:p w14:paraId="212D3C00">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756E8744">
                  <w:pPr>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42D200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25.0 </w:t>
                  </w:r>
                </w:p>
              </w:tc>
              <w:tc>
                <w:tcPr>
                  <w:tcW w:w="611" w:type="pct"/>
                  <w:tcBorders>
                    <w:top w:val="single" w:color="auto" w:sz="4" w:space="0"/>
                    <w:bottom w:val="single" w:color="auto" w:sz="4" w:space="0"/>
                  </w:tcBorders>
                  <w:noWrap/>
                  <w:tcMar>
                    <w:top w:w="15" w:type="dxa"/>
                    <w:left w:w="15" w:type="dxa"/>
                    <w:right w:w="15" w:type="dxa"/>
                  </w:tcMar>
                  <w:vAlign w:val="center"/>
                </w:tcPr>
                <w:p w14:paraId="6353D787">
                  <w:pPr>
                    <w:widowControl/>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1</w:t>
                  </w:r>
                </w:p>
              </w:tc>
            </w:tr>
            <w:tr w14:paraId="1B897505">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36139D6">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1D0224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vertAlign w:val="baseline"/>
                      <w:lang w:val="en-US" w:eastAsia="zh-CN"/>
                    </w:rPr>
                    <w:t>软水</w:t>
                  </w:r>
                  <w:r>
                    <w:rPr>
                      <w:rFonts w:hint="eastAsia" w:cs="Times New Roman"/>
                      <w:color w:val="auto"/>
                      <w:vertAlign w:val="baseline"/>
                      <w:lang w:val="en-US" w:eastAsia="zh-CN"/>
                    </w:rPr>
                    <w:t>机</w:t>
                  </w:r>
                </w:p>
              </w:tc>
              <w:tc>
                <w:tcPr>
                  <w:tcW w:w="425" w:type="pct"/>
                  <w:shd w:val="clear" w:color="auto" w:fill="auto"/>
                  <w:noWrap w:val="0"/>
                  <w:vAlign w:val="center"/>
                </w:tcPr>
                <w:p w14:paraId="756E934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4F79C20B">
                  <w:pPr>
                    <w:jc w:val="center"/>
                    <w:textAlignment w:val="center"/>
                    <w:rPr>
                      <w:color w:val="auto"/>
                      <w:sz w:val="21"/>
                      <w:szCs w:val="21"/>
                    </w:rPr>
                  </w:pPr>
                </w:p>
              </w:tc>
              <w:tc>
                <w:tcPr>
                  <w:tcW w:w="473" w:type="pct"/>
                  <w:noWrap w:val="0"/>
                  <w:vAlign w:val="center"/>
                </w:tcPr>
                <w:p w14:paraId="7C939397">
                  <w:pPr>
                    <w:jc w:val="center"/>
                    <w:textAlignment w:val="center"/>
                    <w:rPr>
                      <w:rFonts w:hint="default"/>
                      <w:color w:val="auto"/>
                      <w:sz w:val="21"/>
                      <w:szCs w:val="21"/>
                      <w:lang w:val="en-US" w:eastAsia="zh-CN"/>
                    </w:rPr>
                  </w:pPr>
                  <w:r>
                    <w:rPr>
                      <w:rFonts w:hint="eastAsia"/>
                      <w:color w:val="auto"/>
                      <w:sz w:val="21"/>
                      <w:szCs w:val="21"/>
                      <w:lang w:val="en-US" w:eastAsia="zh-CN"/>
                    </w:rPr>
                    <w:t>20/-6/1</w:t>
                  </w:r>
                </w:p>
              </w:tc>
              <w:tc>
                <w:tcPr>
                  <w:tcW w:w="420" w:type="pct"/>
                  <w:shd w:val="clear" w:color="auto" w:fill="auto"/>
                  <w:noWrap w:val="0"/>
                  <w:vAlign w:val="center"/>
                </w:tcPr>
                <w:p w14:paraId="2CA492A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5D014D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48.4 </w:t>
                  </w:r>
                </w:p>
              </w:tc>
              <w:tc>
                <w:tcPr>
                  <w:tcW w:w="283" w:type="pct"/>
                  <w:vMerge w:val="continue"/>
                  <w:noWrap w:val="0"/>
                  <w:vAlign w:val="center"/>
                </w:tcPr>
                <w:p w14:paraId="359843E1">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76BC7A82">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304906B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28.4 </w:t>
                  </w:r>
                </w:p>
              </w:tc>
              <w:tc>
                <w:tcPr>
                  <w:tcW w:w="611" w:type="pct"/>
                  <w:tcBorders>
                    <w:top w:val="single" w:color="auto" w:sz="4" w:space="0"/>
                    <w:bottom w:val="single" w:color="auto" w:sz="4" w:space="0"/>
                  </w:tcBorders>
                  <w:noWrap/>
                  <w:tcMar>
                    <w:top w:w="15" w:type="dxa"/>
                    <w:left w:w="15" w:type="dxa"/>
                    <w:right w:w="15" w:type="dxa"/>
                  </w:tcMar>
                  <w:vAlign w:val="center"/>
                </w:tcPr>
                <w:p w14:paraId="1FA02FD1">
                  <w:pPr>
                    <w:widowControl/>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1</w:t>
                  </w:r>
                </w:p>
              </w:tc>
            </w:tr>
            <w:tr w14:paraId="40647EC3">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7E583948">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A4C76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vertAlign w:val="baseline"/>
                      <w:lang w:val="en-US" w:eastAsia="zh-CN"/>
                    </w:rPr>
                    <w:t>纯水机</w:t>
                  </w:r>
                </w:p>
              </w:tc>
              <w:tc>
                <w:tcPr>
                  <w:tcW w:w="425" w:type="pct"/>
                  <w:shd w:val="clear" w:color="auto" w:fill="auto"/>
                  <w:noWrap w:val="0"/>
                  <w:vAlign w:val="center"/>
                </w:tcPr>
                <w:p w14:paraId="177390E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3A816113">
                  <w:pPr>
                    <w:jc w:val="center"/>
                    <w:textAlignment w:val="center"/>
                    <w:rPr>
                      <w:color w:val="auto"/>
                      <w:sz w:val="21"/>
                      <w:szCs w:val="21"/>
                    </w:rPr>
                  </w:pPr>
                </w:p>
              </w:tc>
              <w:tc>
                <w:tcPr>
                  <w:tcW w:w="473" w:type="pct"/>
                  <w:noWrap w:val="0"/>
                  <w:vAlign w:val="center"/>
                </w:tcPr>
                <w:p w14:paraId="09126014">
                  <w:pPr>
                    <w:jc w:val="center"/>
                    <w:textAlignment w:val="center"/>
                    <w:rPr>
                      <w:rFonts w:hint="default"/>
                      <w:color w:val="auto"/>
                      <w:sz w:val="21"/>
                      <w:szCs w:val="21"/>
                      <w:lang w:val="en-US" w:eastAsia="zh-CN"/>
                    </w:rPr>
                  </w:pPr>
                  <w:r>
                    <w:rPr>
                      <w:rFonts w:hint="eastAsia"/>
                      <w:color w:val="auto"/>
                      <w:sz w:val="21"/>
                      <w:szCs w:val="21"/>
                      <w:lang w:val="en-US" w:eastAsia="zh-CN"/>
                    </w:rPr>
                    <w:t>16/0/1</w:t>
                  </w:r>
                </w:p>
              </w:tc>
              <w:tc>
                <w:tcPr>
                  <w:tcW w:w="420" w:type="pct"/>
                  <w:shd w:val="clear" w:color="auto" w:fill="auto"/>
                  <w:noWrap w:val="0"/>
                  <w:vAlign w:val="center"/>
                </w:tcPr>
                <w:p w14:paraId="1D91427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5F36BEA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48.4 </w:t>
                  </w:r>
                </w:p>
              </w:tc>
              <w:tc>
                <w:tcPr>
                  <w:tcW w:w="283" w:type="pct"/>
                  <w:vMerge w:val="continue"/>
                  <w:noWrap w:val="0"/>
                  <w:vAlign w:val="center"/>
                </w:tcPr>
                <w:p w14:paraId="7FE67A1D">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6C63439">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025773B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28.4 </w:t>
                  </w:r>
                </w:p>
              </w:tc>
              <w:tc>
                <w:tcPr>
                  <w:tcW w:w="611" w:type="pct"/>
                  <w:tcBorders>
                    <w:top w:val="single" w:color="auto" w:sz="4" w:space="0"/>
                    <w:bottom w:val="single" w:color="auto" w:sz="4" w:space="0"/>
                  </w:tcBorders>
                  <w:noWrap/>
                  <w:tcMar>
                    <w:top w:w="15" w:type="dxa"/>
                    <w:left w:w="15" w:type="dxa"/>
                    <w:right w:w="15" w:type="dxa"/>
                  </w:tcMar>
                  <w:vAlign w:val="center"/>
                </w:tcPr>
                <w:p w14:paraId="5748519D">
                  <w:pPr>
                    <w:widowControl/>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1</w:t>
                  </w:r>
                </w:p>
              </w:tc>
            </w:tr>
            <w:tr w14:paraId="7A1BE624">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9C295E6">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92EA6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eastAsia="zh-CN"/>
                    </w:rPr>
                    <w:t>抽油烟机</w:t>
                  </w:r>
                </w:p>
              </w:tc>
              <w:tc>
                <w:tcPr>
                  <w:tcW w:w="425" w:type="pct"/>
                  <w:shd w:val="clear" w:color="auto" w:fill="auto"/>
                  <w:noWrap w:val="0"/>
                  <w:vAlign w:val="center"/>
                </w:tcPr>
                <w:p w14:paraId="1352C97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96.0 </w:t>
                  </w:r>
                </w:p>
              </w:tc>
              <w:tc>
                <w:tcPr>
                  <w:tcW w:w="149" w:type="pct"/>
                  <w:vMerge w:val="continue"/>
                  <w:noWrap w:val="0"/>
                  <w:vAlign w:val="center"/>
                </w:tcPr>
                <w:p w14:paraId="4B52AE4D">
                  <w:pPr>
                    <w:jc w:val="center"/>
                    <w:textAlignment w:val="center"/>
                    <w:rPr>
                      <w:color w:val="auto"/>
                      <w:sz w:val="21"/>
                      <w:szCs w:val="21"/>
                    </w:rPr>
                  </w:pPr>
                </w:p>
              </w:tc>
              <w:tc>
                <w:tcPr>
                  <w:tcW w:w="473" w:type="pct"/>
                  <w:noWrap w:val="0"/>
                  <w:vAlign w:val="center"/>
                </w:tcPr>
                <w:p w14:paraId="7A71FDE0">
                  <w:pPr>
                    <w:jc w:val="center"/>
                    <w:textAlignment w:val="center"/>
                    <w:rPr>
                      <w:rFonts w:hint="default"/>
                      <w:color w:val="auto"/>
                      <w:sz w:val="21"/>
                      <w:szCs w:val="21"/>
                      <w:lang w:val="en-US" w:eastAsia="zh-CN"/>
                    </w:rPr>
                  </w:pPr>
                  <w:r>
                    <w:rPr>
                      <w:rFonts w:hint="eastAsia"/>
                      <w:color w:val="auto"/>
                      <w:sz w:val="21"/>
                      <w:szCs w:val="21"/>
                      <w:lang w:val="en-US" w:eastAsia="zh-CN"/>
                    </w:rPr>
                    <w:t>2/-8/3</w:t>
                  </w:r>
                </w:p>
              </w:tc>
              <w:tc>
                <w:tcPr>
                  <w:tcW w:w="420" w:type="pct"/>
                  <w:shd w:val="clear" w:color="auto" w:fill="auto"/>
                  <w:noWrap w:val="0"/>
                  <w:vAlign w:val="center"/>
                </w:tcPr>
                <w:p w14:paraId="46C6426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2" w:type="pct"/>
                  <w:shd w:val="clear" w:color="auto" w:fill="auto"/>
                  <w:noWrap/>
                  <w:tcMar>
                    <w:top w:w="15" w:type="dxa"/>
                    <w:left w:w="15" w:type="dxa"/>
                    <w:right w:w="15" w:type="dxa"/>
                  </w:tcMar>
                  <w:vAlign w:val="center"/>
                </w:tcPr>
                <w:p w14:paraId="511C40C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283" w:type="pct"/>
                  <w:vMerge w:val="continue"/>
                  <w:noWrap w:val="0"/>
                  <w:vAlign w:val="center"/>
                </w:tcPr>
                <w:p w14:paraId="3A8C430D">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53111990">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5B70167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611" w:type="pct"/>
                  <w:tcBorders>
                    <w:top w:val="single" w:color="auto" w:sz="4" w:space="0"/>
                    <w:bottom w:val="single" w:color="auto" w:sz="4" w:space="0"/>
                  </w:tcBorders>
                  <w:noWrap/>
                  <w:tcMar>
                    <w:top w:w="15" w:type="dxa"/>
                    <w:left w:w="15" w:type="dxa"/>
                    <w:right w:w="15" w:type="dxa"/>
                  </w:tcMar>
                  <w:vAlign w:val="center"/>
                </w:tcPr>
                <w:p w14:paraId="1A29F3BC">
                  <w:pPr>
                    <w:widowControl/>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1</w:t>
                  </w:r>
                </w:p>
              </w:tc>
            </w:tr>
            <w:tr w14:paraId="7717B575">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1C3C507">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4F3F9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静电油烟净化装置</w:t>
                  </w:r>
                </w:p>
              </w:tc>
              <w:tc>
                <w:tcPr>
                  <w:tcW w:w="425" w:type="pct"/>
                  <w:shd w:val="clear" w:color="auto" w:fill="auto"/>
                  <w:noWrap w:val="0"/>
                  <w:vAlign w:val="center"/>
                </w:tcPr>
                <w:p w14:paraId="1AF707F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86.0 </w:t>
                  </w:r>
                </w:p>
              </w:tc>
              <w:tc>
                <w:tcPr>
                  <w:tcW w:w="149" w:type="pct"/>
                  <w:vMerge w:val="continue"/>
                  <w:noWrap w:val="0"/>
                  <w:vAlign w:val="center"/>
                </w:tcPr>
                <w:p w14:paraId="3ACFFA11">
                  <w:pPr>
                    <w:jc w:val="center"/>
                    <w:textAlignment w:val="center"/>
                    <w:rPr>
                      <w:color w:val="auto"/>
                      <w:sz w:val="21"/>
                      <w:szCs w:val="21"/>
                    </w:rPr>
                  </w:pPr>
                </w:p>
              </w:tc>
              <w:tc>
                <w:tcPr>
                  <w:tcW w:w="473" w:type="pct"/>
                  <w:noWrap w:val="0"/>
                  <w:vAlign w:val="center"/>
                </w:tcPr>
                <w:p w14:paraId="00B67141">
                  <w:pPr>
                    <w:jc w:val="center"/>
                    <w:textAlignment w:val="center"/>
                    <w:rPr>
                      <w:rFonts w:hint="default" w:eastAsia="宋体"/>
                      <w:color w:val="auto"/>
                      <w:sz w:val="21"/>
                      <w:szCs w:val="21"/>
                      <w:lang w:val="en-US" w:eastAsia="zh-CN"/>
                    </w:rPr>
                  </w:pPr>
                  <w:r>
                    <w:rPr>
                      <w:rFonts w:hint="eastAsia"/>
                      <w:color w:val="auto"/>
                      <w:sz w:val="21"/>
                      <w:szCs w:val="21"/>
                      <w:lang w:val="en-US" w:eastAsia="zh-CN"/>
                    </w:rPr>
                    <w:t>-2/-8/8</w:t>
                  </w:r>
                </w:p>
              </w:tc>
              <w:tc>
                <w:tcPr>
                  <w:tcW w:w="420" w:type="pct"/>
                  <w:shd w:val="clear" w:color="auto" w:fill="auto"/>
                  <w:noWrap w:val="0"/>
                  <w:vAlign w:val="center"/>
                </w:tcPr>
                <w:p w14:paraId="7B8D372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2" w:type="pct"/>
                  <w:shd w:val="clear" w:color="auto" w:fill="auto"/>
                  <w:noWrap/>
                  <w:tcMar>
                    <w:top w:w="15" w:type="dxa"/>
                    <w:left w:w="15" w:type="dxa"/>
                    <w:right w:w="15" w:type="dxa"/>
                  </w:tcMar>
                  <w:vAlign w:val="center"/>
                </w:tcPr>
                <w:p w14:paraId="4CE049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283" w:type="pct"/>
                  <w:vMerge w:val="continue"/>
                  <w:noWrap w:val="0"/>
                  <w:vAlign w:val="center"/>
                </w:tcPr>
                <w:p w14:paraId="2BAE54AF">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0FA40F8">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656BAC9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40.0 </w:t>
                  </w:r>
                </w:p>
              </w:tc>
              <w:tc>
                <w:tcPr>
                  <w:tcW w:w="611" w:type="pct"/>
                  <w:tcBorders>
                    <w:top w:val="single" w:color="auto" w:sz="4" w:space="0"/>
                    <w:bottom w:val="single" w:color="auto" w:sz="4" w:space="0"/>
                  </w:tcBorders>
                  <w:noWrap/>
                  <w:tcMar>
                    <w:top w:w="15" w:type="dxa"/>
                    <w:left w:w="15" w:type="dxa"/>
                    <w:right w:w="15" w:type="dxa"/>
                  </w:tcMar>
                  <w:vAlign w:val="center"/>
                </w:tcPr>
                <w:p w14:paraId="00EB1F39">
                  <w:pPr>
                    <w:widowControl/>
                    <w:jc w:val="center"/>
                    <w:textAlignment w:val="center"/>
                    <w:rPr>
                      <w:rFonts w:hint="eastAsia"/>
                      <w:color w:val="auto"/>
                      <w:kern w:val="0"/>
                      <w:sz w:val="21"/>
                      <w:szCs w:val="21"/>
                      <w:lang w:val="en-US" w:eastAsia="zh-CN" w:bidi="ar"/>
                    </w:rPr>
                  </w:pPr>
                  <w:r>
                    <w:rPr>
                      <w:rFonts w:hint="eastAsia"/>
                      <w:color w:val="auto"/>
                      <w:kern w:val="0"/>
                      <w:sz w:val="21"/>
                      <w:szCs w:val="21"/>
                      <w:lang w:bidi="ar"/>
                    </w:rPr>
                    <w:t>1</w:t>
                  </w:r>
                </w:p>
              </w:tc>
            </w:tr>
            <w:tr w14:paraId="6FD77765">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317EF15">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46E2A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燃气锅炉</w:t>
                  </w:r>
                </w:p>
              </w:tc>
              <w:tc>
                <w:tcPr>
                  <w:tcW w:w="425" w:type="pct"/>
                  <w:shd w:val="clear" w:color="auto" w:fill="auto"/>
                  <w:noWrap w:val="0"/>
                  <w:vAlign w:val="center"/>
                </w:tcPr>
                <w:p w14:paraId="1464584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75.0 </w:t>
                  </w:r>
                </w:p>
              </w:tc>
              <w:tc>
                <w:tcPr>
                  <w:tcW w:w="149" w:type="pct"/>
                  <w:vMerge w:val="continue"/>
                  <w:noWrap w:val="0"/>
                  <w:vAlign w:val="center"/>
                </w:tcPr>
                <w:p w14:paraId="446C204A">
                  <w:pPr>
                    <w:jc w:val="center"/>
                    <w:textAlignment w:val="center"/>
                    <w:rPr>
                      <w:color w:val="auto"/>
                      <w:sz w:val="21"/>
                      <w:szCs w:val="21"/>
                    </w:rPr>
                  </w:pPr>
                </w:p>
              </w:tc>
              <w:tc>
                <w:tcPr>
                  <w:tcW w:w="473" w:type="pct"/>
                  <w:noWrap w:val="0"/>
                  <w:vAlign w:val="center"/>
                </w:tcPr>
                <w:p w14:paraId="701C98D4">
                  <w:pPr>
                    <w:jc w:val="center"/>
                    <w:textAlignment w:val="center"/>
                    <w:rPr>
                      <w:rFonts w:hint="default"/>
                      <w:color w:val="auto"/>
                      <w:sz w:val="21"/>
                      <w:szCs w:val="21"/>
                      <w:lang w:val="en-US" w:eastAsia="zh-CN"/>
                    </w:rPr>
                  </w:pPr>
                  <w:r>
                    <w:rPr>
                      <w:rFonts w:hint="eastAsia"/>
                      <w:color w:val="auto"/>
                      <w:sz w:val="21"/>
                      <w:szCs w:val="21"/>
                      <w:lang w:val="en-US" w:eastAsia="zh-CN"/>
                    </w:rPr>
                    <w:t>-8/-10/2</w:t>
                  </w:r>
                </w:p>
              </w:tc>
              <w:tc>
                <w:tcPr>
                  <w:tcW w:w="420" w:type="pct"/>
                  <w:shd w:val="clear" w:color="auto" w:fill="auto"/>
                  <w:noWrap w:val="0"/>
                  <w:vAlign w:val="center"/>
                </w:tcPr>
                <w:p w14:paraId="71000D3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62" w:type="pct"/>
                  <w:shd w:val="clear" w:color="auto" w:fill="auto"/>
                  <w:noWrap/>
                  <w:tcMar>
                    <w:top w:w="15" w:type="dxa"/>
                    <w:left w:w="15" w:type="dxa"/>
                    <w:right w:w="15" w:type="dxa"/>
                  </w:tcMar>
                  <w:vAlign w:val="center"/>
                </w:tcPr>
                <w:p w14:paraId="47F8AB9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61.0 </w:t>
                  </w:r>
                </w:p>
              </w:tc>
              <w:tc>
                <w:tcPr>
                  <w:tcW w:w="283" w:type="pct"/>
                  <w:vMerge w:val="continue"/>
                  <w:noWrap w:val="0"/>
                  <w:vAlign w:val="center"/>
                </w:tcPr>
                <w:p w14:paraId="7CD25D49">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23965C0B">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4362EA9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41.0 </w:t>
                  </w:r>
                </w:p>
              </w:tc>
              <w:tc>
                <w:tcPr>
                  <w:tcW w:w="611" w:type="pct"/>
                  <w:tcBorders>
                    <w:top w:val="single" w:color="auto" w:sz="4" w:space="0"/>
                    <w:bottom w:val="single" w:color="auto" w:sz="4" w:space="0"/>
                  </w:tcBorders>
                  <w:noWrap/>
                  <w:tcMar>
                    <w:top w:w="15" w:type="dxa"/>
                    <w:left w:w="15" w:type="dxa"/>
                    <w:right w:w="15" w:type="dxa"/>
                  </w:tcMar>
                  <w:vAlign w:val="center"/>
                </w:tcPr>
                <w:p w14:paraId="767843B9">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67105A0F">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restart"/>
                  <w:noWrap w:val="0"/>
                  <w:vAlign w:val="center"/>
                </w:tcPr>
                <w:p w14:paraId="6823EA7C">
                  <w:pPr>
                    <w:jc w:val="center"/>
                    <w:textAlignment w:val="center"/>
                    <w:rPr>
                      <w:rFonts w:hint="default" w:eastAsia="宋体"/>
                      <w:color w:val="auto"/>
                      <w:sz w:val="21"/>
                      <w:szCs w:val="21"/>
                      <w:lang w:val="en-US" w:eastAsia="zh-CN"/>
                    </w:rPr>
                  </w:pPr>
                  <w:r>
                    <w:rPr>
                      <w:rFonts w:hint="eastAsia"/>
                      <w:color w:val="auto"/>
                      <w:sz w:val="21"/>
                      <w:szCs w:val="21"/>
                      <w:lang w:val="en-US" w:eastAsia="zh-CN"/>
                    </w:rPr>
                    <w:t>肉类车间</w:t>
                  </w:r>
                </w:p>
              </w:tc>
              <w:tc>
                <w:tcPr>
                  <w:tcW w:w="819" w:type="pct"/>
                  <w:noWrap/>
                  <w:tcMar>
                    <w:top w:w="15" w:type="dxa"/>
                    <w:left w:w="15" w:type="dxa"/>
                    <w:right w:w="15" w:type="dxa"/>
                  </w:tcMar>
                  <w:vAlign w:val="center"/>
                </w:tcPr>
                <w:p w14:paraId="2204D9EC">
                  <w:pPr>
                    <w:pStyle w:val="142"/>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切肉机</w:t>
                  </w:r>
                </w:p>
              </w:tc>
              <w:tc>
                <w:tcPr>
                  <w:tcW w:w="425" w:type="pct"/>
                  <w:shd w:val="clear" w:color="auto" w:fill="auto"/>
                  <w:noWrap w:val="0"/>
                  <w:vAlign w:val="center"/>
                </w:tcPr>
                <w:p w14:paraId="71BF226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94.0 </w:t>
                  </w:r>
                </w:p>
              </w:tc>
              <w:tc>
                <w:tcPr>
                  <w:tcW w:w="149" w:type="pct"/>
                  <w:vMerge w:val="continue"/>
                  <w:noWrap w:val="0"/>
                  <w:vAlign w:val="center"/>
                </w:tcPr>
                <w:p w14:paraId="32D1967B">
                  <w:pPr>
                    <w:jc w:val="center"/>
                    <w:textAlignment w:val="center"/>
                    <w:rPr>
                      <w:color w:val="auto"/>
                      <w:sz w:val="21"/>
                      <w:szCs w:val="21"/>
                    </w:rPr>
                  </w:pPr>
                </w:p>
              </w:tc>
              <w:tc>
                <w:tcPr>
                  <w:tcW w:w="473" w:type="pct"/>
                  <w:shd w:val="clear" w:color="auto" w:fill="auto"/>
                  <w:noWrap w:val="0"/>
                  <w:vAlign w:val="center"/>
                </w:tcPr>
                <w:p w14:paraId="2A9355D5">
                  <w:pPr>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15/1/1</w:t>
                  </w:r>
                </w:p>
              </w:tc>
              <w:tc>
                <w:tcPr>
                  <w:tcW w:w="420" w:type="pct"/>
                  <w:shd w:val="clear" w:color="auto" w:fill="auto"/>
                  <w:noWrap w:val="0"/>
                  <w:vAlign w:val="center"/>
                </w:tcPr>
                <w:p w14:paraId="007C7BF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2" w:type="pct"/>
                  <w:shd w:val="clear" w:color="auto" w:fill="auto"/>
                  <w:noWrap/>
                  <w:tcMar>
                    <w:top w:w="15" w:type="dxa"/>
                    <w:left w:w="15" w:type="dxa"/>
                    <w:right w:w="15" w:type="dxa"/>
                  </w:tcMar>
                  <w:vAlign w:val="center"/>
                </w:tcPr>
                <w:p w14:paraId="1BB33F7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68.0 </w:t>
                  </w:r>
                </w:p>
              </w:tc>
              <w:tc>
                <w:tcPr>
                  <w:tcW w:w="283" w:type="pct"/>
                  <w:vMerge w:val="continue"/>
                  <w:noWrap w:val="0"/>
                  <w:vAlign w:val="center"/>
                </w:tcPr>
                <w:p w14:paraId="33359D95">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64C79DFE">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tcBorders>
                  <w:shd w:val="clear" w:color="auto" w:fill="auto"/>
                  <w:noWrap/>
                  <w:tcMar>
                    <w:top w:w="15" w:type="dxa"/>
                    <w:left w:w="15" w:type="dxa"/>
                    <w:right w:w="15" w:type="dxa"/>
                  </w:tcMar>
                  <w:vAlign w:val="center"/>
                </w:tcPr>
                <w:p w14:paraId="78476E4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48.0 </w:t>
                  </w:r>
                </w:p>
              </w:tc>
              <w:tc>
                <w:tcPr>
                  <w:tcW w:w="611" w:type="pct"/>
                  <w:tcBorders>
                    <w:top w:val="single" w:color="auto" w:sz="4" w:space="0"/>
                    <w:bottom w:val="single" w:color="auto" w:sz="4" w:space="0"/>
                  </w:tcBorders>
                  <w:noWrap/>
                  <w:tcMar>
                    <w:top w:w="15" w:type="dxa"/>
                    <w:left w:w="15" w:type="dxa"/>
                    <w:right w:w="15" w:type="dxa"/>
                  </w:tcMar>
                  <w:vAlign w:val="center"/>
                </w:tcPr>
                <w:p w14:paraId="42C9B299">
                  <w:pPr>
                    <w:widowControl/>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1</w:t>
                  </w:r>
                </w:p>
              </w:tc>
            </w:tr>
            <w:tr w14:paraId="55CF7600">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7DE35E5">
                  <w:pPr>
                    <w:jc w:val="center"/>
                    <w:textAlignment w:val="center"/>
                    <w:rPr>
                      <w:rFonts w:hint="eastAsia"/>
                      <w:color w:val="auto"/>
                      <w:sz w:val="21"/>
                      <w:szCs w:val="21"/>
                    </w:rPr>
                  </w:pPr>
                </w:p>
              </w:tc>
              <w:tc>
                <w:tcPr>
                  <w:tcW w:w="819" w:type="pct"/>
                  <w:noWrap/>
                  <w:tcMar>
                    <w:top w:w="15" w:type="dxa"/>
                    <w:left w:w="15" w:type="dxa"/>
                    <w:right w:w="15" w:type="dxa"/>
                  </w:tcMar>
                  <w:vAlign w:val="center"/>
                </w:tcPr>
                <w:p w14:paraId="2EC89889">
                  <w:pPr>
                    <w:pStyle w:val="142"/>
                    <w:jc w:val="center"/>
                    <w:rPr>
                      <w:rFonts w:hint="default" w:ascii="Times New Roman" w:hAnsi="Times New Roman" w:eastAsia="宋体" w:cs="Times New Roman"/>
                      <w:color w:val="auto"/>
                      <w:sz w:val="21"/>
                      <w:szCs w:val="21"/>
                      <w:highlight w:val="none"/>
                      <w:lang w:val="en-US" w:eastAsia="zh-CN"/>
                    </w:rPr>
                  </w:pPr>
                  <w:r>
                    <w:rPr>
                      <w:rFonts w:hint="eastAsia"/>
                      <w:vertAlign w:val="baseline"/>
                      <w:lang w:eastAsia="zh-CN"/>
                    </w:rPr>
                    <w:t>锯骨机</w:t>
                  </w:r>
                </w:p>
              </w:tc>
              <w:tc>
                <w:tcPr>
                  <w:tcW w:w="425" w:type="pct"/>
                  <w:shd w:val="clear" w:color="auto" w:fill="auto"/>
                  <w:noWrap w:val="0"/>
                  <w:vAlign w:val="center"/>
                </w:tcPr>
                <w:p w14:paraId="7703390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85.0 </w:t>
                  </w:r>
                </w:p>
              </w:tc>
              <w:tc>
                <w:tcPr>
                  <w:tcW w:w="149" w:type="pct"/>
                  <w:vMerge w:val="continue"/>
                  <w:noWrap w:val="0"/>
                  <w:vAlign w:val="center"/>
                </w:tcPr>
                <w:p w14:paraId="0D635065">
                  <w:pPr>
                    <w:jc w:val="center"/>
                    <w:textAlignment w:val="center"/>
                    <w:rPr>
                      <w:color w:val="auto"/>
                      <w:sz w:val="21"/>
                      <w:szCs w:val="21"/>
                    </w:rPr>
                  </w:pPr>
                </w:p>
              </w:tc>
              <w:tc>
                <w:tcPr>
                  <w:tcW w:w="473" w:type="pct"/>
                  <w:shd w:val="clear" w:color="auto" w:fill="auto"/>
                  <w:noWrap w:val="0"/>
                  <w:vAlign w:val="center"/>
                </w:tcPr>
                <w:p w14:paraId="0D0CCDD4">
                  <w:pPr>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15/5/1</w:t>
                  </w:r>
                </w:p>
              </w:tc>
              <w:tc>
                <w:tcPr>
                  <w:tcW w:w="420" w:type="pct"/>
                  <w:shd w:val="clear" w:color="auto" w:fill="auto"/>
                  <w:noWrap w:val="0"/>
                  <w:vAlign w:val="center"/>
                </w:tcPr>
                <w:p w14:paraId="1A83475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2" w:type="pct"/>
                  <w:shd w:val="clear" w:color="auto" w:fill="auto"/>
                  <w:noWrap/>
                  <w:tcMar>
                    <w:top w:w="15" w:type="dxa"/>
                    <w:left w:w="15" w:type="dxa"/>
                    <w:right w:w="15" w:type="dxa"/>
                  </w:tcMar>
                  <w:vAlign w:val="center"/>
                </w:tcPr>
                <w:p w14:paraId="3C2FF9B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59.0 </w:t>
                  </w:r>
                </w:p>
              </w:tc>
              <w:tc>
                <w:tcPr>
                  <w:tcW w:w="283" w:type="pct"/>
                  <w:vMerge w:val="continue"/>
                  <w:noWrap w:val="0"/>
                  <w:vAlign w:val="center"/>
                </w:tcPr>
                <w:p w14:paraId="5F8C1158">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7DE1B507">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6F4ABB8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39.0 </w:t>
                  </w:r>
                </w:p>
              </w:tc>
              <w:tc>
                <w:tcPr>
                  <w:tcW w:w="611" w:type="pct"/>
                  <w:tcBorders>
                    <w:top w:val="single" w:color="auto" w:sz="4" w:space="0"/>
                    <w:bottom w:val="single" w:color="auto" w:sz="4" w:space="0"/>
                  </w:tcBorders>
                  <w:noWrap/>
                  <w:tcMar>
                    <w:top w:w="15" w:type="dxa"/>
                    <w:left w:w="15" w:type="dxa"/>
                    <w:right w:w="15" w:type="dxa"/>
                  </w:tcMar>
                  <w:vAlign w:val="center"/>
                </w:tcPr>
                <w:p w14:paraId="7DC32814">
                  <w:pPr>
                    <w:widowControl/>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1</w:t>
                  </w:r>
                </w:p>
              </w:tc>
            </w:tr>
            <w:tr w14:paraId="7F58B028">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C28C5B1">
                  <w:pPr>
                    <w:jc w:val="center"/>
                    <w:textAlignment w:val="center"/>
                    <w:rPr>
                      <w:rFonts w:hint="eastAsia"/>
                      <w:color w:val="auto"/>
                      <w:sz w:val="21"/>
                      <w:szCs w:val="21"/>
                    </w:rPr>
                  </w:pPr>
                </w:p>
              </w:tc>
              <w:tc>
                <w:tcPr>
                  <w:tcW w:w="819" w:type="pct"/>
                  <w:shd w:val="clear" w:color="auto" w:fill="auto"/>
                  <w:noWrap/>
                  <w:tcMar>
                    <w:top w:w="15" w:type="dxa"/>
                    <w:left w:w="15" w:type="dxa"/>
                    <w:right w:w="15" w:type="dxa"/>
                  </w:tcMar>
                  <w:vAlign w:val="center"/>
                </w:tcPr>
                <w:p w14:paraId="69D4A8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vertAlign w:val="baseline"/>
                      <w:lang w:eastAsia="zh-CN"/>
                    </w:rPr>
                    <w:t>全自动杀鱼机</w:t>
                  </w:r>
                </w:p>
              </w:tc>
              <w:tc>
                <w:tcPr>
                  <w:tcW w:w="425" w:type="pct"/>
                  <w:shd w:val="clear" w:color="auto" w:fill="auto"/>
                  <w:noWrap w:val="0"/>
                  <w:vAlign w:val="center"/>
                </w:tcPr>
                <w:p w14:paraId="080BE65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85.0 </w:t>
                  </w:r>
                </w:p>
              </w:tc>
              <w:tc>
                <w:tcPr>
                  <w:tcW w:w="149" w:type="pct"/>
                  <w:vMerge w:val="continue"/>
                  <w:noWrap w:val="0"/>
                  <w:vAlign w:val="center"/>
                </w:tcPr>
                <w:p w14:paraId="3C58D167">
                  <w:pPr>
                    <w:jc w:val="center"/>
                    <w:textAlignment w:val="center"/>
                    <w:rPr>
                      <w:color w:val="auto"/>
                      <w:sz w:val="21"/>
                      <w:szCs w:val="21"/>
                    </w:rPr>
                  </w:pPr>
                </w:p>
              </w:tc>
              <w:tc>
                <w:tcPr>
                  <w:tcW w:w="473" w:type="pct"/>
                  <w:shd w:val="clear" w:color="auto" w:fill="auto"/>
                  <w:noWrap w:val="0"/>
                  <w:vAlign w:val="center"/>
                </w:tcPr>
                <w:p w14:paraId="759269E5">
                  <w:pPr>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22/6/1</w:t>
                  </w:r>
                </w:p>
              </w:tc>
              <w:tc>
                <w:tcPr>
                  <w:tcW w:w="420" w:type="pct"/>
                  <w:shd w:val="clear" w:color="auto" w:fill="auto"/>
                  <w:noWrap w:val="0"/>
                  <w:vAlign w:val="center"/>
                </w:tcPr>
                <w:p w14:paraId="15869B3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62" w:type="pct"/>
                  <w:shd w:val="clear" w:color="auto" w:fill="auto"/>
                  <w:noWrap/>
                  <w:tcMar>
                    <w:top w:w="15" w:type="dxa"/>
                    <w:left w:w="15" w:type="dxa"/>
                    <w:right w:w="15" w:type="dxa"/>
                  </w:tcMar>
                  <w:vAlign w:val="center"/>
                </w:tcPr>
                <w:p w14:paraId="5FC730F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61.5 </w:t>
                  </w:r>
                </w:p>
              </w:tc>
              <w:tc>
                <w:tcPr>
                  <w:tcW w:w="283" w:type="pct"/>
                  <w:vMerge w:val="continue"/>
                  <w:noWrap w:val="0"/>
                  <w:vAlign w:val="center"/>
                </w:tcPr>
                <w:p w14:paraId="0C7A3CA2">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42DDEFDD">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5511D5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41.5 </w:t>
                  </w:r>
                </w:p>
              </w:tc>
              <w:tc>
                <w:tcPr>
                  <w:tcW w:w="611" w:type="pct"/>
                  <w:tcBorders>
                    <w:top w:val="single" w:color="auto" w:sz="4" w:space="0"/>
                    <w:bottom w:val="single" w:color="auto" w:sz="4" w:space="0"/>
                  </w:tcBorders>
                  <w:noWrap/>
                  <w:tcMar>
                    <w:top w:w="15" w:type="dxa"/>
                    <w:left w:w="15" w:type="dxa"/>
                    <w:right w:w="15" w:type="dxa"/>
                  </w:tcMar>
                  <w:vAlign w:val="center"/>
                </w:tcPr>
                <w:p w14:paraId="6926B005">
                  <w:pPr>
                    <w:widowControl/>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1</w:t>
                  </w:r>
                </w:p>
              </w:tc>
            </w:tr>
            <w:tr w14:paraId="7A8866F6">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DF9B546">
                  <w:pPr>
                    <w:jc w:val="center"/>
                    <w:textAlignment w:val="center"/>
                    <w:rPr>
                      <w:rFonts w:hint="default" w:eastAsia="宋体"/>
                      <w:color w:val="auto"/>
                      <w:sz w:val="21"/>
                      <w:szCs w:val="21"/>
                      <w:lang w:val="en-US" w:eastAsia="zh-CN"/>
                    </w:rPr>
                  </w:pPr>
                </w:p>
              </w:tc>
              <w:tc>
                <w:tcPr>
                  <w:tcW w:w="819" w:type="pct"/>
                  <w:shd w:val="clear" w:color="auto" w:fill="auto"/>
                  <w:noWrap/>
                  <w:tcMar>
                    <w:top w:w="15" w:type="dxa"/>
                    <w:left w:w="15" w:type="dxa"/>
                    <w:right w:w="15" w:type="dxa"/>
                  </w:tcMar>
                  <w:vAlign w:val="center"/>
                </w:tcPr>
                <w:p w14:paraId="596555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4"/>
                      <w:vertAlign w:val="baseline"/>
                      <w:lang w:val="en-US" w:eastAsia="zh-CN" w:bidi="ar-SA"/>
                    </w:rPr>
                  </w:pPr>
                  <w:r>
                    <w:rPr>
                      <w:rFonts w:hint="eastAsia"/>
                      <w:vertAlign w:val="baseline"/>
                      <w:lang w:eastAsia="zh-CN"/>
                    </w:rPr>
                    <w:t>真空包装机</w:t>
                  </w:r>
                </w:p>
              </w:tc>
              <w:tc>
                <w:tcPr>
                  <w:tcW w:w="425" w:type="pct"/>
                  <w:shd w:val="clear" w:color="auto" w:fill="auto"/>
                  <w:noWrap w:val="0"/>
                  <w:vAlign w:val="center"/>
                </w:tcPr>
                <w:p w14:paraId="14C2A02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76E72E4C">
                  <w:pPr>
                    <w:jc w:val="center"/>
                    <w:textAlignment w:val="center"/>
                    <w:rPr>
                      <w:color w:val="auto"/>
                      <w:sz w:val="21"/>
                      <w:szCs w:val="21"/>
                    </w:rPr>
                  </w:pPr>
                </w:p>
              </w:tc>
              <w:tc>
                <w:tcPr>
                  <w:tcW w:w="473" w:type="pct"/>
                  <w:shd w:val="clear" w:color="auto" w:fill="auto"/>
                  <w:noWrap w:val="0"/>
                  <w:vAlign w:val="center"/>
                </w:tcPr>
                <w:p w14:paraId="1086F21B">
                  <w:pPr>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22/8/1</w:t>
                  </w:r>
                </w:p>
              </w:tc>
              <w:tc>
                <w:tcPr>
                  <w:tcW w:w="420" w:type="pct"/>
                  <w:shd w:val="clear" w:color="auto" w:fill="auto"/>
                  <w:noWrap w:val="0"/>
                  <w:vAlign w:val="center"/>
                </w:tcPr>
                <w:p w14:paraId="5971A36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175144B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48.4 </w:t>
                  </w:r>
                </w:p>
              </w:tc>
              <w:tc>
                <w:tcPr>
                  <w:tcW w:w="283" w:type="pct"/>
                  <w:vMerge w:val="continue"/>
                  <w:noWrap w:val="0"/>
                  <w:vAlign w:val="center"/>
                </w:tcPr>
                <w:p w14:paraId="7D665149">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B6D9B25">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AA3C13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28.4 </w:t>
                  </w:r>
                </w:p>
              </w:tc>
              <w:tc>
                <w:tcPr>
                  <w:tcW w:w="611" w:type="pct"/>
                  <w:tcBorders>
                    <w:top w:val="single" w:color="auto" w:sz="4" w:space="0"/>
                    <w:bottom w:val="single" w:color="auto" w:sz="4" w:space="0"/>
                  </w:tcBorders>
                  <w:noWrap/>
                  <w:tcMar>
                    <w:top w:w="15" w:type="dxa"/>
                    <w:left w:w="15" w:type="dxa"/>
                    <w:right w:w="15" w:type="dxa"/>
                  </w:tcMar>
                  <w:vAlign w:val="center"/>
                </w:tcPr>
                <w:p w14:paraId="46EF0A4C">
                  <w:pPr>
                    <w:widowControl/>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1</w:t>
                  </w:r>
                </w:p>
              </w:tc>
            </w:tr>
            <w:tr w14:paraId="08F4BFDF">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C1CDB43">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7AC232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纯水机</w:t>
                  </w:r>
                </w:p>
              </w:tc>
              <w:tc>
                <w:tcPr>
                  <w:tcW w:w="425" w:type="pct"/>
                  <w:shd w:val="clear" w:color="auto" w:fill="auto"/>
                  <w:noWrap w:val="0"/>
                  <w:vAlign w:val="center"/>
                </w:tcPr>
                <w:p w14:paraId="1C3B98F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4B96EF27">
                  <w:pPr>
                    <w:jc w:val="center"/>
                    <w:textAlignment w:val="center"/>
                    <w:rPr>
                      <w:color w:val="auto"/>
                      <w:sz w:val="21"/>
                      <w:szCs w:val="21"/>
                    </w:rPr>
                  </w:pPr>
                </w:p>
              </w:tc>
              <w:tc>
                <w:tcPr>
                  <w:tcW w:w="473" w:type="pct"/>
                  <w:shd w:val="clear" w:color="auto" w:fill="auto"/>
                  <w:noWrap w:val="0"/>
                  <w:vAlign w:val="center"/>
                </w:tcPr>
                <w:p w14:paraId="59372D43">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5862A0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009242C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283" w:type="pct"/>
                  <w:vMerge w:val="continue"/>
                  <w:noWrap w:val="0"/>
                  <w:vAlign w:val="center"/>
                </w:tcPr>
                <w:p w14:paraId="391F4D1D">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4C3D2109">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E4B4BF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611" w:type="pct"/>
                  <w:tcBorders>
                    <w:top w:val="single" w:color="auto" w:sz="4" w:space="0"/>
                    <w:bottom w:val="single" w:color="auto" w:sz="4" w:space="0"/>
                  </w:tcBorders>
                  <w:noWrap/>
                  <w:tcMar>
                    <w:top w:w="15" w:type="dxa"/>
                    <w:left w:w="15" w:type="dxa"/>
                    <w:right w:w="15" w:type="dxa"/>
                  </w:tcMar>
                  <w:vAlign w:val="center"/>
                </w:tcPr>
                <w:p w14:paraId="6D8C9370">
                  <w:pPr>
                    <w:widowControl/>
                    <w:jc w:val="center"/>
                    <w:textAlignment w:val="center"/>
                    <w:rPr>
                      <w:rFonts w:hint="eastAsia"/>
                      <w:color w:val="auto"/>
                      <w:kern w:val="0"/>
                      <w:sz w:val="21"/>
                      <w:szCs w:val="21"/>
                      <w:lang w:val="en-US" w:eastAsia="zh-CN" w:bidi="ar"/>
                    </w:rPr>
                  </w:pPr>
                  <w:r>
                    <w:rPr>
                      <w:rFonts w:hint="eastAsia"/>
                      <w:color w:val="auto"/>
                      <w:kern w:val="0"/>
                      <w:sz w:val="21"/>
                      <w:szCs w:val="21"/>
                      <w:lang w:bidi="ar"/>
                    </w:rPr>
                    <w:t>1</w:t>
                  </w:r>
                </w:p>
              </w:tc>
            </w:tr>
            <w:tr w14:paraId="04241CCD">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FF33B41">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2FF0A1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ertAlign w:val="baseline"/>
                      <w:lang w:val="en-US" w:eastAsia="zh-CN"/>
                    </w:rPr>
                  </w:pPr>
                  <w:r>
                    <w:rPr>
                      <w:rFonts w:hint="eastAsia"/>
                      <w:vertAlign w:val="baseline"/>
                      <w:lang w:eastAsia="zh-CN"/>
                    </w:rPr>
                    <w:t>烘靴机</w:t>
                  </w:r>
                </w:p>
              </w:tc>
              <w:tc>
                <w:tcPr>
                  <w:tcW w:w="425" w:type="pct"/>
                  <w:shd w:val="clear" w:color="auto" w:fill="auto"/>
                  <w:noWrap w:val="0"/>
                  <w:vAlign w:val="center"/>
                </w:tcPr>
                <w:p w14:paraId="76C518D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69.8 </w:t>
                  </w:r>
                </w:p>
              </w:tc>
              <w:tc>
                <w:tcPr>
                  <w:tcW w:w="149" w:type="pct"/>
                  <w:vMerge w:val="continue"/>
                  <w:noWrap w:val="0"/>
                  <w:vAlign w:val="center"/>
                </w:tcPr>
                <w:p w14:paraId="0F0A1583">
                  <w:pPr>
                    <w:jc w:val="center"/>
                    <w:textAlignment w:val="center"/>
                    <w:rPr>
                      <w:color w:val="auto"/>
                      <w:sz w:val="21"/>
                      <w:szCs w:val="21"/>
                    </w:rPr>
                  </w:pPr>
                </w:p>
              </w:tc>
              <w:tc>
                <w:tcPr>
                  <w:tcW w:w="473" w:type="pct"/>
                  <w:shd w:val="clear" w:color="auto" w:fill="auto"/>
                  <w:noWrap w:val="0"/>
                  <w:vAlign w:val="center"/>
                </w:tcPr>
                <w:p w14:paraId="6F2CE557">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-10/8/2</w:t>
                  </w:r>
                </w:p>
              </w:tc>
              <w:tc>
                <w:tcPr>
                  <w:tcW w:w="420" w:type="pct"/>
                  <w:shd w:val="clear" w:color="auto" w:fill="auto"/>
                  <w:noWrap w:val="0"/>
                  <w:vAlign w:val="center"/>
                </w:tcPr>
                <w:p w14:paraId="181DCEF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794EA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49.8 </w:t>
                  </w:r>
                </w:p>
              </w:tc>
              <w:tc>
                <w:tcPr>
                  <w:tcW w:w="283" w:type="pct"/>
                  <w:vMerge w:val="continue"/>
                  <w:noWrap w:val="0"/>
                  <w:vAlign w:val="center"/>
                </w:tcPr>
                <w:p w14:paraId="01DF354D">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3F82125F">
                  <w:pPr>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9693D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29.8 </w:t>
                  </w:r>
                </w:p>
              </w:tc>
              <w:tc>
                <w:tcPr>
                  <w:tcW w:w="611" w:type="pct"/>
                  <w:tcBorders>
                    <w:top w:val="single" w:color="auto" w:sz="4" w:space="0"/>
                    <w:bottom w:val="single" w:color="auto" w:sz="4" w:space="0"/>
                  </w:tcBorders>
                  <w:noWrap/>
                  <w:tcMar>
                    <w:top w:w="15" w:type="dxa"/>
                    <w:left w:w="15" w:type="dxa"/>
                    <w:right w:w="15" w:type="dxa"/>
                  </w:tcMar>
                  <w:vAlign w:val="center"/>
                </w:tcPr>
                <w:p w14:paraId="20CD725D">
                  <w:pPr>
                    <w:widowControl/>
                    <w:jc w:val="center"/>
                    <w:textAlignment w:val="center"/>
                    <w:rPr>
                      <w:rFonts w:hint="eastAsia" w:eastAsiaTheme="minorEastAsia"/>
                      <w:color w:val="auto"/>
                      <w:kern w:val="0"/>
                      <w:sz w:val="21"/>
                      <w:szCs w:val="21"/>
                      <w:lang w:val="en-US" w:eastAsia="zh-CN" w:bidi="ar"/>
                    </w:rPr>
                  </w:pPr>
                  <w:r>
                    <w:rPr>
                      <w:rFonts w:hint="eastAsia"/>
                      <w:color w:val="auto"/>
                      <w:kern w:val="0"/>
                      <w:sz w:val="21"/>
                      <w:szCs w:val="21"/>
                      <w:lang w:val="en-US" w:eastAsia="zh-CN" w:bidi="ar"/>
                    </w:rPr>
                    <w:t>1</w:t>
                  </w:r>
                </w:p>
              </w:tc>
            </w:tr>
            <w:tr w14:paraId="468091E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restart"/>
                  <w:noWrap w:val="0"/>
                  <w:vAlign w:val="center"/>
                </w:tcPr>
                <w:p w14:paraId="39D5C44D">
                  <w:pPr>
                    <w:jc w:val="center"/>
                    <w:textAlignment w:val="center"/>
                    <w:rPr>
                      <w:rFonts w:hint="default"/>
                      <w:color w:val="auto"/>
                      <w:sz w:val="21"/>
                      <w:szCs w:val="21"/>
                      <w:lang w:val="en-US" w:eastAsia="zh-CN"/>
                    </w:rPr>
                  </w:pPr>
                  <w:r>
                    <w:rPr>
                      <w:rFonts w:hint="eastAsia"/>
                      <w:color w:val="auto"/>
                      <w:sz w:val="21"/>
                      <w:szCs w:val="21"/>
                      <w:lang w:val="en-US" w:eastAsia="zh-CN"/>
                    </w:rPr>
                    <w:t>果蔬车间</w:t>
                  </w:r>
                </w:p>
              </w:tc>
              <w:tc>
                <w:tcPr>
                  <w:tcW w:w="819" w:type="pct"/>
                  <w:shd w:val="clear" w:color="auto" w:fill="auto"/>
                  <w:noWrap/>
                  <w:tcMar>
                    <w:top w:w="15" w:type="dxa"/>
                    <w:left w:w="15" w:type="dxa"/>
                    <w:right w:w="15" w:type="dxa"/>
                  </w:tcMar>
                  <w:vAlign w:val="center"/>
                </w:tcPr>
                <w:p w14:paraId="60E57C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vertAlign w:val="baseline"/>
                      <w:lang w:eastAsia="zh-CN"/>
                    </w:rPr>
                  </w:pPr>
                  <w:r>
                    <w:rPr>
                      <w:rFonts w:hint="eastAsia"/>
                      <w:vertAlign w:val="baseline"/>
                      <w:lang w:eastAsia="zh-CN"/>
                    </w:rPr>
                    <w:t>切菜机</w:t>
                  </w:r>
                </w:p>
              </w:tc>
              <w:tc>
                <w:tcPr>
                  <w:tcW w:w="425" w:type="pct"/>
                  <w:shd w:val="clear" w:color="auto" w:fill="auto"/>
                  <w:noWrap w:val="0"/>
                  <w:vAlign w:val="center"/>
                </w:tcPr>
                <w:p w14:paraId="4DDCD5A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85.0 </w:t>
                  </w:r>
                </w:p>
              </w:tc>
              <w:tc>
                <w:tcPr>
                  <w:tcW w:w="149" w:type="pct"/>
                  <w:vMerge w:val="continue"/>
                  <w:noWrap w:val="0"/>
                  <w:vAlign w:val="center"/>
                </w:tcPr>
                <w:p w14:paraId="0DF8FD0D">
                  <w:pPr>
                    <w:jc w:val="center"/>
                    <w:textAlignment w:val="center"/>
                    <w:rPr>
                      <w:color w:val="auto"/>
                      <w:sz w:val="21"/>
                      <w:szCs w:val="21"/>
                    </w:rPr>
                  </w:pPr>
                </w:p>
              </w:tc>
              <w:tc>
                <w:tcPr>
                  <w:tcW w:w="473" w:type="pct"/>
                  <w:shd w:val="clear" w:color="auto" w:fill="auto"/>
                  <w:noWrap w:val="0"/>
                  <w:vAlign w:val="center"/>
                </w:tcPr>
                <w:p w14:paraId="52B9F4DE">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-16/8/1</w:t>
                  </w:r>
                </w:p>
              </w:tc>
              <w:tc>
                <w:tcPr>
                  <w:tcW w:w="420" w:type="pct"/>
                  <w:shd w:val="clear" w:color="auto" w:fill="auto"/>
                  <w:noWrap w:val="0"/>
                  <w:vAlign w:val="center"/>
                </w:tcPr>
                <w:p w14:paraId="0912EA6B">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462" w:type="pct"/>
                  <w:shd w:val="clear" w:color="auto" w:fill="auto"/>
                  <w:noWrap/>
                  <w:tcMar>
                    <w:top w:w="15" w:type="dxa"/>
                    <w:left w:w="15" w:type="dxa"/>
                    <w:right w:w="15" w:type="dxa"/>
                  </w:tcMar>
                  <w:vAlign w:val="center"/>
                </w:tcPr>
                <w:p w14:paraId="1116F2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60.9 </w:t>
                  </w:r>
                </w:p>
              </w:tc>
              <w:tc>
                <w:tcPr>
                  <w:tcW w:w="283" w:type="pct"/>
                  <w:vMerge w:val="continue"/>
                  <w:noWrap w:val="0"/>
                  <w:vAlign w:val="center"/>
                </w:tcPr>
                <w:p w14:paraId="0DB659C5">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153A3EAF">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C228D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40.9 </w:t>
                  </w:r>
                </w:p>
              </w:tc>
              <w:tc>
                <w:tcPr>
                  <w:tcW w:w="611" w:type="pct"/>
                  <w:tcBorders>
                    <w:top w:val="single" w:color="auto" w:sz="4" w:space="0"/>
                    <w:bottom w:val="single" w:color="auto" w:sz="4" w:space="0"/>
                  </w:tcBorders>
                  <w:noWrap/>
                  <w:tcMar>
                    <w:top w:w="15" w:type="dxa"/>
                    <w:left w:w="15" w:type="dxa"/>
                    <w:right w:w="15" w:type="dxa"/>
                  </w:tcMar>
                  <w:vAlign w:val="center"/>
                </w:tcPr>
                <w:p w14:paraId="2FF2E4DC">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2C46D420">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243CA81">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54DD2A7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vertAlign w:val="baseline"/>
                      <w:lang w:eastAsia="zh-CN"/>
                    </w:rPr>
                  </w:pPr>
                  <w:r>
                    <w:rPr>
                      <w:rFonts w:hint="eastAsia"/>
                      <w:vertAlign w:val="baseline"/>
                      <w:lang w:eastAsia="zh-CN"/>
                    </w:rPr>
                    <w:t>磨皮机</w:t>
                  </w:r>
                </w:p>
              </w:tc>
              <w:tc>
                <w:tcPr>
                  <w:tcW w:w="425" w:type="pct"/>
                  <w:shd w:val="clear" w:color="auto" w:fill="auto"/>
                  <w:noWrap w:val="0"/>
                  <w:vAlign w:val="center"/>
                </w:tcPr>
                <w:p w14:paraId="36A98A7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1BE53638">
                  <w:pPr>
                    <w:jc w:val="center"/>
                    <w:textAlignment w:val="center"/>
                    <w:rPr>
                      <w:color w:val="auto"/>
                      <w:sz w:val="21"/>
                      <w:szCs w:val="21"/>
                    </w:rPr>
                  </w:pPr>
                </w:p>
              </w:tc>
              <w:tc>
                <w:tcPr>
                  <w:tcW w:w="473" w:type="pct"/>
                  <w:shd w:val="clear" w:color="auto" w:fill="auto"/>
                  <w:noWrap w:val="0"/>
                  <w:vAlign w:val="center"/>
                </w:tcPr>
                <w:p w14:paraId="0282DEEF">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16/-6/1</w:t>
                  </w:r>
                </w:p>
              </w:tc>
              <w:tc>
                <w:tcPr>
                  <w:tcW w:w="420" w:type="pct"/>
                  <w:shd w:val="clear" w:color="auto" w:fill="auto"/>
                  <w:noWrap w:val="0"/>
                  <w:vAlign w:val="center"/>
                </w:tcPr>
                <w:p w14:paraId="7EB99BD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462" w:type="pct"/>
                  <w:shd w:val="clear" w:color="auto" w:fill="auto"/>
                  <w:noWrap/>
                  <w:tcMar>
                    <w:top w:w="15" w:type="dxa"/>
                    <w:left w:w="15" w:type="dxa"/>
                    <w:right w:w="15" w:type="dxa"/>
                  </w:tcMar>
                  <w:vAlign w:val="center"/>
                </w:tcPr>
                <w:p w14:paraId="143E8A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63.9 </w:t>
                  </w:r>
                </w:p>
              </w:tc>
              <w:tc>
                <w:tcPr>
                  <w:tcW w:w="283" w:type="pct"/>
                  <w:vMerge w:val="continue"/>
                  <w:noWrap w:val="0"/>
                  <w:vAlign w:val="center"/>
                </w:tcPr>
                <w:p w14:paraId="5A0907DC">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581372A7">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C9C10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43.9 </w:t>
                  </w:r>
                </w:p>
              </w:tc>
              <w:tc>
                <w:tcPr>
                  <w:tcW w:w="611" w:type="pct"/>
                  <w:tcBorders>
                    <w:top w:val="single" w:color="auto" w:sz="4" w:space="0"/>
                    <w:bottom w:val="single" w:color="auto" w:sz="4" w:space="0"/>
                  </w:tcBorders>
                  <w:noWrap/>
                  <w:tcMar>
                    <w:top w:w="15" w:type="dxa"/>
                    <w:left w:w="15" w:type="dxa"/>
                    <w:right w:w="15" w:type="dxa"/>
                  </w:tcMar>
                  <w:vAlign w:val="center"/>
                </w:tcPr>
                <w:p w14:paraId="711D38D9">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6F90820C">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046B5F6">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6D18B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vertAlign w:val="baseline"/>
                      <w:lang w:eastAsia="zh-CN"/>
                    </w:rPr>
                  </w:pPr>
                  <w:r>
                    <w:rPr>
                      <w:rFonts w:hint="eastAsia"/>
                      <w:vertAlign w:val="baseline"/>
                      <w:lang w:eastAsia="zh-CN"/>
                    </w:rPr>
                    <w:t>清洗流水线</w:t>
                  </w:r>
                </w:p>
              </w:tc>
              <w:tc>
                <w:tcPr>
                  <w:tcW w:w="425" w:type="pct"/>
                  <w:shd w:val="clear" w:color="auto" w:fill="auto"/>
                  <w:noWrap w:val="0"/>
                  <w:vAlign w:val="center"/>
                </w:tcPr>
                <w:p w14:paraId="6B5CC53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728EFE99">
                  <w:pPr>
                    <w:jc w:val="center"/>
                    <w:textAlignment w:val="center"/>
                    <w:rPr>
                      <w:color w:val="auto"/>
                      <w:sz w:val="21"/>
                      <w:szCs w:val="21"/>
                    </w:rPr>
                  </w:pPr>
                </w:p>
              </w:tc>
              <w:tc>
                <w:tcPr>
                  <w:tcW w:w="473" w:type="pct"/>
                  <w:shd w:val="clear" w:color="auto" w:fill="auto"/>
                  <w:noWrap w:val="0"/>
                  <w:vAlign w:val="center"/>
                </w:tcPr>
                <w:p w14:paraId="5E7486E8">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16/0/1</w:t>
                  </w:r>
                </w:p>
              </w:tc>
              <w:tc>
                <w:tcPr>
                  <w:tcW w:w="420" w:type="pct"/>
                  <w:shd w:val="clear" w:color="auto" w:fill="auto"/>
                  <w:noWrap w:val="0"/>
                  <w:vAlign w:val="center"/>
                </w:tcPr>
                <w:p w14:paraId="5D3C8E1F">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5B7A84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66.4 </w:t>
                  </w:r>
                </w:p>
              </w:tc>
              <w:tc>
                <w:tcPr>
                  <w:tcW w:w="283" w:type="pct"/>
                  <w:vMerge w:val="continue"/>
                  <w:noWrap w:val="0"/>
                  <w:vAlign w:val="center"/>
                </w:tcPr>
                <w:p w14:paraId="09D53387">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39C229A7">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F6E57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46.4 </w:t>
                  </w:r>
                </w:p>
              </w:tc>
              <w:tc>
                <w:tcPr>
                  <w:tcW w:w="611" w:type="pct"/>
                  <w:tcBorders>
                    <w:top w:val="single" w:color="auto" w:sz="4" w:space="0"/>
                    <w:bottom w:val="single" w:color="auto" w:sz="4" w:space="0"/>
                  </w:tcBorders>
                  <w:noWrap/>
                  <w:tcMar>
                    <w:top w:w="15" w:type="dxa"/>
                    <w:left w:w="15" w:type="dxa"/>
                    <w:right w:w="15" w:type="dxa"/>
                  </w:tcMar>
                  <w:vAlign w:val="center"/>
                </w:tcPr>
                <w:p w14:paraId="46C10F5B">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5E593C52">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FE6665C">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870E0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输送机</w:t>
                  </w:r>
                </w:p>
              </w:tc>
              <w:tc>
                <w:tcPr>
                  <w:tcW w:w="425" w:type="pct"/>
                  <w:shd w:val="clear" w:color="auto" w:fill="auto"/>
                  <w:noWrap w:val="0"/>
                  <w:vAlign w:val="center"/>
                </w:tcPr>
                <w:p w14:paraId="6AF5443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74.8 </w:t>
                  </w:r>
                </w:p>
              </w:tc>
              <w:tc>
                <w:tcPr>
                  <w:tcW w:w="149" w:type="pct"/>
                  <w:vMerge w:val="continue"/>
                  <w:noWrap w:val="0"/>
                  <w:vAlign w:val="center"/>
                </w:tcPr>
                <w:p w14:paraId="077E47D1">
                  <w:pPr>
                    <w:jc w:val="center"/>
                    <w:textAlignment w:val="center"/>
                    <w:rPr>
                      <w:color w:val="auto"/>
                      <w:sz w:val="21"/>
                      <w:szCs w:val="21"/>
                    </w:rPr>
                  </w:pPr>
                </w:p>
              </w:tc>
              <w:tc>
                <w:tcPr>
                  <w:tcW w:w="473" w:type="pct"/>
                  <w:shd w:val="clear" w:color="auto" w:fill="auto"/>
                  <w:noWrap w:val="0"/>
                  <w:vAlign w:val="center"/>
                </w:tcPr>
                <w:p w14:paraId="7E103CDD">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12/-8/1</w:t>
                  </w:r>
                </w:p>
              </w:tc>
              <w:tc>
                <w:tcPr>
                  <w:tcW w:w="420" w:type="pct"/>
                  <w:shd w:val="clear" w:color="auto" w:fill="auto"/>
                  <w:noWrap w:val="0"/>
                  <w:vAlign w:val="center"/>
                </w:tcPr>
                <w:p w14:paraId="26838241">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3C0575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53.2 </w:t>
                  </w:r>
                </w:p>
              </w:tc>
              <w:tc>
                <w:tcPr>
                  <w:tcW w:w="283" w:type="pct"/>
                  <w:vMerge w:val="continue"/>
                  <w:noWrap w:val="0"/>
                  <w:vAlign w:val="center"/>
                </w:tcPr>
                <w:p w14:paraId="0C69288A">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4E5A6367">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6A9141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33.2 </w:t>
                  </w:r>
                </w:p>
              </w:tc>
              <w:tc>
                <w:tcPr>
                  <w:tcW w:w="611" w:type="pct"/>
                  <w:tcBorders>
                    <w:top w:val="single" w:color="auto" w:sz="4" w:space="0"/>
                    <w:bottom w:val="single" w:color="auto" w:sz="4" w:space="0"/>
                  </w:tcBorders>
                  <w:noWrap/>
                  <w:tcMar>
                    <w:top w:w="15" w:type="dxa"/>
                    <w:left w:w="15" w:type="dxa"/>
                    <w:right w:w="15" w:type="dxa"/>
                  </w:tcMar>
                  <w:vAlign w:val="center"/>
                </w:tcPr>
                <w:p w14:paraId="587F1469">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59D92C2E">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0B6793F">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ED911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vertAlign w:val="baseline"/>
                      <w:lang w:eastAsia="zh-CN"/>
                    </w:rPr>
                    <w:t>真空包装机</w:t>
                  </w:r>
                </w:p>
              </w:tc>
              <w:tc>
                <w:tcPr>
                  <w:tcW w:w="425" w:type="pct"/>
                  <w:shd w:val="clear" w:color="auto" w:fill="auto"/>
                  <w:noWrap w:val="0"/>
                  <w:vAlign w:val="center"/>
                </w:tcPr>
                <w:p w14:paraId="279566A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7C5BC592">
                  <w:pPr>
                    <w:jc w:val="center"/>
                    <w:textAlignment w:val="center"/>
                    <w:rPr>
                      <w:color w:val="auto"/>
                      <w:sz w:val="21"/>
                      <w:szCs w:val="21"/>
                    </w:rPr>
                  </w:pPr>
                </w:p>
              </w:tc>
              <w:tc>
                <w:tcPr>
                  <w:tcW w:w="473" w:type="pct"/>
                  <w:shd w:val="clear" w:color="auto" w:fill="auto"/>
                  <w:noWrap w:val="0"/>
                  <w:vAlign w:val="center"/>
                </w:tcPr>
                <w:p w14:paraId="5D2EEFCE">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1F987F10">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77AC98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283" w:type="pct"/>
                  <w:vMerge w:val="continue"/>
                  <w:noWrap w:val="0"/>
                  <w:vAlign w:val="center"/>
                </w:tcPr>
                <w:p w14:paraId="5F56E469">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556F93CC">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9DB7F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611" w:type="pct"/>
                  <w:tcBorders>
                    <w:top w:val="single" w:color="auto" w:sz="4" w:space="0"/>
                    <w:bottom w:val="single" w:color="auto" w:sz="4" w:space="0"/>
                  </w:tcBorders>
                  <w:noWrap/>
                  <w:tcMar>
                    <w:top w:w="15" w:type="dxa"/>
                    <w:left w:w="15" w:type="dxa"/>
                    <w:right w:w="15" w:type="dxa"/>
                  </w:tcMar>
                  <w:vAlign w:val="center"/>
                </w:tcPr>
                <w:p w14:paraId="2E52F0D6">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25B4DDB9">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90920BB">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AC1B8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纯水机</w:t>
                  </w:r>
                </w:p>
              </w:tc>
              <w:tc>
                <w:tcPr>
                  <w:tcW w:w="425" w:type="pct"/>
                  <w:shd w:val="clear" w:color="auto" w:fill="auto"/>
                  <w:noWrap w:val="0"/>
                  <w:vAlign w:val="center"/>
                </w:tcPr>
                <w:p w14:paraId="18BB1C3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26005C45">
                  <w:pPr>
                    <w:jc w:val="center"/>
                    <w:textAlignment w:val="center"/>
                    <w:rPr>
                      <w:color w:val="auto"/>
                      <w:sz w:val="21"/>
                      <w:szCs w:val="21"/>
                    </w:rPr>
                  </w:pPr>
                </w:p>
              </w:tc>
              <w:tc>
                <w:tcPr>
                  <w:tcW w:w="473" w:type="pct"/>
                  <w:shd w:val="clear" w:color="auto" w:fill="auto"/>
                  <w:noWrap w:val="0"/>
                  <w:vAlign w:val="center"/>
                </w:tcPr>
                <w:p w14:paraId="0DF50147">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-10/6/1</w:t>
                  </w:r>
                </w:p>
              </w:tc>
              <w:tc>
                <w:tcPr>
                  <w:tcW w:w="420" w:type="pct"/>
                  <w:shd w:val="clear" w:color="auto" w:fill="auto"/>
                  <w:noWrap w:val="0"/>
                  <w:vAlign w:val="center"/>
                </w:tcPr>
                <w:p w14:paraId="09A075EB">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0B84B5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283" w:type="pct"/>
                  <w:vMerge w:val="continue"/>
                  <w:noWrap w:val="0"/>
                  <w:vAlign w:val="center"/>
                </w:tcPr>
                <w:p w14:paraId="1A353097">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4400B603">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3EA727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611" w:type="pct"/>
                  <w:tcBorders>
                    <w:top w:val="single" w:color="auto" w:sz="4" w:space="0"/>
                    <w:bottom w:val="single" w:color="auto" w:sz="4" w:space="0"/>
                  </w:tcBorders>
                  <w:noWrap/>
                  <w:tcMar>
                    <w:top w:w="15" w:type="dxa"/>
                    <w:left w:w="15" w:type="dxa"/>
                    <w:right w:w="15" w:type="dxa"/>
                  </w:tcMar>
                  <w:vAlign w:val="center"/>
                </w:tcPr>
                <w:p w14:paraId="1B0701A6">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4093ACAC">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43241DE">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595BE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ertAlign w:val="baseline"/>
                      <w:lang w:val="en-US" w:eastAsia="zh-CN"/>
                    </w:rPr>
                  </w:pPr>
                  <w:r>
                    <w:rPr>
                      <w:rFonts w:hint="eastAsia"/>
                      <w:vertAlign w:val="baseline"/>
                      <w:lang w:eastAsia="zh-CN"/>
                    </w:rPr>
                    <w:t>毛刷清洗机</w:t>
                  </w:r>
                </w:p>
              </w:tc>
              <w:tc>
                <w:tcPr>
                  <w:tcW w:w="425" w:type="pct"/>
                  <w:shd w:val="clear" w:color="auto" w:fill="auto"/>
                  <w:noWrap w:val="0"/>
                  <w:vAlign w:val="center"/>
                </w:tcPr>
                <w:p w14:paraId="28D2203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75.0 </w:t>
                  </w:r>
                </w:p>
              </w:tc>
              <w:tc>
                <w:tcPr>
                  <w:tcW w:w="149" w:type="pct"/>
                  <w:vMerge w:val="continue"/>
                  <w:noWrap w:val="0"/>
                  <w:vAlign w:val="center"/>
                </w:tcPr>
                <w:p w14:paraId="1BDAA097">
                  <w:pPr>
                    <w:jc w:val="center"/>
                    <w:textAlignment w:val="center"/>
                    <w:rPr>
                      <w:color w:val="auto"/>
                      <w:sz w:val="21"/>
                      <w:szCs w:val="21"/>
                    </w:rPr>
                  </w:pPr>
                </w:p>
              </w:tc>
              <w:tc>
                <w:tcPr>
                  <w:tcW w:w="473" w:type="pct"/>
                  <w:noWrap w:val="0"/>
                  <w:vAlign w:val="center"/>
                </w:tcPr>
                <w:p w14:paraId="7045F025">
                  <w:pPr>
                    <w:jc w:val="center"/>
                    <w:textAlignment w:val="center"/>
                    <w:rPr>
                      <w:rFonts w:hint="eastAsia"/>
                      <w:color w:val="auto"/>
                      <w:sz w:val="21"/>
                      <w:szCs w:val="21"/>
                      <w:lang w:val="en-US" w:eastAsia="zh-CN"/>
                    </w:rPr>
                  </w:pPr>
                  <w:r>
                    <w:rPr>
                      <w:rFonts w:hint="eastAsia"/>
                      <w:color w:val="auto"/>
                      <w:sz w:val="21"/>
                      <w:szCs w:val="21"/>
                      <w:lang w:val="en-US" w:eastAsia="zh-CN"/>
                    </w:rPr>
                    <w:t>-10/-8/1</w:t>
                  </w:r>
                </w:p>
              </w:tc>
              <w:tc>
                <w:tcPr>
                  <w:tcW w:w="420" w:type="pct"/>
                  <w:shd w:val="clear" w:color="auto" w:fill="auto"/>
                  <w:noWrap w:val="0"/>
                  <w:vAlign w:val="center"/>
                </w:tcPr>
                <w:p w14:paraId="5D3CBC40">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223223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55.0 </w:t>
                  </w:r>
                </w:p>
              </w:tc>
              <w:tc>
                <w:tcPr>
                  <w:tcW w:w="283" w:type="pct"/>
                  <w:vMerge w:val="continue"/>
                  <w:noWrap w:val="0"/>
                  <w:vAlign w:val="center"/>
                </w:tcPr>
                <w:p w14:paraId="7C6577B3">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EE07B83">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2148F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35.0 </w:t>
                  </w:r>
                </w:p>
              </w:tc>
              <w:tc>
                <w:tcPr>
                  <w:tcW w:w="611" w:type="pct"/>
                  <w:tcBorders>
                    <w:top w:val="single" w:color="auto" w:sz="4" w:space="0"/>
                    <w:bottom w:val="single" w:color="auto" w:sz="4" w:space="0"/>
                  </w:tcBorders>
                  <w:noWrap/>
                  <w:tcMar>
                    <w:top w:w="15" w:type="dxa"/>
                    <w:left w:w="15" w:type="dxa"/>
                    <w:right w:w="15" w:type="dxa"/>
                  </w:tcMar>
                  <w:vAlign w:val="center"/>
                </w:tcPr>
                <w:p w14:paraId="7AEF69DF">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53CED1AE">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B54D37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28ED6F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vertAlign w:val="baseline"/>
                      <w:lang w:eastAsia="zh-CN"/>
                    </w:rPr>
                  </w:pPr>
                  <w:r>
                    <w:rPr>
                      <w:rFonts w:hint="eastAsia"/>
                      <w:vertAlign w:val="baseline"/>
                      <w:lang w:eastAsia="zh-CN"/>
                    </w:rPr>
                    <w:t>烘靴机</w:t>
                  </w:r>
                </w:p>
              </w:tc>
              <w:tc>
                <w:tcPr>
                  <w:tcW w:w="425" w:type="pct"/>
                  <w:shd w:val="clear" w:color="auto" w:fill="auto"/>
                  <w:noWrap w:val="0"/>
                  <w:vAlign w:val="center"/>
                </w:tcPr>
                <w:p w14:paraId="6C9B0CA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71.0 </w:t>
                  </w:r>
                </w:p>
              </w:tc>
              <w:tc>
                <w:tcPr>
                  <w:tcW w:w="149" w:type="pct"/>
                  <w:vMerge w:val="continue"/>
                  <w:noWrap w:val="0"/>
                  <w:vAlign w:val="center"/>
                </w:tcPr>
                <w:p w14:paraId="79DCA4F1">
                  <w:pPr>
                    <w:jc w:val="center"/>
                    <w:textAlignment w:val="center"/>
                    <w:rPr>
                      <w:color w:val="auto"/>
                      <w:sz w:val="21"/>
                      <w:szCs w:val="21"/>
                    </w:rPr>
                  </w:pPr>
                </w:p>
              </w:tc>
              <w:tc>
                <w:tcPr>
                  <w:tcW w:w="473" w:type="pct"/>
                  <w:noWrap w:val="0"/>
                  <w:vAlign w:val="center"/>
                </w:tcPr>
                <w:p w14:paraId="4B0D4B70">
                  <w:pPr>
                    <w:jc w:val="center"/>
                    <w:textAlignment w:val="center"/>
                    <w:rPr>
                      <w:rFonts w:hint="eastAsia"/>
                      <w:color w:val="auto"/>
                      <w:sz w:val="21"/>
                      <w:szCs w:val="21"/>
                      <w:lang w:val="en-US" w:eastAsia="zh-CN"/>
                    </w:rPr>
                  </w:pPr>
                  <w:r>
                    <w:rPr>
                      <w:rFonts w:hint="eastAsia"/>
                      <w:color w:val="auto"/>
                      <w:sz w:val="21"/>
                      <w:szCs w:val="21"/>
                      <w:lang w:val="en-US" w:eastAsia="zh-CN"/>
                    </w:rPr>
                    <w:t>-10/6/2</w:t>
                  </w:r>
                </w:p>
              </w:tc>
              <w:tc>
                <w:tcPr>
                  <w:tcW w:w="420" w:type="pct"/>
                  <w:shd w:val="clear" w:color="auto" w:fill="auto"/>
                  <w:noWrap w:val="0"/>
                  <w:vAlign w:val="center"/>
                </w:tcPr>
                <w:p w14:paraId="401695BE">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043C5E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51.0 </w:t>
                  </w:r>
                </w:p>
              </w:tc>
              <w:tc>
                <w:tcPr>
                  <w:tcW w:w="283" w:type="pct"/>
                  <w:vMerge w:val="continue"/>
                  <w:noWrap w:val="0"/>
                  <w:vAlign w:val="center"/>
                </w:tcPr>
                <w:p w14:paraId="4DA90E93">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4E2FC00F">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3142BC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31.0 </w:t>
                  </w:r>
                </w:p>
              </w:tc>
              <w:tc>
                <w:tcPr>
                  <w:tcW w:w="611" w:type="pct"/>
                  <w:tcBorders>
                    <w:top w:val="single" w:color="auto" w:sz="4" w:space="0"/>
                    <w:bottom w:val="single" w:color="auto" w:sz="4" w:space="0"/>
                  </w:tcBorders>
                  <w:noWrap/>
                  <w:tcMar>
                    <w:top w:w="15" w:type="dxa"/>
                    <w:left w:w="15" w:type="dxa"/>
                    <w:right w:w="15" w:type="dxa"/>
                  </w:tcMar>
                  <w:vAlign w:val="center"/>
                </w:tcPr>
                <w:p w14:paraId="3257370A">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16C82BC6">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restart"/>
                  <w:noWrap w:val="0"/>
                  <w:vAlign w:val="center"/>
                </w:tcPr>
                <w:p w14:paraId="1E46F9EA">
                  <w:pPr>
                    <w:jc w:val="center"/>
                    <w:textAlignment w:val="center"/>
                    <w:rPr>
                      <w:rFonts w:hint="default"/>
                      <w:color w:val="auto"/>
                      <w:sz w:val="21"/>
                      <w:szCs w:val="21"/>
                      <w:lang w:val="en-US" w:eastAsia="zh-CN"/>
                    </w:rPr>
                  </w:pPr>
                  <w:r>
                    <w:rPr>
                      <w:rFonts w:hint="eastAsia"/>
                      <w:color w:val="auto"/>
                      <w:sz w:val="21"/>
                      <w:szCs w:val="21"/>
                      <w:lang w:val="en-US" w:eastAsia="zh-CN"/>
                    </w:rPr>
                    <w:t>1号预制菜车间</w:t>
                  </w:r>
                </w:p>
              </w:tc>
              <w:tc>
                <w:tcPr>
                  <w:tcW w:w="819" w:type="pct"/>
                  <w:shd w:val="clear" w:color="auto" w:fill="auto"/>
                  <w:noWrap/>
                  <w:tcMar>
                    <w:top w:w="15" w:type="dxa"/>
                    <w:left w:w="15" w:type="dxa"/>
                    <w:right w:w="15" w:type="dxa"/>
                  </w:tcMar>
                  <w:vAlign w:val="center"/>
                </w:tcPr>
                <w:p w14:paraId="60BE3C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切肉机</w:t>
                  </w:r>
                </w:p>
              </w:tc>
              <w:tc>
                <w:tcPr>
                  <w:tcW w:w="425" w:type="pct"/>
                  <w:shd w:val="clear" w:color="auto" w:fill="auto"/>
                  <w:noWrap w:val="0"/>
                  <w:vAlign w:val="center"/>
                </w:tcPr>
                <w:p w14:paraId="564F367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91.0 </w:t>
                  </w:r>
                </w:p>
              </w:tc>
              <w:tc>
                <w:tcPr>
                  <w:tcW w:w="149" w:type="pct"/>
                  <w:vMerge w:val="continue"/>
                  <w:noWrap w:val="0"/>
                  <w:vAlign w:val="center"/>
                </w:tcPr>
                <w:p w14:paraId="3F71A226">
                  <w:pPr>
                    <w:jc w:val="center"/>
                    <w:textAlignment w:val="center"/>
                    <w:rPr>
                      <w:color w:val="auto"/>
                      <w:sz w:val="21"/>
                      <w:szCs w:val="21"/>
                    </w:rPr>
                  </w:pPr>
                </w:p>
              </w:tc>
              <w:tc>
                <w:tcPr>
                  <w:tcW w:w="473" w:type="pct"/>
                  <w:shd w:val="clear" w:color="auto" w:fill="auto"/>
                  <w:noWrap w:val="0"/>
                  <w:vAlign w:val="center"/>
                </w:tcPr>
                <w:p w14:paraId="4E995D48">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20/10/1</w:t>
                  </w:r>
                </w:p>
              </w:tc>
              <w:tc>
                <w:tcPr>
                  <w:tcW w:w="420" w:type="pct"/>
                  <w:shd w:val="clear" w:color="auto" w:fill="auto"/>
                  <w:noWrap w:val="0"/>
                  <w:vAlign w:val="center"/>
                </w:tcPr>
                <w:p w14:paraId="740AB2F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2" w:type="pct"/>
                  <w:shd w:val="clear" w:color="auto" w:fill="auto"/>
                  <w:noWrap/>
                  <w:tcMar>
                    <w:top w:w="15" w:type="dxa"/>
                    <w:left w:w="15" w:type="dxa"/>
                    <w:right w:w="15" w:type="dxa"/>
                  </w:tcMar>
                  <w:vAlign w:val="center"/>
                </w:tcPr>
                <w:p w14:paraId="2CA7DD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65.0 </w:t>
                  </w:r>
                </w:p>
              </w:tc>
              <w:tc>
                <w:tcPr>
                  <w:tcW w:w="283" w:type="pct"/>
                  <w:vMerge w:val="continue"/>
                  <w:noWrap w:val="0"/>
                  <w:vAlign w:val="center"/>
                </w:tcPr>
                <w:p w14:paraId="5B455040">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65C8196A">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9A401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45.0 </w:t>
                  </w:r>
                </w:p>
              </w:tc>
              <w:tc>
                <w:tcPr>
                  <w:tcW w:w="611" w:type="pct"/>
                  <w:tcBorders>
                    <w:top w:val="single" w:color="auto" w:sz="4" w:space="0"/>
                    <w:bottom w:val="single" w:color="auto" w:sz="4" w:space="0"/>
                  </w:tcBorders>
                  <w:noWrap/>
                  <w:tcMar>
                    <w:top w:w="15" w:type="dxa"/>
                    <w:left w:w="15" w:type="dxa"/>
                    <w:right w:w="15" w:type="dxa"/>
                  </w:tcMar>
                  <w:vAlign w:val="center"/>
                </w:tcPr>
                <w:p w14:paraId="7745D920">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353055D9">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652DB49">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7D044D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vertAlign w:val="baseline"/>
                      <w:lang w:eastAsia="zh-CN"/>
                    </w:rPr>
                  </w:pPr>
                  <w:r>
                    <w:rPr>
                      <w:rFonts w:hint="eastAsia" w:ascii="Times New Roman" w:hAnsi="Times New Roman" w:eastAsia="宋体" w:cs="Times New Roman"/>
                      <w:vertAlign w:val="baseline"/>
                      <w:lang w:val="en-US" w:eastAsia="zh-CN"/>
                    </w:rPr>
                    <w:t>绞肉机</w:t>
                  </w:r>
                </w:p>
              </w:tc>
              <w:tc>
                <w:tcPr>
                  <w:tcW w:w="425" w:type="pct"/>
                  <w:shd w:val="clear" w:color="auto" w:fill="auto"/>
                  <w:noWrap w:val="0"/>
                  <w:vAlign w:val="center"/>
                </w:tcPr>
                <w:p w14:paraId="3086182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43D6CC18">
                  <w:pPr>
                    <w:jc w:val="center"/>
                    <w:textAlignment w:val="center"/>
                    <w:rPr>
                      <w:color w:val="auto"/>
                      <w:sz w:val="21"/>
                      <w:szCs w:val="21"/>
                    </w:rPr>
                  </w:pPr>
                </w:p>
              </w:tc>
              <w:tc>
                <w:tcPr>
                  <w:tcW w:w="473" w:type="pct"/>
                  <w:shd w:val="clear" w:color="auto" w:fill="auto"/>
                  <w:noWrap w:val="0"/>
                  <w:vAlign w:val="center"/>
                </w:tcPr>
                <w:p w14:paraId="3519B887">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20/8/1</w:t>
                  </w:r>
                </w:p>
              </w:tc>
              <w:tc>
                <w:tcPr>
                  <w:tcW w:w="420" w:type="pct"/>
                  <w:shd w:val="clear" w:color="auto" w:fill="auto"/>
                  <w:noWrap w:val="0"/>
                  <w:vAlign w:val="center"/>
                </w:tcPr>
                <w:p w14:paraId="49229DB3">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2" w:type="pct"/>
                  <w:shd w:val="clear" w:color="auto" w:fill="auto"/>
                  <w:noWrap/>
                  <w:tcMar>
                    <w:top w:w="15" w:type="dxa"/>
                    <w:left w:w="15" w:type="dxa"/>
                    <w:right w:w="15" w:type="dxa"/>
                  </w:tcMar>
                  <w:vAlign w:val="center"/>
                </w:tcPr>
                <w:p w14:paraId="4AF3E8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62.0 </w:t>
                  </w:r>
                </w:p>
              </w:tc>
              <w:tc>
                <w:tcPr>
                  <w:tcW w:w="283" w:type="pct"/>
                  <w:vMerge w:val="continue"/>
                  <w:noWrap w:val="0"/>
                  <w:vAlign w:val="center"/>
                </w:tcPr>
                <w:p w14:paraId="7D528ABF">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50066D2A">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B7DD1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42.0 </w:t>
                  </w:r>
                </w:p>
              </w:tc>
              <w:tc>
                <w:tcPr>
                  <w:tcW w:w="611" w:type="pct"/>
                  <w:tcBorders>
                    <w:top w:val="single" w:color="auto" w:sz="4" w:space="0"/>
                    <w:bottom w:val="single" w:color="auto" w:sz="4" w:space="0"/>
                  </w:tcBorders>
                  <w:noWrap/>
                  <w:tcMar>
                    <w:top w:w="15" w:type="dxa"/>
                    <w:left w:w="15" w:type="dxa"/>
                    <w:right w:w="15" w:type="dxa"/>
                  </w:tcMar>
                  <w:vAlign w:val="center"/>
                </w:tcPr>
                <w:p w14:paraId="6A9605D2">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6153D124">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9F05D23">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1F68E9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伺服高速成型机</w:t>
                  </w:r>
                </w:p>
              </w:tc>
              <w:tc>
                <w:tcPr>
                  <w:tcW w:w="425" w:type="pct"/>
                  <w:shd w:val="clear" w:color="auto" w:fill="auto"/>
                  <w:noWrap w:val="0"/>
                  <w:vAlign w:val="center"/>
                </w:tcPr>
                <w:p w14:paraId="034FDDD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85.0 </w:t>
                  </w:r>
                </w:p>
              </w:tc>
              <w:tc>
                <w:tcPr>
                  <w:tcW w:w="149" w:type="pct"/>
                  <w:vMerge w:val="continue"/>
                  <w:noWrap w:val="0"/>
                  <w:vAlign w:val="center"/>
                </w:tcPr>
                <w:p w14:paraId="793751A9">
                  <w:pPr>
                    <w:jc w:val="center"/>
                    <w:textAlignment w:val="center"/>
                    <w:rPr>
                      <w:color w:val="auto"/>
                      <w:sz w:val="21"/>
                      <w:szCs w:val="21"/>
                    </w:rPr>
                  </w:pPr>
                </w:p>
              </w:tc>
              <w:tc>
                <w:tcPr>
                  <w:tcW w:w="473" w:type="pct"/>
                  <w:shd w:val="clear" w:color="auto" w:fill="auto"/>
                  <w:noWrap w:val="0"/>
                  <w:vAlign w:val="center"/>
                </w:tcPr>
                <w:p w14:paraId="28DCBE03">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-16/4/1</w:t>
                  </w:r>
                </w:p>
              </w:tc>
              <w:tc>
                <w:tcPr>
                  <w:tcW w:w="420" w:type="pct"/>
                  <w:shd w:val="clear" w:color="auto" w:fill="auto"/>
                  <w:noWrap w:val="0"/>
                  <w:vAlign w:val="center"/>
                </w:tcPr>
                <w:p w14:paraId="06B6A4E5">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62" w:type="pct"/>
                  <w:shd w:val="clear" w:color="auto" w:fill="auto"/>
                  <w:noWrap/>
                  <w:tcMar>
                    <w:top w:w="15" w:type="dxa"/>
                    <w:left w:w="15" w:type="dxa"/>
                    <w:right w:w="15" w:type="dxa"/>
                  </w:tcMar>
                  <w:vAlign w:val="center"/>
                </w:tcPr>
                <w:p w14:paraId="2DF755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59.9 </w:t>
                  </w:r>
                </w:p>
              </w:tc>
              <w:tc>
                <w:tcPr>
                  <w:tcW w:w="283" w:type="pct"/>
                  <w:vMerge w:val="continue"/>
                  <w:noWrap w:val="0"/>
                  <w:vAlign w:val="center"/>
                </w:tcPr>
                <w:p w14:paraId="48570C85">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275774EE">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E8739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39.9 </w:t>
                  </w:r>
                </w:p>
              </w:tc>
              <w:tc>
                <w:tcPr>
                  <w:tcW w:w="611" w:type="pct"/>
                  <w:tcBorders>
                    <w:top w:val="single" w:color="auto" w:sz="4" w:space="0"/>
                    <w:bottom w:val="single" w:color="auto" w:sz="4" w:space="0"/>
                  </w:tcBorders>
                  <w:noWrap/>
                  <w:tcMar>
                    <w:top w:w="15" w:type="dxa"/>
                    <w:left w:w="15" w:type="dxa"/>
                    <w:right w:w="15" w:type="dxa"/>
                  </w:tcMar>
                  <w:vAlign w:val="center"/>
                </w:tcPr>
                <w:p w14:paraId="595E01AE">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656BCB33">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6540DF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581335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包心丸子机</w:t>
                  </w:r>
                </w:p>
              </w:tc>
              <w:tc>
                <w:tcPr>
                  <w:tcW w:w="425" w:type="pct"/>
                  <w:shd w:val="clear" w:color="auto" w:fill="auto"/>
                  <w:noWrap w:val="0"/>
                  <w:vAlign w:val="center"/>
                </w:tcPr>
                <w:p w14:paraId="0FA0480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91.0 </w:t>
                  </w:r>
                </w:p>
              </w:tc>
              <w:tc>
                <w:tcPr>
                  <w:tcW w:w="149" w:type="pct"/>
                  <w:vMerge w:val="continue"/>
                  <w:noWrap w:val="0"/>
                  <w:vAlign w:val="center"/>
                </w:tcPr>
                <w:p w14:paraId="6E7B201C">
                  <w:pPr>
                    <w:jc w:val="center"/>
                    <w:textAlignment w:val="center"/>
                    <w:rPr>
                      <w:color w:val="auto"/>
                      <w:sz w:val="21"/>
                      <w:szCs w:val="21"/>
                    </w:rPr>
                  </w:pPr>
                </w:p>
              </w:tc>
              <w:tc>
                <w:tcPr>
                  <w:tcW w:w="473" w:type="pct"/>
                  <w:shd w:val="clear" w:color="auto" w:fill="auto"/>
                  <w:noWrap w:val="0"/>
                  <w:vAlign w:val="center"/>
                </w:tcPr>
                <w:p w14:paraId="37D143EA">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-18/8/1</w:t>
                  </w:r>
                </w:p>
              </w:tc>
              <w:tc>
                <w:tcPr>
                  <w:tcW w:w="420" w:type="pct"/>
                  <w:shd w:val="clear" w:color="auto" w:fill="auto"/>
                  <w:noWrap w:val="0"/>
                  <w:vAlign w:val="center"/>
                </w:tcPr>
                <w:p w14:paraId="1E0478E3">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62" w:type="pct"/>
                  <w:shd w:val="clear" w:color="auto" w:fill="auto"/>
                  <w:noWrap/>
                  <w:tcMar>
                    <w:top w:w="15" w:type="dxa"/>
                    <w:left w:w="15" w:type="dxa"/>
                    <w:right w:w="15" w:type="dxa"/>
                  </w:tcMar>
                  <w:vAlign w:val="center"/>
                </w:tcPr>
                <w:p w14:paraId="1DFB4B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65.9 </w:t>
                  </w:r>
                </w:p>
              </w:tc>
              <w:tc>
                <w:tcPr>
                  <w:tcW w:w="283" w:type="pct"/>
                  <w:vMerge w:val="continue"/>
                  <w:noWrap w:val="0"/>
                  <w:vAlign w:val="center"/>
                </w:tcPr>
                <w:p w14:paraId="721AE870">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155B8C55">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637B59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45.9 </w:t>
                  </w:r>
                </w:p>
              </w:tc>
              <w:tc>
                <w:tcPr>
                  <w:tcW w:w="611" w:type="pct"/>
                  <w:tcBorders>
                    <w:top w:val="single" w:color="auto" w:sz="4" w:space="0"/>
                    <w:bottom w:val="single" w:color="auto" w:sz="4" w:space="0"/>
                  </w:tcBorders>
                  <w:noWrap/>
                  <w:tcMar>
                    <w:top w:w="15" w:type="dxa"/>
                    <w:left w:w="15" w:type="dxa"/>
                    <w:right w:w="15" w:type="dxa"/>
                  </w:tcMar>
                  <w:vAlign w:val="center"/>
                </w:tcPr>
                <w:p w14:paraId="13FD77BA">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71BE489C">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F6C4FEA">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5EAACE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自动搅拌燃气炒菜机</w:t>
                  </w:r>
                </w:p>
              </w:tc>
              <w:tc>
                <w:tcPr>
                  <w:tcW w:w="425" w:type="pct"/>
                  <w:shd w:val="clear" w:color="auto" w:fill="auto"/>
                  <w:noWrap w:val="0"/>
                  <w:vAlign w:val="center"/>
                </w:tcPr>
                <w:p w14:paraId="0C2C6B5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94.0 </w:t>
                  </w:r>
                </w:p>
              </w:tc>
              <w:tc>
                <w:tcPr>
                  <w:tcW w:w="149" w:type="pct"/>
                  <w:vMerge w:val="continue"/>
                  <w:noWrap w:val="0"/>
                  <w:vAlign w:val="center"/>
                </w:tcPr>
                <w:p w14:paraId="5515DF02">
                  <w:pPr>
                    <w:jc w:val="center"/>
                    <w:textAlignment w:val="center"/>
                    <w:rPr>
                      <w:color w:val="auto"/>
                      <w:sz w:val="21"/>
                      <w:szCs w:val="21"/>
                    </w:rPr>
                  </w:pPr>
                </w:p>
              </w:tc>
              <w:tc>
                <w:tcPr>
                  <w:tcW w:w="473" w:type="pct"/>
                  <w:shd w:val="clear" w:color="auto" w:fill="auto"/>
                  <w:noWrap w:val="0"/>
                  <w:vAlign w:val="center"/>
                </w:tcPr>
                <w:p w14:paraId="1C2A01FE">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14/8/1</w:t>
                  </w:r>
                </w:p>
              </w:tc>
              <w:tc>
                <w:tcPr>
                  <w:tcW w:w="420" w:type="pct"/>
                  <w:shd w:val="clear" w:color="auto" w:fill="auto"/>
                  <w:noWrap w:val="0"/>
                  <w:vAlign w:val="center"/>
                </w:tcPr>
                <w:p w14:paraId="32B80F3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62" w:type="pct"/>
                  <w:shd w:val="clear" w:color="auto" w:fill="auto"/>
                  <w:noWrap/>
                  <w:tcMar>
                    <w:top w:w="15" w:type="dxa"/>
                    <w:left w:w="15" w:type="dxa"/>
                    <w:right w:w="15" w:type="dxa"/>
                  </w:tcMar>
                  <w:vAlign w:val="center"/>
                </w:tcPr>
                <w:p w14:paraId="22F2E7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71.1 </w:t>
                  </w:r>
                </w:p>
              </w:tc>
              <w:tc>
                <w:tcPr>
                  <w:tcW w:w="283" w:type="pct"/>
                  <w:vMerge w:val="continue"/>
                  <w:noWrap w:val="0"/>
                  <w:vAlign w:val="center"/>
                </w:tcPr>
                <w:p w14:paraId="15E942B0">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5A3F9191">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49CFE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51.1 </w:t>
                  </w:r>
                </w:p>
              </w:tc>
              <w:tc>
                <w:tcPr>
                  <w:tcW w:w="611" w:type="pct"/>
                  <w:tcBorders>
                    <w:top w:val="single" w:color="auto" w:sz="4" w:space="0"/>
                    <w:bottom w:val="single" w:color="auto" w:sz="4" w:space="0"/>
                  </w:tcBorders>
                  <w:noWrap/>
                  <w:tcMar>
                    <w:top w:w="15" w:type="dxa"/>
                    <w:left w:w="15" w:type="dxa"/>
                    <w:right w:w="15" w:type="dxa"/>
                  </w:tcMar>
                  <w:vAlign w:val="center"/>
                </w:tcPr>
                <w:p w14:paraId="446BE18D">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23B671AE">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7467A34E">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B787F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eastAsia="zh-CN"/>
                    </w:rPr>
                    <w:t>燃气蒸箱</w:t>
                  </w:r>
                </w:p>
              </w:tc>
              <w:tc>
                <w:tcPr>
                  <w:tcW w:w="425" w:type="pct"/>
                  <w:shd w:val="clear" w:color="auto" w:fill="auto"/>
                  <w:noWrap w:val="0"/>
                  <w:vAlign w:val="center"/>
                </w:tcPr>
                <w:p w14:paraId="77016F8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0175CA16">
                  <w:pPr>
                    <w:jc w:val="center"/>
                    <w:textAlignment w:val="center"/>
                    <w:rPr>
                      <w:color w:val="auto"/>
                      <w:sz w:val="21"/>
                      <w:szCs w:val="21"/>
                    </w:rPr>
                  </w:pPr>
                </w:p>
              </w:tc>
              <w:tc>
                <w:tcPr>
                  <w:tcW w:w="473" w:type="pct"/>
                  <w:shd w:val="clear" w:color="auto" w:fill="auto"/>
                  <w:noWrap w:val="0"/>
                  <w:vAlign w:val="center"/>
                </w:tcPr>
                <w:p w14:paraId="7C832446">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-15/6/1</w:t>
                  </w:r>
                </w:p>
              </w:tc>
              <w:tc>
                <w:tcPr>
                  <w:tcW w:w="420" w:type="pct"/>
                  <w:shd w:val="clear" w:color="auto" w:fill="auto"/>
                  <w:noWrap w:val="0"/>
                  <w:vAlign w:val="center"/>
                </w:tcPr>
                <w:p w14:paraId="76E37D48">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62" w:type="pct"/>
                  <w:shd w:val="clear" w:color="auto" w:fill="auto"/>
                  <w:noWrap/>
                  <w:tcMar>
                    <w:top w:w="15" w:type="dxa"/>
                    <w:left w:w="15" w:type="dxa"/>
                    <w:right w:w="15" w:type="dxa"/>
                  </w:tcMar>
                  <w:vAlign w:val="center"/>
                </w:tcPr>
                <w:p w14:paraId="0BEED5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46.5 </w:t>
                  </w:r>
                </w:p>
              </w:tc>
              <w:tc>
                <w:tcPr>
                  <w:tcW w:w="283" w:type="pct"/>
                  <w:vMerge w:val="continue"/>
                  <w:noWrap w:val="0"/>
                  <w:vAlign w:val="center"/>
                </w:tcPr>
                <w:p w14:paraId="18D07BB5">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C09B985">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E4D2F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26.5 </w:t>
                  </w:r>
                </w:p>
              </w:tc>
              <w:tc>
                <w:tcPr>
                  <w:tcW w:w="611" w:type="pct"/>
                  <w:tcBorders>
                    <w:top w:val="single" w:color="auto" w:sz="4" w:space="0"/>
                    <w:bottom w:val="single" w:color="auto" w:sz="4" w:space="0"/>
                  </w:tcBorders>
                  <w:noWrap/>
                  <w:tcMar>
                    <w:top w:w="15" w:type="dxa"/>
                    <w:left w:w="15" w:type="dxa"/>
                    <w:right w:w="15" w:type="dxa"/>
                  </w:tcMar>
                  <w:vAlign w:val="center"/>
                </w:tcPr>
                <w:p w14:paraId="7416B6F3">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2A262D53">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982139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07ADB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eastAsia="zh-CN"/>
                    </w:rPr>
                    <w:t>电蒸箱</w:t>
                  </w:r>
                </w:p>
              </w:tc>
              <w:tc>
                <w:tcPr>
                  <w:tcW w:w="425" w:type="pct"/>
                  <w:shd w:val="clear" w:color="auto" w:fill="auto"/>
                  <w:noWrap w:val="0"/>
                  <w:vAlign w:val="center"/>
                </w:tcPr>
                <w:p w14:paraId="4317C5B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76.0 </w:t>
                  </w:r>
                </w:p>
              </w:tc>
              <w:tc>
                <w:tcPr>
                  <w:tcW w:w="149" w:type="pct"/>
                  <w:vMerge w:val="continue"/>
                  <w:noWrap w:val="0"/>
                  <w:vAlign w:val="center"/>
                </w:tcPr>
                <w:p w14:paraId="314DBAA6">
                  <w:pPr>
                    <w:jc w:val="center"/>
                    <w:textAlignment w:val="center"/>
                    <w:rPr>
                      <w:color w:val="auto"/>
                      <w:sz w:val="21"/>
                      <w:szCs w:val="21"/>
                    </w:rPr>
                  </w:pPr>
                </w:p>
              </w:tc>
              <w:tc>
                <w:tcPr>
                  <w:tcW w:w="473" w:type="pct"/>
                  <w:shd w:val="clear" w:color="auto" w:fill="auto"/>
                  <w:noWrap w:val="0"/>
                  <w:vAlign w:val="center"/>
                </w:tcPr>
                <w:p w14:paraId="5F34CC96">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219D06F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3BA703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56.0 </w:t>
                  </w:r>
                </w:p>
              </w:tc>
              <w:tc>
                <w:tcPr>
                  <w:tcW w:w="283" w:type="pct"/>
                  <w:vMerge w:val="continue"/>
                  <w:noWrap w:val="0"/>
                  <w:vAlign w:val="center"/>
                </w:tcPr>
                <w:p w14:paraId="4D790C56">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631B6888">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9CE98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611" w:type="pct"/>
                  <w:tcBorders>
                    <w:top w:val="single" w:color="auto" w:sz="4" w:space="0"/>
                    <w:bottom w:val="single" w:color="auto" w:sz="4" w:space="0"/>
                  </w:tcBorders>
                  <w:noWrap/>
                  <w:tcMar>
                    <w:top w:w="15" w:type="dxa"/>
                    <w:left w:w="15" w:type="dxa"/>
                    <w:right w:w="15" w:type="dxa"/>
                  </w:tcMar>
                  <w:vAlign w:val="center"/>
                </w:tcPr>
                <w:p w14:paraId="498EB2DE">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1ED5E6F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F6AC3F9">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E7519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负压式摊凉机</w:t>
                  </w:r>
                </w:p>
              </w:tc>
              <w:tc>
                <w:tcPr>
                  <w:tcW w:w="425" w:type="pct"/>
                  <w:shd w:val="clear" w:color="auto" w:fill="auto"/>
                  <w:noWrap w:val="0"/>
                  <w:vAlign w:val="center"/>
                </w:tcPr>
                <w:p w14:paraId="55E1D84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71.0 </w:t>
                  </w:r>
                </w:p>
              </w:tc>
              <w:tc>
                <w:tcPr>
                  <w:tcW w:w="149" w:type="pct"/>
                  <w:vMerge w:val="continue"/>
                  <w:noWrap w:val="0"/>
                  <w:vAlign w:val="center"/>
                </w:tcPr>
                <w:p w14:paraId="32A6B698">
                  <w:pPr>
                    <w:jc w:val="center"/>
                    <w:textAlignment w:val="center"/>
                    <w:rPr>
                      <w:color w:val="auto"/>
                      <w:sz w:val="21"/>
                      <w:szCs w:val="21"/>
                    </w:rPr>
                  </w:pPr>
                </w:p>
              </w:tc>
              <w:tc>
                <w:tcPr>
                  <w:tcW w:w="473" w:type="pct"/>
                  <w:shd w:val="clear" w:color="auto" w:fill="auto"/>
                  <w:noWrap w:val="0"/>
                  <w:vAlign w:val="center"/>
                </w:tcPr>
                <w:p w14:paraId="5506C763">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54B0F468">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3CD985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49.4 </w:t>
                  </w:r>
                </w:p>
              </w:tc>
              <w:tc>
                <w:tcPr>
                  <w:tcW w:w="283" w:type="pct"/>
                  <w:vMerge w:val="continue"/>
                  <w:noWrap w:val="0"/>
                  <w:vAlign w:val="center"/>
                </w:tcPr>
                <w:p w14:paraId="072F11DF">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4CAB3A8">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DD6A9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29.4 </w:t>
                  </w:r>
                </w:p>
              </w:tc>
              <w:tc>
                <w:tcPr>
                  <w:tcW w:w="611" w:type="pct"/>
                  <w:tcBorders>
                    <w:top w:val="single" w:color="auto" w:sz="4" w:space="0"/>
                    <w:bottom w:val="single" w:color="auto" w:sz="4" w:space="0"/>
                  </w:tcBorders>
                  <w:noWrap/>
                  <w:tcMar>
                    <w:top w:w="15" w:type="dxa"/>
                    <w:left w:w="15" w:type="dxa"/>
                    <w:right w:w="15" w:type="dxa"/>
                  </w:tcMar>
                  <w:vAlign w:val="center"/>
                </w:tcPr>
                <w:p w14:paraId="5C27A406">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19726146">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46859AA">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D85D3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vertAlign w:val="baseline"/>
                      <w:lang w:eastAsia="zh-CN"/>
                    </w:rPr>
                  </w:pPr>
                  <w:r>
                    <w:rPr>
                      <w:rFonts w:hint="eastAsia" w:ascii="Times New Roman" w:hAnsi="Times New Roman" w:eastAsia="宋体" w:cs="Times New Roman"/>
                      <w:vertAlign w:val="baseline"/>
                      <w:lang w:val="en-US" w:eastAsia="zh-CN"/>
                    </w:rPr>
                    <w:t>清洗机</w:t>
                  </w:r>
                </w:p>
              </w:tc>
              <w:tc>
                <w:tcPr>
                  <w:tcW w:w="425" w:type="pct"/>
                  <w:shd w:val="clear" w:color="auto" w:fill="auto"/>
                  <w:noWrap w:val="0"/>
                  <w:vAlign w:val="center"/>
                </w:tcPr>
                <w:p w14:paraId="04A4577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2E25927A">
                  <w:pPr>
                    <w:jc w:val="center"/>
                    <w:textAlignment w:val="center"/>
                    <w:rPr>
                      <w:color w:val="auto"/>
                      <w:sz w:val="21"/>
                      <w:szCs w:val="21"/>
                    </w:rPr>
                  </w:pPr>
                </w:p>
              </w:tc>
              <w:tc>
                <w:tcPr>
                  <w:tcW w:w="473" w:type="pct"/>
                  <w:noWrap w:val="0"/>
                  <w:vAlign w:val="center"/>
                </w:tcPr>
                <w:p w14:paraId="2A73D36B">
                  <w:pPr>
                    <w:jc w:val="center"/>
                    <w:textAlignment w:val="center"/>
                    <w:rPr>
                      <w:rFonts w:hint="eastAsia"/>
                      <w:color w:val="auto"/>
                      <w:sz w:val="21"/>
                      <w:szCs w:val="21"/>
                      <w:lang w:val="en-US" w:eastAsia="zh-CN"/>
                    </w:rPr>
                  </w:pPr>
                  <w:r>
                    <w:rPr>
                      <w:rFonts w:hint="eastAsia"/>
                      <w:color w:val="auto"/>
                      <w:sz w:val="21"/>
                      <w:szCs w:val="21"/>
                      <w:lang w:val="en-US" w:eastAsia="zh-CN"/>
                    </w:rPr>
                    <w:t>10/-8/1</w:t>
                  </w:r>
                </w:p>
              </w:tc>
              <w:tc>
                <w:tcPr>
                  <w:tcW w:w="420" w:type="pct"/>
                  <w:shd w:val="clear" w:color="auto" w:fill="auto"/>
                  <w:noWrap w:val="0"/>
                  <w:vAlign w:val="center"/>
                </w:tcPr>
                <w:p w14:paraId="22E0297A">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62" w:type="pct"/>
                  <w:shd w:val="clear" w:color="auto" w:fill="auto"/>
                  <w:noWrap/>
                  <w:tcMar>
                    <w:top w:w="15" w:type="dxa"/>
                    <w:left w:w="15" w:type="dxa"/>
                    <w:right w:w="15" w:type="dxa"/>
                  </w:tcMar>
                  <w:vAlign w:val="center"/>
                </w:tcPr>
                <w:p w14:paraId="56EC4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49.2 </w:t>
                  </w:r>
                </w:p>
              </w:tc>
              <w:tc>
                <w:tcPr>
                  <w:tcW w:w="283" w:type="pct"/>
                  <w:vMerge w:val="continue"/>
                  <w:noWrap w:val="0"/>
                  <w:vAlign w:val="center"/>
                </w:tcPr>
                <w:p w14:paraId="348C4729">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290C5B7D">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9D7CC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29.2 </w:t>
                  </w:r>
                </w:p>
              </w:tc>
              <w:tc>
                <w:tcPr>
                  <w:tcW w:w="611" w:type="pct"/>
                  <w:tcBorders>
                    <w:top w:val="single" w:color="auto" w:sz="4" w:space="0"/>
                    <w:bottom w:val="single" w:color="auto" w:sz="4" w:space="0"/>
                  </w:tcBorders>
                  <w:noWrap/>
                  <w:tcMar>
                    <w:top w:w="15" w:type="dxa"/>
                    <w:left w:w="15" w:type="dxa"/>
                    <w:right w:w="15" w:type="dxa"/>
                  </w:tcMar>
                  <w:vAlign w:val="center"/>
                </w:tcPr>
                <w:p w14:paraId="2ACFD888">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4E22384B">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910F09C">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7429C0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紫外线消毒杀菌设备</w:t>
                  </w:r>
                </w:p>
              </w:tc>
              <w:tc>
                <w:tcPr>
                  <w:tcW w:w="425" w:type="pct"/>
                  <w:shd w:val="clear" w:color="auto" w:fill="auto"/>
                  <w:noWrap w:val="0"/>
                  <w:vAlign w:val="center"/>
                </w:tcPr>
                <w:p w14:paraId="6E8F8A4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68.0 </w:t>
                  </w:r>
                </w:p>
              </w:tc>
              <w:tc>
                <w:tcPr>
                  <w:tcW w:w="149" w:type="pct"/>
                  <w:vMerge w:val="continue"/>
                  <w:noWrap w:val="0"/>
                  <w:vAlign w:val="center"/>
                </w:tcPr>
                <w:p w14:paraId="16C445C5">
                  <w:pPr>
                    <w:jc w:val="center"/>
                    <w:textAlignment w:val="center"/>
                    <w:rPr>
                      <w:color w:val="auto"/>
                      <w:sz w:val="21"/>
                      <w:szCs w:val="21"/>
                    </w:rPr>
                  </w:pPr>
                </w:p>
              </w:tc>
              <w:tc>
                <w:tcPr>
                  <w:tcW w:w="473" w:type="pct"/>
                  <w:noWrap w:val="0"/>
                  <w:vAlign w:val="center"/>
                </w:tcPr>
                <w:p w14:paraId="6596A0B7">
                  <w:pPr>
                    <w:jc w:val="center"/>
                    <w:textAlignment w:val="center"/>
                    <w:rPr>
                      <w:rFonts w:hint="eastAsia"/>
                      <w:color w:val="auto"/>
                      <w:sz w:val="21"/>
                      <w:szCs w:val="21"/>
                      <w:lang w:val="en-US" w:eastAsia="zh-CN"/>
                    </w:rPr>
                  </w:pPr>
                  <w:r>
                    <w:rPr>
                      <w:rFonts w:hint="eastAsia"/>
                      <w:color w:val="auto"/>
                      <w:sz w:val="21"/>
                      <w:szCs w:val="21"/>
                      <w:lang w:val="en-US" w:eastAsia="zh-CN"/>
                    </w:rPr>
                    <w:t>12/6/2</w:t>
                  </w:r>
                </w:p>
              </w:tc>
              <w:tc>
                <w:tcPr>
                  <w:tcW w:w="420" w:type="pct"/>
                  <w:shd w:val="clear" w:color="auto" w:fill="auto"/>
                  <w:noWrap w:val="0"/>
                  <w:vAlign w:val="center"/>
                </w:tcPr>
                <w:p w14:paraId="2E54623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7E635E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48.0 </w:t>
                  </w:r>
                </w:p>
              </w:tc>
              <w:tc>
                <w:tcPr>
                  <w:tcW w:w="283" w:type="pct"/>
                  <w:vMerge w:val="continue"/>
                  <w:noWrap w:val="0"/>
                  <w:vAlign w:val="center"/>
                </w:tcPr>
                <w:p w14:paraId="03F10D60">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41575282">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49C04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28.0 </w:t>
                  </w:r>
                </w:p>
              </w:tc>
              <w:tc>
                <w:tcPr>
                  <w:tcW w:w="611" w:type="pct"/>
                  <w:tcBorders>
                    <w:top w:val="single" w:color="auto" w:sz="4" w:space="0"/>
                    <w:bottom w:val="single" w:color="auto" w:sz="4" w:space="0"/>
                  </w:tcBorders>
                  <w:noWrap/>
                  <w:tcMar>
                    <w:top w:w="15" w:type="dxa"/>
                    <w:left w:w="15" w:type="dxa"/>
                    <w:right w:w="15" w:type="dxa"/>
                  </w:tcMar>
                  <w:vAlign w:val="center"/>
                </w:tcPr>
                <w:p w14:paraId="5D3BEBBD">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2E7B2EB8">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5695657">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2A5C34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vertAlign w:val="baseline"/>
                      <w:lang w:eastAsia="zh-CN"/>
                    </w:rPr>
                  </w:pPr>
                  <w:r>
                    <w:rPr>
                      <w:rFonts w:hint="eastAsia" w:ascii="Times New Roman" w:hAnsi="Times New Roman" w:eastAsia="宋体" w:cs="Times New Roman"/>
                      <w:vertAlign w:val="baseline"/>
                      <w:lang w:val="en-US" w:eastAsia="zh-CN"/>
                    </w:rPr>
                    <w:t>杀菌釜</w:t>
                  </w:r>
                </w:p>
              </w:tc>
              <w:tc>
                <w:tcPr>
                  <w:tcW w:w="425" w:type="pct"/>
                  <w:shd w:val="clear" w:color="auto" w:fill="auto"/>
                  <w:noWrap w:val="0"/>
                  <w:vAlign w:val="center"/>
                </w:tcPr>
                <w:p w14:paraId="06EDA72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81.0 </w:t>
                  </w:r>
                </w:p>
              </w:tc>
              <w:tc>
                <w:tcPr>
                  <w:tcW w:w="149" w:type="pct"/>
                  <w:vMerge w:val="continue"/>
                  <w:noWrap w:val="0"/>
                  <w:vAlign w:val="center"/>
                </w:tcPr>
                <w:p w14:paraId="158E0A28">
                  <w:pPr>
                    <w:jc w:val="center"/>
                    <w:textAlignment w:val="center"/>
                    <w:rPr>
                      <w:color w:val="auto"/>
                      <w:sz w:val="21"/>
                      <w:szCs w:val="21"/>
                    </w:rPr>
                  </w:pPr>
                </w:p>
              </w:tc>
              <w:tc>
                <w:tcPr>
                  <w:tcW w:w="473" w:type="pct"/>
                  <w:noWrap w:val="0"/>
                  <w:vAlign w:val="center"/>
                </w:tcPr>
                <w:p w14:paraId="2DA93E51">
                  <w:pPr>
                    <w:jc w:val="center"/>
                    <w:textAlignment w:val="center"/>
                    <w:rPr>
                      <w:rFonts w:hint="eastAsia"/>
                      <w:color w:val="auto"/>
                      <w:sz w:val="21"/>
                      <w:szCs w:val="21"/>
                      <w:lang w:val="en-US" w:eastAsia="zh-CN"/>
                    </w:rPr>
                  </w:pPr>
                  <w:r>
                    <w:rPr>
                      <w:rFonts w:hint="eastAsia"/>
                      <w:color w:val="auto"/>
                      <w:sz w:val="21"/>
                      <w:szCs w:val="21"/>
                      <w:lang w:val="en-US" w:eastAsia="zh-CN"/>
                    </w:rPr>
                    <w:t>10/-8/1</w:t>
                  </w:r>
                </w:p>
              </w:tc>
              <w:tc>
                <w:tcPr>
                  <w:tcW w:w="420" w:type="pct"/>
                  <w:shd w:val="clear" w:color="auto" w:fill="auto"/>
                  <w:noWrap w:val="0"/>
                  <w:vAlign w:val="center"/>
                </w:tcPr>
                <w:p w14:paraId="7F11348A">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48613F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61.0 </w:t>
                  </w:r>
                </w:p>
              </w:tc>
              <w:tc>
                <w:tcPr>
                  <w:tcW w:w="283" w:type="pct"/>
                  <w:vMerge w:val="continue"/>
                  <w:noWrap w:val="0"/>
                  <w:vAlign w:val="center"/>
                </w:tcPr>
                <w:p w14:paraId="0DEB0C49">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12B42E9">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FE192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41.0 </w:t>
                  </w:r>
                </w:p>
              </w:tc>
              <w:tc>
                <w:tcPr>
                  <w:tcW w:w="611" w:type="pct"/>
                  <w:tcBorders>
                    <w:top w:val="single" w:color="auto" w:sz="4" w:space="0"/>
                    <w:bottom w:val="single" w:color="auto" w:sz="4" w:space="0"/>
                  </w:tcBorders>
                  <w:noWrap/>
                  <w:tcMar>
                    <w:top w:w="15" w:type="dxa"/>
                    <w:left w:w="15" w:type="dxa"/>
                    <w:right w:w="15" w:type="dxa"/>
                  </w:tcMar>
                  <w:vAlign w:val="center"/>
                </w:tcPr>
                <w:p w14:paraId="732C2CC1">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3C71E67D">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1596A48">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D92FB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成品输送线</w:t>
                  </w:r>
                </w:p>
              </w:tc>
              <w:tc>
                <w:tcPr>
                  <w:tcW w:w="425" w:type="pct"/>
                  <w:shd w:val="clear" w:color="auto" w:fill="auto"/>
                  <w:noWrap w:val="0"/>
                  <w:vAlign w:val="center"/>
                </w:tcPr>
                <w:p w14:paraId="085CC77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89.0 </w:t>
                  </w:r>
                </w:p>
              </w:tc>
              <w:tc>
                <w:tcPr>
                  <w:tcW w:w="149" w:type="pct"/>
                  <w:vMerge w:val="continue"/>
                  <w:noWrap w:val="0"/>
                  <w:vAlign w:val="center"/>
                </w:tcPr>
                <w:p w14:paraId="0C4E1338">
                  <w:pPr>
                    <w:jc w:val="center"/>
                    <w:textAlignment w:val="center"/>
                    <w:rPr>
                      <w:color w:val="auto"/>
                      <w:sz w:val="21"/>
                      <w:szCs w:val="21"/>
                    </w:rPr>
                  </w:pPr>
                </w:p>
              </w:tc>
              <w:tc>
                <w:tcPr>
                  <w:tcW w:w="473" w:type="pct"/>
                  <w:noWrap w:val="0"/>
                  <w:vAlign w:val="center"/>
                </w:tcPr>
                <w:p w14:paraId="49BFA0FF">
                  <w:pPr>
                    <w:jc w:val="center"/>
                    <w:textAlignment w:val="center"/>
                    <w:rPr>
                      <w:rFonts w:hint="eastAsia"/>
                      <w:color w:val="auto"/>
                      <w:sz w:val="21"/>
                      <w:szCs w:val="21"/>
                      <w:lang w:val="en-US" w:eastAsia="zh-CN"/>
                    </w:rPr>
                  </w:pPr>
                  <w:r>
                    <w:rPr>
                      <w:rFonts w:hint="eastAsia"/>
                      <w:color w:val="auto"/>
                      <w:sz w:val="21"/>
                      <w:szCs w:val="21"/>
                      <w:lang w:val="en-US" w:eastAsia="zh-CN"/>
                    </w:rPr>
                    <w:t>12/6/2</w:t>
                  </w:r>
                </w:p>
              </w:tc>
              <w:tc>
                <w:tcPr>
                  <w:tcW w:w="420" w:type="pct"/>
                  <w:shd w:val="clear" w:color="auto" w:fill="auto"/>
                  <w:noWrap w:val="0"/>
                  <w:vAlign w:val="center"/>
                </w:tcPr>
                <w:p w14:paraId="3DB666F4">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317090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67.4 </w:t>
                  </w:r>
                </w:p>
              </w:tc>
              <w:tc>
                <w:tcPr>
                  <w:tcW w:w="283" w:type="pct"/>
                  <w:vMerge w:val="continue"/>
                  <w:noWrap w:val="0"/>
                  <w:vAlign w:val="center"/>
                </w:tcPr>
                <w:p w14:paraId="394039BD">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B33907D">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3084BC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47.4 </w:t>
                  </w:r>
                </w:p>
              </w:tc>
              <w:tc>
                <w:tcPr>
                  <w:tcW w:w="611" w:type="pct"/>
                  <w:tcBorders>
                    <w:top w:val="single" w:color="auto" w:sz="4" w:space="0"/>
                    <w:bottom w:val="single" w:color="auto" w:sz="4" w:space="0"/>
                  </w:tcBorders>
                  <w:noWrap/>
                  <w:tcMar>
                    <w:top w:w="15" w:type="dxa"/>
                    <w:left w:w="15" w:type="dxa"/>
                    <w:right w:w="15" w:type="dxa"/>
                  </w:tcMar>
                  <w:vAlign w:val="center"/>
                </w:tcPr>
                <w:p w14:paraId="240F897B">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59DB83E8">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97CABDA">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0E764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片冰机</w:t>
                  </w:r>
                </w:p>
              </w:tc>
              <w:tc>
                <w:tcPr>
                  <w:tcW w:w="425" w:type="pct"/>
                  <w:shd w:val="clear" w:color="auto" w:fill="auto"/>
                  <w:noWrap w:val="0"/>
                  <w:vAlign w:val="center"/>
                </w:tcPr>
                <w:p w14:paraId="4486370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463BB757">
                  <w:pPr>
                    <w:jc w:val="center"/>
                    <w:textAlignment w:val="center"/>
                    <w:rPr>
                      <w:color w:val="auto"/>
                      <w:sz w:val="21"/>
                      <w:szCs w:val="21"/>
                    </w:rPr>
                  </w:pPr>
                </w:p>
              </w:tc>
              <w:tc>
                <w:tcPr>
                  <w:tcW w:w="473" w:type="pct"/>
                  <w:noWrap w:val="0"/>
                  <w:vAlign w:val="center"/>
                </w:tcPr>
                <w:p w14:paraId="4D1478A8">
                  <w:pPr>
                    <w:jc w:val="center"/>
                    <w:textAlignment w:val="center"/>
                    <w:rPr>
                      <w:rFonts w:hint="eastAsia"/>
                      <w:color w:val="auto"/>
                      <w:sz w:val="21"/>
                      <w:szCs w:val="21"/>
                      <w:lang w:val="en-US" w:eastAsia="zh-CN"/>
                    </w:rPr>
                  </w:pPr>
                  <w:r>
                    <w:rPr>
                      <w:rFonts w:hint="eastAsia"/>
                      <w:color w:val="auto"/>
                      <w:sz w:val="21"/>
                      <w:szCs w:val="21"/>
                      <w:lang w:val="en-US" w:eastAsia="zh-CN"/>
                    </w:rPr>
                    <w:t>-8/-8/1</w:t>
                  </w:r>
                </w:p>
              </w:tc>
              <w:tc>
                <w:tcPr>
                  <w:tcW w:w="420" w:type="pct"/>
                  <w:shd w:val="clear" w:color="auto" w:fill="auto"/>
                  <w:noWrap w:val="0"/>
                  <w:vAlign w:val="center"/>
                </w:tcPr>
                <w:p w14:paraId="7DE3A227">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3FECF2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68.0 </w:t>
                  </w:r>
                </w:p>
              </w:tc>
              <w:tc>
                <w:tcPr>
                  <w:tcW w:w="283" w:type="pct"/>
                  <w:vMerge w:val="continue"/>
                  <w:noWrap w:val="0"/>
                  <w:vAlign w:val="center"/>
                </w:tcPr>
                <w:p w14:paraId="44FB0FE8">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7533157">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06C6D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48.0 </w:t>
                  </w:r>
                </w:p>
              </w:tc>
              <w:tc>
                <w:tcPr>
                  <w:tcW w:w="611" w:type="pct"/>
                  <w:tcBorders>
                    <w:top w:val="single" w:color="auto" w:sz="4" w:space="0"/>
                    <w:bottom w:val="single" w:color="auto" w:sz="4" w:space="0"/>
                  </w:tcBorders>
                  <w:noWrap/>
                  <w:tcMar>
                    <w:top w:w="15" w:type="dxa"/>
                    <w:left w:w="15" w:type="dxa"/>
                    <w:right w:w="15" w:type="dxa"/>
                  </w:tcMar>
                  <w:vAlign w:val="center"/>
                </w:tcPr>
                <w:p w14:paraId="51EA0263">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1B8E2943">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3195A3C">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540C7C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冷水机</w:t>
                  </w:r>
                </w:p>
              </w:tc>
              <w:tc>
                <w:tcPr>
                  <w:tcW w:w="425" w:type="pct"/>
                  <w:shd w:val="clear" w:color="auto" w:fill="auto"/>
                  <w:noWrap w:val="0"/>
                  <w:vAlign w:val="center"/>
                </w:tcPr>
                <w:p w14:paraId="3E29643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80.0 </w:t>
                  </w:r>
                </w:p>
              </w:tc>
              <w:tc>
                <w:tcPr>
                  <w:tcW w:w="149" w:type="pct"/>
                  <w:vMerge w:val="continue"/>
                  <w:noWrap w:val="0"/>
                  <w:vAlign w:val="center"/>
                </w:tcPr>
                <w:p w14:paraId="659C0ADB">
                  <w:pPr>
                    <w:jc w:val="center"/>
                    <w:textAlignment w:val="center"/>
                    <w:rPr>
                      <w:color w:val="auto"/>
                      <w:sz w:val="21"/>
                      <w:szCs w:val="21"/>
                    </w:rPr>
                  </w:pPr>
                </w:p>
              </w:tc>
              <w:tc>
                <w:tcPr>
                  <w:tcW w:w="473" w:type="pct"/>
                  <w:noWrap w:val="0"/>
                  <w:vAlign w:val="center"/>
                </w:tcPr>
                <w:p w14:paraId="5EE40880">
                  <w:pPr>
                    <w:jc w:val="center"/>
                    <w:textAlignment w:val="center"/>
                    <w:rPr>
                      <w:rFonts w:hint="eastAsia"/>
                      <w:color w:val="auto"/>
                      <w:sz w:val="21"/>
                      <w:szCs w:val="21"/>
                      <w:lang w:val="en-US" w:eastAsia="zh-CN"/>
                    </w:rPr>
                  </w:pPr>
                  <w:r>
                    <w:rPr>
                      <w:rFonts w:hint="eastAsia"/>
                      <w:color w:val="auto"/>
                      <w:sz w:val="21"/>
                      <w:szCs w:val="21"/>
                      <w:lang w:val="en-US" w:eastAsia="zh-CN"/>
                    </w:rPr>
                    <w:t>12/6/2</w:t>
                  </w:r>
                </w:p>
              </w:tc>
              <w:tc>
                <w:tcPr>
                  <w:tcW w:w="420" w:type="pct"/>
                  <w:shd w:val="clear" w:color="auto" w:fill="auto"/>
                  <w:noWrap w:val="0"/>
                  <w:vAlign w:val="center"/>
                </w:tcPr>
                <w:p w14:paraId="7968A7C4">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2EF141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283" w:type="pct"/>
                  <w:vMerge w:val="continue"/>
                  <w:noWrap w:val="0"/>
                  <w:vAlign w:val="center"/>
                </w:tcPr>
                <w:p w14:paraId="5181666E">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16ABFD15">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2D9B5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40.0 </w:t>
                  </w:r>
                </w:p>
              </w:tc>
              <w:tc>
                <w:tcPr>
                  <w:tcW w:w="611" w:type="pct"/>
                  <w:tcBorders>
                    <w:top w:val="single" w:color="auto" w:sz="4" w:space="0"/>
                    <w:bottom w:val="single" w:color="auto" w:sz="4" w:space="0"/>
                  </w:tcBorders>
                  <w:noWrap/>
                  <w:tcMar>
                    <w:top w:w="15" w:type="dxa"/>
                    <w:left w:w="15" w:type="dxa"/>
                    <w:right w:w="15" w:type="dxa"/>
                  </w:tcMar>
                  <w:vAlign w:val="center"/>
                </w:tcPr>
                <w:p w14:paraId="580F6647">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640C177D">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8128031">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92EA7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真空包装机</w:t>
                  </w:r>
                </w:p>
              </w:tc>
              <w:tc>
                <w:tcPr>
                  <w:tcW w:w="425" w:type="pct"/>
                  <w:shd w:val="clear" w:color="auto" w:fill="auto"/>
                  <w:noWrap w:val="0"/>
                  <w:vAlign w:val="center"/>
                </w:tcPr>
                <w:p w14:paraId="4ED41A4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211D9424">
                  <w:pPr>
                    <w:jc w:val="center"/>
                    <w:textAlignment w:val="center"/>
                    <w:rPr>
                      <w:color w:val="auto"/>
                      <w:sz w:val="21"/>
                      <w:szCs w:val="21"/>
                    </w:rPr>
                  </w:pPr>
                </w:p>
              </w:tc>
              <w:tc>
                <w:tcPr>
                  <w:tcW w:w="473" w:type="pct"/>
                  <w:noWrap w:val="0"/>
                  <w:vAlign w:val="center"/>
                </w:tcPr>
                <w:p w14:paraId="03AE954C">
                  <w:pPr>
                    <w:jc w:val="center"/>
                    <w:textAlignment w:val="center"/>
                    <w:rPr>
                      <w:rFonts w:hint="eastAsia"/>
                      <w:color w:val="auto"/>
                      <w:sz w:val="21"/>
                      <w:szCs w:val="21"/>
                      <w:lang w:val="en-US" w:eastAsia="zh-CN"/>
                    </w:rPr>
                  </w:pPr>
                  <w:r>
                    <w:rPr>
                      <w:rFonts w:hint="eastAsia"/>
                      <w:color w:val="auto"/>
                      <w:sz w:val="21"/>
                      <w:szCs w:val="21"/>
                      <w:lang w:val="en-US" w:eastAsia="zh-CN"/>
                    </w:rPr>
                    <w:t>-10/-8/1</w:t>
                  </w:r>
                </w:p>
              </w:tc>
              <w:tc>
                <w:tcPr>
                  <w:tcW w:w="420" w:type="pct"/>
                  <w:shd w:val="clear" w:color="auto" w:fill="auto"/>
                  <w:noWrap w:val="0"/>
                  <w:vAlign w:val="center"/>
                </w:tcPr>
                <w:p w14:paraId="2188687E">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62" w:type="pct"/>
                  <w:shd w:val="clear" w:color="auto" w:fill="auto"/>
                  <w:noWrap/>
                  <w:tcMar>
                    <w:top w:w="15" w:type="dxa"/>
                    <w:left w:w="15" w:type="dxa"/>
                    <w:right w:w="15" w:type="dxa"/>
                  </w:tcMar>
                  <w:vAlign w:val="center"/>
                </w:tcPr>
                <w:p w14:paraId="089AA4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46.5 </w:t>
                  </w:r>
                </w:p>
              </w:tc>
              <w:tc>
                <w:tcPr>
                  <w:tcW w:w="283" w:type="pct"/>
                  <w:vMerge w:val="continue"/>
                  <w:noWrap w:val="0"/>
                  <w:vAlign w:val="center"/>
                </w:tcPr>
                <w:p w14:paraId="0150646B">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F662BE8">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382BA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26.5 </w:t>
                  </w:r>
                </w:p>
              </w:tc>
              <w:tc>
                <w:tcPr>
                  <w:tcW w:w="611" w:type="pct"/>
                  <w:tcBorders>
                    <w:top w:val="single" w:color="auto" w:sz="4" w:space="0"/>
                    <w:bottom w:val="single" w:color="auto" w:sz="4" w:space="0"/>
                  </w:tcBorders>
                  <w:noWrap/>
                  <w:tcMar>
                    <w:top w:w="15" w:type="dxa"/>
                    <w:left w:w="15" w:type="dxa"/>
                    <w:right w:w="15" w:type="dxa"/>
                  </w:tcMar>
                  <w:vAlign w:val="center"/>
                </w:tcPr>
                <w:p w14:paraId="0C7DCBF7">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50261F50">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74F9926F">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B19DC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烘靴机</w:t>
                  </w:r>
                </w:p>
              </w:tc>
              <w:tc>
                <w:tcPr>
                  <w:tcW w:w="425" w:type="pct"/>
                  <w:shd w:val="clear" w:color="auto" w:fill="auto"/>
                  <w:noWrap w:val="0"/>
                  <w:vAlign w:val="center"/>
                </w:tcPr>
                <w:p w14:paraId="46DE435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69.8 </w:t>
                  </w:r>
                </w:p>
              </w:tc>
              <w:tc>
                <w:tcPr>
                  <w:tcW w:w="149" w:type="pct"/>
                  <w:vMerge w:val="continue"/>
                  <w:noWrap w:val="0"/>
                  <w:vAlign w:val="center"/>
                </w:tcPr>
                <w:p w14:paraId="11300E86">
                  <w:pPr>
                    <w:jc w:val="center"/>
                    <w:textAlignment w:val="center"/>
                    <w:rPr>
                      <w:color w:val="auto"/>
                      <w:sz w:val="21"/>
                      <w:szCs w:val="21"/>
                    </w:rPr>
                  </w:pPr>
                </w:p>
              </w:tc>
              <w:tc>
                <w:tcPr>
                  <w:tcW w:w="473" w:type="pct"/>
                  <w:noWrap w:val="0"/>
                  <w:vAlign w:val="center"/>
                </w:tcPr>
                <w:p w14:paraId="6EF1A7A2">
                  <w:pPr>
                    <w:jc w:val="center"/>
                    <w:textAlignment w:val="center"/>
                    <w:rPr>
                      <w:rFonts w:hint="eastAsia"/>
                      <w:color w:val="auto"/>
                      <w:sz w:val="21"/>
                      <w:szCs w:val="21"/>
                      <w:lang w:val="en-US" w:eastAsia="zh-CN"/>
                    </w:rPr>
                  </w:pPr>
                  <w:r>
                    <w:rPr>
                      <w:rFonts w:hint="eastAsia"/>
                      <w:color w:val="auto"/>
                      <w:sz w:val="21"/>
                      <w:szCs w:val="21"/>
                      <w:lang w:val="en-US" w:eastAsia="zh-CN"/>
                    </w:rPr>
                    <w:t>6/6/2</w:t>
                  </w:r>
                </w:p>
              </w:tc>
              <w:tc>
                <w:tcPr>
                  <w:tcW w:w="420" w:type="pct"/>
                  <w:shd w:val="clear" w:color="auto" w:fill="auto"/>
                  <w:noWrap w:val="0"/>
                  <w:vAlign w:val="center"/>
                </w:tcPr>
                <w:p w14:paraId="41CDA49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681A70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49.8 </w:t>
                  </w:r>
                </w:p>
              </w:tc>
              <w:tc>
                <w:tcPr>
                  <w:tcW w:w="283" w:type="pct"/>
                  <w:vMerge w:val="continue"/>
                  <w:noWrap w:val="0"/>
                  <w:vAlign w:val="center"/>
                </w:tcPr>
                <w:p w14:paraId="53E63D22">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660A0925">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47698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29.8 </w:t>
                  </w:r>
                </w:p>
              </w:tc>
              <w:tc>
                <w:tcPr>
                  <w:tcW w:w="611" w:type="pct"/>
                  <w:tcBorders>
                    <w:top w:val="single" w:color="auto" w:sz="4" w:space="0"/>
                    <w:bottom w:val="single" w:color="auto" w:sz="4" w:space="0"/>
                  </w:tcBorders>
                  <w:noWrap/>
                  <w:tcMar>
                    <w:top w:w="15" w:type="dxa"/>
                    <w:left w:w="15" w:type="dxa"/>
                    <w:right w:w="15" w:type="dxa"/>
                  </w:tcMar>
                  <w:vAlign w:val="center"/>
                </w:tcPr>
                <w:p w14:paraId="0B34FA9C">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33384595">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511CB53">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CB440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沁园净水机</w:t>
                  </w:r>
                </w:p>
              </w:tc>
              <w:tc>
                <w:tcPr>
                  <w:tcW w:w="425" w:type="pct"/>
                  <w:shd w:val="clear" w:color="auto" w:fill="auto"/>
                  <w:noWrap w:val="0"/>
                  <w:vAlign w:val="center"/>
                </w:tcPr>
                <w:p w14:paraId="09787E6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69.8 </w:t>
                  </w:r>
                </w:p>
              </w:tc>
              <w:tc>
                <w:tcPr>
                  <w:tcW w:w="149" w:type="pct"/>
                  <w:vMerge w:val="continue"/>
                  <w:noWrap w:val="0"/>
                  <w:vAlign w:val="center"/>
                </w:tcPr>
                <w:p w14:paraId="415A7EB9">
                  <w:pPr>
                    <w:jc w:val="center"/>
                    <w:textAlignment w:val="center"/>
                    <w:rPr>
                      <w:color w:val="auto"/>
                      <w:sz w:val="21"/>
                      <w:szCs w:val="21"/>
                    </w:rPr>
                  </w:pPr>
                </w:p>
              </w:tc>
              <w:tc>
                <w:tcPr>
                  <w:tcW w:w="473" w:type="pct"/>
                  <w:noWrap w:val="0"/>
                  <w:vAlign w:val="center"/>
                </w:tcPr>
                <w:p w14:paraId="537D0831">
                  <w:pPr>
                    <w:jc w:val="center"/>
                    <w:textAlignment w:val="center"/>
                    <w:rPr>
                      <w:rFonts w:hint="eastAsia"/>
                      <w:color w:val="auto"/>
                      <w:sz w:val="21"/>
                      <w:szCs w:val="21"/>
                      <w:lang w:val="en-US" w:eastAsia="zh-CN"/>
                    </w:rPr>
                  </w:pPr>
                  <w:r>
                    <w:rPr>
                      <w:rFonts w:hint="eastAsia"/>
                      <w:color w:val="auto"/>
                      <w:sz w:val="21"/>
                      <w:szCs w:val="21"/>
                      <w:lang w:val="en-US" w:eastAsia="zh-CN"/>
                    </w:rPr>
                    <w:t>-10/-8/1</w:t>
                  </w:r>
                </w:p>
              </w:tc>
              <w:tc>
                <w:tcPr>
                  <w:tcW w:w="420" w:type="pct"/>
                  <w:shd w:val="clear" w:color="auto" w:fill="auto"/>
                  <w:noWrap w:val="0"/>
                  <w:vAlign w:val="center"/>
                </w:tcPr>
                <w:p w14:paraId="3646ACDB">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62" w:type="pct"/>
                  <w:shd w:val="clear" w:color="auto" w:fill="auto"/>
                  <w:noWrap/>
                  <w:tcMar>
                    <w:top w:w="15" w:type="dxa"/>
                    <w:left w:w="15" w:type="dxa"/>
                    <w:right w:w="15" w:type="dxa"/>
                  </w:tcMar>
                  <w:vAlign w:val="center"/>
                </w:tcPr>
                <w:p w14:paraId="2EF858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48.9 </w:t>
                  </w:r>
                </w:p>
              </w:tc>
              <w:tc>
                <w:tcPr>
                  <w:tcW w:w="283" w:type="pct"/>
                  <w:vMerge w:val="continue"/>
                  <w:noWrap w:val="0"/>
                  <w:vAlign w:val="center"/>
                </w:tcPr>
                <w:p w14:paraId="36649AA5">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61EDBD30">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0F70A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28.9 </w:t>
                  </w:r>
                </w:p>
              </w:tc>
              <w:tc>
                <w:tcPr>
                  <w:tcW w:w="611" w:type="pct"/>
                  <w:tcBorders>
                    <w:top w:val="single" w:color="auto" w:sz="4" w:space="0"/>
                    <w:bottom w:val="single" w:color="auto" w:sz="4" w:space="0"/>
                  </w:tcBorders>
                  <w:noWrap/>
                  <w:tcMar>
                    <w:top w:w="15" w:type="dxa"/>
                    <w:left w:w="15" w:type="dxa"/>
                    <w:right w:w="15" w:type="dxa"/>
                  </w:tcMar>
                  <w:vAlign w:val="center"/>
                </w:tcPr>
                <w:p w14:paraId="6715A2F2">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449E656A">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2E95AC7">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1F3C2D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全自动软水设备</w:t>
                  </w:r>
                </w:p>
              </w:tc>
              <w:tc>
                <w:tcPr>
                  <w:tcW w:w="425" w:type="pct"/>
                  <w:shd w:val="clear" w:color="auto" w:fill="auto"/>
                  <w:noWrap w:val="0"/>
                  <w:vAlign w:val="center"/>
                </w:tcPr>
                <w:p w14:paraId="1B5D8F8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604FDA25">
                  <w:pPr>
                    <w:jc w:val="center"/>
                    <w:textAlignment w:val="center"/>
                    <w:rPr>
                      <w:color w:val="auto"/>
                      <w:sz w:val="21"/>
                      <w:szCs w:val="21"/>
                    </w:rPr>
                  </w:pPr>
                </w:p>
              </w:tc>
              <w:tc>
                <w:tcPr>
                  <w:tcW w:w="473" w:type="pct"/>
                  <w:noWrap w:val="0"/>
                  <w:vAlign w:val="center"/>
                </w:tcPr>
                <w:p w14:paraId="1CC4CE03">
                  <w:pPr>
                    <w:jc w:val="center"/>
                    <w:textAlignment w:val="center"/>
                    <w:rPr>
                      <w:rFonts w:hint="eastAsia"/>
                      <w:color w:val="auto"/>
                      <w:sz w:val="21"/>
                      <w:szCs w:val="21"/>
                      <w:lang w:val="en-US" w:eastAsia="zh-CN"/>
                    </w:rPr>
                  </w:pPr>
                  <w:r>
                    <w:rPr>
                      <w:rFonts w:hint="eastAsia"/>
                      <w:color w:val="auto"/>
                      <w:sz w:val="21"/>
                      <w:szCs w:val="21"/>
                      <w:lang w:val="en-US" w:eastAsia="zh-CN"/>
                    </w:rPr>
                    <w:t>7/6/2</w:t>
                  </w:r>
                </w:p>
              </w:tc>
              <w:tc>
                <w:tcPr>
                  <w:tcW w:w="420" w:type="pct"/>
                  <w:shd w:val="clear" w:color="auto" w:fill="auto"/>
                  <w:noWrap w:val="0"/>
                  <w:vAlign w:val="center"/>
                </w:tcPr>
                <w:p w14:paraId="0F2DC3F8">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70A8D9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53.0 </w:t>
                  </w:r>
                </w:p>
              </w:tc>
              <w:tc>
                <w:tcPr>
                  <w:tcW w:w="283" w:type="pct"/>
                  <w:vMerge w:val="continue"/>
                  <w:noWrap w:val="0"/>
                  <w:vAlign w:val="center"/>
                </w:tcPr>
                <w:p w14:paraId="799E7786">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59DE6092">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360EF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33.0 </w:t>
                  </w:r>
                </w:p>
              </w:tc>
              <w:tc>
                <w:tcPr>
                  <w:tcW w:w="611" w:type="pct"/>
                  <w:tcBorders>
                    <w:top w:val="single" w:color="auto" w:sz="4" w:space="0"/>
                    <w:bottom w:val="single" w:color="auto" w:sz="4" w:space="0"/>
                  </w:tcBorders>
                  <w:noWrap/>
                  <w:tcMar>
                    <w:top w:w="15" w:type="dxa"/>
                    <w:left w:w="15" w:type="dxa"/>
                    <w:right w:w="15" w:type="dxa"/>
                  </w:tcMar>
                  <w:vAlign w:val="center"/>
                </w:tcPr>
                <w:p w14:paraId="5C248537">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63238B48">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B120254">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5AA00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反渗透设备</w:t>
                  </w:r>
                </w:p>
              </w:tc>
              <w:tc>
                <w:tcPr>
                  <w:tcW w:w="425" w:type="pct"/>
                  <w:shd w:val="clear" w:color="auto" w:fill="auto"/>
                  <w:noWrap w:val="0"/>
                  <w:vAlign w:val="center"/>
                </w:tcPr>
                <w:p w14:paraId="69F7BBB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32E715F5">
                  <w:pPr>
                    <w:jc w:val="center"/>
                    <w:textAlignment w:val="center"/>
                    <w:rPr>
                      <w:color w:val="auto"/>
                      <w:sz w:val="21"/>
                      <w:szCs w:val="21"/>
                    </w:rPr>
                  </w:pPr>
                </w:p>
              </w:tc>
              <w:tc>
                <w:tcPr>
                  <w:tcW w:w="473" w:type="pct"/>
                  <w:noWrap w:val="0"/>
                  <w:vAlign w:val="center"/>
                </w:tcPr>
                <w:p w14:paraId="30BB1CD2">
                  <w:pPr>
                    <w:jc w:val="center"/>
                    <w:textAlignment w:val="center"/>
                    <w:rPr>
                      <w:rFonts w:hint="eastAsia"/>
                      <w:color w:val="auto"/>
                      <w:sz w:val="21"/>
                      <w:szCs w:val="21"/>
                      <w:lang w:val="en-US" w:eastAsia="zh-CN"/>
                    </w:rPr>
                  </w:pPr>
                  <w:r>
                    <w:rPr>
                      <w:rFonts w:hint="eastAsia"/>
                      <w:color w:val="auto"/>
                      <w:sz w:val="21"/>
                      <w:szCs w:val="21"/>
                      <w:lang w:val="en-US" w:eastAsia="zh-CN"/>
                    </w:rPr>
                    <w:t>-10/8/1</w:t>
                  </w:r>
                </w:p>
              </w:tc>
              <w:tc>
                <w:tcPr>
                  <w:tcW w:w="420" w:type="pct"/>
                  <w:shd w:val="clear" w:color="auto" w:fill="auto"/>
                  <w:noWrap w:val="0"/>
                  <w:vAlign w:val="center"/>
                </w:tcPr>
                <w:p w14:paraId="55291812">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2DB2EC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53.0 </w:t>
                  </w:r>
                </w:p>
              </w:tc>
              <w:tc>
                <w:tcPr>
                  <w:tcW w:w="283" w:type="pct"/>
                  <w:vMerge w:val="continue"/>
                  <w:noWrap w:val="0"/>
                  <w:vAlign w:val="center"/>
                </w:tcPr>
                <w:p w14:paraId="1A7B3C08">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5DA43889">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4B607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33.0 </w:t>
                  </w:r>
                </w:p>
              </w:tc>
              <w:tc>
                <w:tcPr>
                  <w:tcW w:w="611" w:type="pct"/>
                  <w:tcBorders>
                    <w:top w:val="single" w:color="auto" w:sz="4" w:space="0"/>
                    <w:bottom w:val="single" w:color="auto" w:sz="4" w:space="0"/>
                  </w:tcBorders>
                  <w:noWrap/>
                  <w:tcMar>
                    <w:top w:w="15" w:type="dxa"/>
                    <w:left w:w="15" w:type="dxa"/>
                    <w:right w:w="15" w:type="dxa"/>
                  </w:tcMar>
                  <w:vAlign w:val="center"/>
                </w:tcPr>
                <w:p w14:paraId="6C8BB490">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393DFA59">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2337CE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924C8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静电油烟净化装置</w:t>
                  </w:r>
                </w:p>
              </w:tc>
              <w:tc>
                <w:tcPr>
                  <w:tcW w:w="425" w:type="pct"/>
                  <w:shd w:val="clear" w:color="auto" w:fill="auto"/>
                  <w:noWrap w:val="0"/>
                  <w:vAlign w:val="center"/>
                </w:tcPr>
                <w:p w14:paraId="5A8D482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94.0 </w:t>
                  </w:r>
                </w:p>
              </w:tc>
              <w:tc>
                <w:tcPr>
                  <w:tcW w:w="149" w:type="pct"/>
                  <w:vMerge w:val="continue"/>
                  <w:noWrap w:val="0"/>
                  <w:vAlign w:val="center"/>
                </w:tcPr>
                <w:p w14:paraId="05B1C302">
                  <w:pPr>
                    <w:jc w:val="center"/>
                    <w:textAlignment w:val="center"/>
                    <w:rPr>
                      <w:color w:val="auto"/>
                      <w:sz w:val="21"/>
                      <w:szCs w:val="21"/>
                    </w:rPr>
                  </w:pPr>
                </w:p>
              </w:tc>
              <w:tc>
                <w:tcPr>
                  <w:tcW w:w="473" w:type="pct"/>
                  <w:noWrap w:val="0"/>
                  <w:vAlign w:val="center"/>
                </w:tcPr>
                <w:p w14:paraId="79B0DDEC">
                  <w:pPr>
                    <w:jc w:val="center"/>
                    <w:textAlignment w:val="center"/>
                    <w:rPr>
                      <w:rFonts w:hint="eastAsia"/>
                      <w:color w:val="auto"/>
                      <w:sz w:val="21"/>
                      <w:szCs w:val="21"/>
                      <w:lang w:val="en-US" w:eastAsia="zh-CN"/>
                    </w:rPr>
                  </w:pPr>
                  <w:r>
                    <w:rPr>
                      <w:rFonts w:hint="eastAsia"/>
                      <w:color w:val="auto"/>
                      <w:sz w:val="21"/>
                      <w:szCs w:val="21"/>
                      <w:lang w:val="en-US" w:eastAsia="zh-CN"/>
                    </w:rPr>
                    <w:t>-6/6/2</w:t>
                  </w:r>
                </w:p>
              </w:tc>
              <w:tc>
                <w:tcPr>
                  <w:tcW w:w="420" w:type="pct"/>
                  <w:shd w:val="clear" w:color="auto" w:fill="auto"/>
                  <w:noWrap w:val="0"/>
                  <w:vAlign w:val="center"/>
                </w:tcPr>
                <w:p w14:paraId="40FF3BB4">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4150EB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74.0 </w:t>
                  </w:r>
                </w:p>
              </w:tc>
              <w:tc>
                <w:tcPr>
                  <w:tcW w:w="283" w:type="pct"/>
                  <w:vMerge w:val="continue"/>
                  <w:noWrap w:val="0"/>
                  <w:vAlign w:val="center"/>
                </w:tcPr>
                <w:p w14:paraId="21D8C9FD">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3C3A38A6">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AA5F6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54.0 </w:t>
                  </w:r>
                </w:p>
              </w:tc>
              <w:tc>
                <w:tcPr>
                  <w:tcW w:w="611" w:type="pct"/>
                  <w:tcBorders>
                    <w:top w:val="single" w:color="auto" w:sz="4" w:space="0"/>
                    <w:bottom w:val="single" w:color="auto" w:sz="4" w:space="0"/>
                  </w:tcBorders>
                  <w:noWrap/>
                  <w:tcMar>
                    <w:top w:w="15" w:type="dxa"/>
                    <w:left w:w="15" w:type="dxa"/>
                    <w:right w:w="15" w:type="dxa"/>
                  </w:tcMar>
                  <w:vAlign w:val="center"/>
                </w:tcPr>
                <w:p w14:paraId="377ED876">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09B9F39A">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975ED2E">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1A3713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燃气锅炉</w:t>
                  </w:r>
                </w:p>
              </w:tc>
              <w:tc>
                <w:tcPr>
                  <w:tcW w:w="425" w:type="pct"/>
                  <w:shd w:val="clear" w:color="auto" w:fill="auto"/>
                  <w:noWrap w:val="0"/>
                  <w:vAlign w:val="center"/>
                </w:tcPr>
                <w:p w14:paraId="60EBEB0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149" w:type="pct"/>
                  <w:vMerge w:val="continue"/>
                  <w:noWrap w:val="0"/>
                  <w:vAlign w:val="center"/>
                </w:tcPr>
                <w:p w14:paraId="22747C16">
                  <w:pPr>
                    <w:jc w:val="center"/>
                    <w:textAlignment w:val="center"/>
                    <w:rPr>
                      <w:color w:val="auto"/>
                      <w:sz w:val="21"/>
                      <w:szCs w:val="21"/>
                    </w:rPr>
                  </w:pPr>
                </w:p>
              </w:tc>
              <w:tc>
                <w:tcPr>
                  <w:tcW w:w="473" w:type="pct"/>
                  <w:noWrap w:val="0"/>
                  <w:vAlign w:val="center"/>
                </w:tcPr>
                <w:p w14:paraId="24816A79">
                  <w:pPr>
                    <w:jc w:val="center"/>
                    <w:textAlignment w:val="center"/>
                    <w:rPr>
                      <w:rFonts w:hint="eastAsia"/>
                      <w:color w:val="auto"/>
                      <w:sz w:val="21"/>
                      <w:szCs w:val="21"/>
                      <w:lang w:val="en-US" w:eastAsia="zh-CN"/>
                    </w:rPr>
                  </w:pPr>
                  <w:r>
                    <w:rPr>
                      <w:rFonts w:hint="eastAsia"/>
                      <w:color w:val="auto"/>
                      <w:sz w:val="21"/>
                      <w:szCs w:val="21"/>
                      <w:lang w:val="en-US" w:eastAsia="zh-CN"/>
                    </w:rPr>
                    <w:t>-10/-8/1</w:t>
                  </w:r>
                </w:p>
              </w:tc>
              <w:tc>
                <w:tcPr>
                  <w:tcW w:w="420" w:type="pct"/>
                  <w:shd w:val="clear" w:color="auto" w:fill="auto"/>
                  <w:noWrap w:val="0"/>
                  <w:vAlign w:val="center"/>
                </w:tcPr>
                <w:p w14:paraId="3795F067">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76A5D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58.0 </w:t>
                  </w:r>
                </w:p>
              </w:tc>
              <w:tc>
                <w:tcPr>
                  <w:tcW w:w="283" w:type="pct"/>
                  <w:vMerge w:val="continue"/>
                  <w:noWrap w:val="0"/>
                  <w:vAlign w:val="center"/>
                </w:tcPr>
                <w:p w14:paraId="5719DF36">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62B3A20A">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313D3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611" w:type="pct"/>
                  <w:tcBorders>
                    <w:top w:val="single" w:color="auto" w:sz="4" w:space="0"/>
                    <w:bottom w:val="single" w:color="auto" w:sz="4" w:space="0"/>
                  </w:tcBorders>
                  <w:noWrap/>
                  <w:tcMar>
                    <w:top w:w="15" w:type="dxa"/>
                    <w:left w:w="15" w:type="dxa"/>
                    <w:right w:w="15" w:type="dxa"/>
                  </w:tcMar>
                  <w:vAlign w:val="center"/>
                </w:tcPr>
                <w:p w14:paraId="1FB09E71">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0C738B6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restart"/>
                  <w:shd w:val="clear" w:color="auto" w:fill="auto"/>
                  <w:noWrap w:val="0"/>
                  <w:vAlign w:val="center"/>
                </w:tcPr>
                <w:p w14:paraId="25B84354">
                  <w:pPr>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2号预制菜车间</w:t>
                  </w:r>
                </w:p>
                <w:p w14:paraId="3A82948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56781F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切肉机</w:t>
                  </w:r>
                </w:p>
              </w:tc>
              <w:tc>
                <w:tcPr>
                  <w:tcW w:w="425" w:type="pct"/>
                  <w:shd w:val="clear" w:color="auto" w:fill="auto"/>
                  <w:noWrap w:val="0"/>
                  <w:vAlign w:val="center"/>
                </w:tcPr>
                <w:p w14:paraId="5C777630">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05C876A6">
                  <w:pPr>
                    <w:jc w:val="center"/>
                    <w:textAlignment w:val="center"/>
                    <w:rPr>
                      <w:color w:val="auto"/>
                      <w:sz w:val="21"/>
                      <w:szCs w:val="21"/>
                    </w:rPr>
                  </w:pPr>
                </w:p>
              </w:tc>
              <w:tc>
                <w:tcPr>
                  <w:tcW w:w="473" w:type="pct"/>
                  <w:shd w:val="clear" w:color="auto" w:fill="auto"/>
                  <w:noWrap w:val="0"/>
                  <w:vAlign w:val="center"/>
                </w:tcPr>
                <w:p w14:paraId="52D98F3C">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15/10/1</w:t>
                  </w:r>
                </w:p>
              </w:tc>
              <w:tc>
                <w:tcPr>
                  <w:tcW w:w="420" w:type="pct"/>
                  <w:shd w:val="clear" w:color="auto" w:fill="auto"/>
                  <w:noWrap w:val="0"/>
                  <w:vAlign w:val="center"/>
                </w:tcPr>
                <w:p w14:paraId="05BC3D4B">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62" w:type="pct"/>
                  <w:shd w:val="clear" w:color="auto" w:fill="auto"/>
                  <w:noWrap/>
                  <w:tcMar>
                    <w:top w:w="15" w:type="dxa"/>
                    <w:left w:w="15" w:type="dxa"/>
                    <w:right w:w="15" w:type="dxa"/>
                  </w:tcMar>
                  <w:vAlign w:val="center"/>
                </w:tcPr>
                <w:p w14:paraId="643A8C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64.5 </w:t>
                  </w:r>
                </w:p>
              </w:tc>
              <w:tc>
                <w:tcPr>
                  <w:tcW w:w="283" w:type="pct"/>
                  <w:vMerge w:val="continue"/>
                  <w:noWrap w:val="0"/>
                  <w:vAlign w:val="center"/>
                </w:tcPr>
                <w:p w14:paraId="6999FE55">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7A9AF49C">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FB334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44.5 </w:t>
                  </w:r>
                </w:p>
              </w:tc>
              <w:tc>
                <w:tcPr>
                  <w:tcW w:w="611" w:type="pct"/>
                  <w:tcBorders>
                    <w:top w:val="single" w:color="auto" w:sz="4" w:space="0"/>
                    <w:bottom w:val="single" w:color="auto" w:sz="4" w:space="0"/>
                  </w:tcBorders>
                  <w:noWrap/>
                  <w:tcMar>
                    <w:top w:w="15" w:type="dxa"/>
                    <w:left w:w="15" w:type="dxa"/>
                    <w:right w:w="15" w:type="dxa"/>
                  </w:tcMar>
                  <w:vAlign w:val="center"/>
                </w:tcPr>
                <w:p w14:paraId="389F28A9">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28A58985">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223D447">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1CE47B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绞肉机</w:t>
                  </w:r>
                </w:p>
              </w:tc>
              <w:tc>
                <w:tcPr>
                  <w:tcW w:w="425" w:type="pct"/>
                  <w:shd w:val="clear" w:color="auto" w:fill="auto"/>
                  <w:noWrap w:val="0"/>
                  <w:vAlign w:val="center"/>
                </w:tcPr>
                <w:p w14:paraId="1DA2EBC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4281DC4E">
                  <w:pPr>
                    <w:jc w:val="center"/>
                    <w:textAlignment w:val="center"/>
                    <w:rPr>
                      <w:color w:val="auto"/>
                      <w:sz w:val="21"/>
                      <w:szCs w:val="21"/>
                    </w:rPr>
                  </w:pPr>
                </w:p>
              </w:tc>
              <w:tc>
                <w:tcPr>
                  <w:tcW w:w="473" w:type="pct"/>
                  <w:shd w:val="clear" w:color="auto" w:fill="auto"/>
                  <w:noWrap w:val="0"/>
                  <w:vAlign w:val="center"/>
                </w:tcPr>
                <w:p w14:paraId="37DF4056">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20/8/1</w:t>
                  </w:r>
                </w:p>
              </w:tc>
              <w:tc>
                <w:tcPr>
                  <w:tcW w:w="420" w:type="pct"/>
                  <w:shd w:val="clear" w:color="auto" w:fill="auto"/>
                  <w:noWrap w:val="0"/>
                  <w:vAlign w:val="center"/>
                </w:tcPr>
                <w:p w14:paraId="01CE3F2F">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62" w:type="pct"/>
                  <w:shd w:val="clear" w:color="auto" w:fill="auto"/>
                  <w:noWrap/>
                  <w:tcMar>
                    <w:top w:w="15" w:type="dxa"/>
                    <w:left w:w="15" w:type="dxa"/>
                    <w:right w:w="15" w:type="dxa"/>
                  </w:tcMar>
                  <w:vAlign w:val="center"/>
                </w:tcPr>
                <w:p w14:paraId="6B35C1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64.5 </w:t>
                  </w:r>
                </w:p>
              </w:tc>
              <w:tc>
                <w:tcPr>
                  <w:tcW w:w="283" w:type="pct"/>
                  <w:vMerge w:val="continue"/>
                  <w:noWrap w:val="0"/>
                  <w:vAlign w:val="center"/>
                </w:tcPr>
                <w:p w14:paraId="25E701BC">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3AB6F4D8">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E67AD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44.5 </w:t>
                  </w:r>
                </w:p>
              </w:tc>
              <w:tc>
                <w:tcPr>
                  <w:tcW w:w="611" w:type="pct"/>
                  <w:tcBorders>
                    <w:top w:val="single" w:color="auto" w:sz="4" w:space="0"/>
                    <w:bottom w:val="single" w:color="auto" w:sz="4" w:space="0"/>
                  </w:tcBorders>
                  <w:noWrap/>
                  <w:tcMar>
                    <w:top w:w="15" w:type="dxa"/>
                    <w:left w:w="15" w:type="dxa"/>
                    <w:right w:w="15" w:type="dxa"/>
                  </w:tcMar>
                  <w:vAlign w:val="center"/>
                </w:tcPr>
                <w:p w14:paraId="0E27AAA7">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578B8817">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2BFFBB2">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5FEA0C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伺服高速成型机</w:t>
                  </w:r>
                </w:p>
              </w:tc>
              <w:tc>
                <w:tcPr>
                  <w:tcW w:w="425" w:type="pct"/>
                  <w:shd w:val="clear" w:color="auto" w:fill="auto"/>
                  <w:noWrap w:val="0"/>
                  <w:vAlign w:val="center"/>
                </w:tcPr>
                <w:p w14:paraId="661744D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85.0 </w:t>
                  </w:r>
                </w:p>
              </w:tc>
              <w:tc>
                <w:tcPr>
                  <w:tcW w:w="149" w:type="pct"/>
                  <w:vMerge w:val="continue"/>
                  <w:noWrap w:val="0"/>
                  <w:vAlign w:val="center"/>
                </w:tcPr>
                <w:p w14:paraId="34CE7168">
                  <w:pPr>
                    <w:jc w:val="center"/>
                    <w:textAlignment w:val="center"/>
                    <w:rPr>
                      <w:color w:val="auto"/>
                      <w:sz w:val="21"/>
                      <w:szCs w:val="21"/>
                    </w:rPr>
                  </w:pPr>
                </w:p>
              </w:tc>
              <w:tc>
                <w:tcPr>
                  <w:tcW w:w="473" w:type="pct"/>
                  <w:shd w:val="clear" w:color="auto" w:fill="auto"/>
                  <w:noWrap w:val="0"/>
                  <w:vAlign w:val="center"/>
                </w:tcPr>
                <w:p w14:paraId="7E17F445">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-16/4/1</w:t>
                  </w:r>
                </w:p>
              </w:tc>
              <w:tc>
                <w:tcPr>
                  <w:tcW w:w="420" w:type="pct"/>
                  <w:shd w:val="clear" w:color="auto" w:fill="auto"/>
                  <w:noWrap w:val="0"/>
                  <w:vAlign w:val="center"/>
                </w:tcPr>
                <w:p w14:paraId="4E03614F">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62" w:type="pct"/>
                  <w:shd w:val="clear" w:color="auto" w:fill="auto"/>
                  <w:noWrap/>
                  <w:tcMar>
                    <w:top w:w="15" w:type="dxa"/>
                    <w:left w:w="15" w:type="dxa"/>
                    <w:right w:w="15" w:type="dxa"/>
                  </w:tcMar>
                  <w:vAlign w:val="center"/>
                </w:tcPr>
                <w:p w14:paraId="49C897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62.1 </w:t>
                  </w:r>
                </w:p>
              </w:tc>
              <w:tc>
                <w:tcPr>
                  <w:tcW w:w="283" w:type="pct"/>
                  <w:vMerge w:val="continue"/>
                  <w:noWrap w:val="0"/>
                  <w:vAlign w:val="center"/>
                </w:tcPr>
                <w:p w14:paraId="2E7CD4B6">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4FE5ACFB">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B7C10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42.1 </w:t>
                  </w:r>
                </w:p>
              </w:tc>
              <w:tc>
                <w:tcPr>
                  <w:tcW w:w="611" w:type="pct"/>
                  <w:tcBorders>
                    <w:top w:val="single" w:color="auto" w:sz="4" w:space="0"/>
                    <w:bottom w:val="single" w:color="auto" w:sz="4" w:space="0"/>
                  </w:tcBorders>
                  <w:noWrap/>
                  <w:tcMar>
                    <w:top w:w="15" w:type="dxa"/>
                    <w:left w:w="15" w:type="dxa"/>
                    <w:right w:w="15" w:type="dxa"/>
                  </w:tcMar>
                  <w:vAlign w:val="center"/>
                </w:tcPr>
                <w:p w14:paraId="7B8B9949">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78390866">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3A4EC45">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45F1C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ertAlign w:val="baseline"/>
                      <w:lang w:val="en-US" w:eastAsia="zh-CN"/>
                    </w:rPr>
                  </w:pPr>
                  <w:r>
                    <w:rPr>
                      <w:rFonts w:hint="eastAsia"/>
                      <w:color w:val="auto"/>
                      <w:vertAlign w:val="baseline"/>
                      <w:lang w:eastAsia="zh-CN"/>
                    </w:rPr>
                    <w:t>电蒸箱</w:t>
                  </w:r>
                </w:p>
              </w:tc>
              <w:tc>
                <w:tcPr>
                  <w:tcW w:w="425" w:type="pct"/>
                  <w:shd w:val="clear" w:color="auto" w:fill="auto"/>
                  <w:noWrap w:val="0"/>
                  <w:vAlign w:val="center"/>
                </w:tcPr>
                <w:p w14:paraId="4318116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91.0 </w:t>
                  </w:r>
                </w:p>
              </w:tc>
              <w:tc>
                <w:tcPr>
                  <w:tcW w:w="149" w:type="pct"/>
                  <w:vMerge w:val="continue"/>
                  <w:noWrap w:val="0"/>
                  <w:vAlign w:val="center"/>
                </w:tcPr>
                <w:p w14:paraId="72F7C97F">
                  <w:pPr>
                    <w:jc w:val="center"/>
                    <w:textAlignment w:val="center"/>
                    <w:rPr>
                      <w:color w:val="auto"/>
                      <w:sz w:val="21"/>
                      <w:szCs w:val="21"/>
                    </w:rPr>
                  </w:pPr>
                </w:p>
              </w:tc>
              <w:tc>
                <w:tcPr>
                  <w:tcW w:w="473" w:type="pct"/>
                  <w:shd w:val="clear" w:color="auto" w:fill="auto"/>
                  <w:noWrap w:val="0"/>
                  <w:vAlign w:val="center"/>
                </w:tcPr>
                <w:p w14:paraId="702252AE">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-18/8/1</w:t>
                  </w:r>
                </w:p>
              </w:tc>
              <w:tc>
                <w:tcPr>
                  <w:tcW w:w="420" w:type="pct"/>
                  <w:shd w:val="clear" w:color="auto" w:fill="auto"/>
                  <w:noWrap w:val="0"/>
                  <w:vAlign w:val="center"/>
                </w:tcPr>
                <w:p w14:paraId="04C447DA">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28078A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69.4 </w:t>
                  </w:r>
                </w:p>
              </w:tc>
              <w:tc>
                <w:tcPr>
                  <w:tcW w:w="283" w:type="pct"/>
                  <w:vMerge w:val="continue"/>
                  <w:noWrap w:val="0"/>
                  <w:vAlign w:val="center"/>
                </w:tcPr>
                <w:p w14:paraId="67A27AC6">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31C1681">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C4158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49.4 </w:t>
                  </w:r>
                </w:p>
              </w:tc>
              <w:tc>
                <w:tcPr>
                  <w:tcW w:w="611" w:type="pct"/>
                  <w:tcBorders>
                    <w:top w:val="single" w:color="auto" w:sz="4" w:space="0"/>
                    <w:bottom w:val="single" w:color="auto" w:sz="4" w:space="0"/>
                  </w:tcBorders>
                  <w:noWrap/>
                  <w:tcMar>
                    <w:top w:w="15" w:type="dxa"/>
                    <w:left w:w="15" w:type="dxa"/>
                    <w:right w:w="15" w:type="dxa"/>
                  </w:tcMar>
                  <w:vAlign w:val="center"/>
                </w:tcPr>
                <w:p w14:paraId="7F100556">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525EF913">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D991F43">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97944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负压式摊凉机</w:t>
                  </w:r>
                </w:p>
              </w:tc>
              <w:tc>
                <w:tcPr>
                  <w:tcW w:w="425" w:type="pct"/>
                  <w:shd w:val="clear" w:color="auto" w:fill="auto"/>
                  <w:noWrap w:val="0"/>
                  <w:vAlign w:val="center"/>
                </w:tcPr>
                <w:p w14:paraId="0A09472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91.0 </w:t>
                  </w:r>
                </w:p>
              </w:tc>
              <w:tc>
                <w:tcPr>
                  <w:tcW w:w="149" w:type="pct"/>
                  <w:vMerge w:val="continue"/>
                  <w:noWrap w:val="0"/>
                  <w:vAlign w:val="center"/>
                </w:tcPr>
                <w:p w14:paraId="5AB2C817">
                  <w:pPr>
                    <w:jc w:val="center"/>
                    <w:textAlignment w:val="center"/>
                    <w:rPr>
                      <w:color w:val="auto"/>
                      <w:sz w:val="21"/>
                      <w:szCs w:val="21"/>
                    </w:rPr>
                  </w:pPr>
                </w:p>
              </w:tc>
              <w:tc>
                <w:tcPr>
                  <w:tcW w:w="473" w:type="pct"/>
                  <w:shd w:val="clear" w:color="auto" w:fill="auto"/>
                  <w:noWrap w:val="0"/>
                  <w:vAlign w:val="center"/>
                </w:tcPr>
                <w:p w14:paraId="68917D20">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14/8/1</w:t>
                  </w:r>
                </w:p>
              </w:tc>
              <w:tc>
                <w:tcPr>
                  <w:tcW w:w="420" w:type="pct"/>
                  <w:shd w:val="clear" w:color="auto" w:fill="auto"/>
                  <w:noWrap w:val="0"/>
                  <w:vAlign w:val="center"/>
                </w:tcPr>
                <w:p w14:paraId="02746DFB">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62" w:type="pct"/>
                  <w:shd w:val="clear" w:color="auto" w:fill="auto"/>
                  <w:noWrap/>
                  <w:tcMar>
                    <w:top w:w="15" w:type="dxa"/>
                    <w:left w:w="15" w:type="dxa"/>
                    <w:right w:w="15" w:type="dxa"/>
                  </w:tcMar>
                  <w:vAlign w:val="center"/>
                </w:tcPr>
                <w:p w14:paraId="1F161D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68.7 </w:t>
                  </w:r>
                </w:p>
              </w:tc>
              <w:tc>
                <w:tcPr>
                  <w:tcW w:w="283" w:type="pct"/>
                  <w:vMerge w:val="continue"/>
                  <w:noWrap w:val="0"/>
                  <w:vAlign w:val="center"/>
                </w:tcPr>
                <w:p w14:paraId="0DA1B817">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310C59ED">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63393E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48.7 </w:t>
                  </w:r>
                </w:p>
              </w:tc>
              <w:tc>
                <w:tcPr>
                  <w:tcW w:w="611" w:type="pct"/>
                  <w:tcBorders>
                    <w:top w:val="single" w:color="auto" w:sz="4" w:space="0"/>
                    <w:bottom w:val="single" w:color="auto" w:sz="4" w:space="0"/>
                  </w:tcBorders>
                  <w:noWrap/>
                  <w:tcMar>
                    <w:top w:w="15" w:type="dxa"/>
                    <w:left w:w="15" w:type="dxa"/>
                    <w:right w:w="15" w:type="dxa"/>
                  </w:tcMar>
                  <w:vAlign w:val="center"/>
                </w:tcPr>
                <w:p w14:paraId="273BFBE1">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7E6C2188">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0D33F88">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4B93A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清洗机</w:t>
                  </w:r>
                </w:p>
              </w:tc>
              <w:tc>
                <w:tcPr>
                  <w:tcW w:w="425" w:type="pct"/>
                  <w:shd w:val="clear" w:color="auto" w:fill="auto"/>
                  <w:noWrap w:val="0"/>
                  <w:vAlign w:val="center"/>
                </w:tcPr>
                <w:p w14:paraId="354DE8A1">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712C0EB9">
                  <w:pPr>
                    <w:jc w:val="center"/>
                    <w:textAlignment w:val="center"/>
                    <w:rPr>
                      <w:color w:val="auto"/>
                      <w:sz w:val="21"/>
                      <w:szCs w:val="21"/>
                    </w:rPr>
                  </w:pPr>
                </w:p>
              </w:tc>
              <w:tc>
                <w:tcPr>
                  <w:tcW w:w="473" w:type="pct"/>
                  <w:shd w:val="clear" w:color="auto" w:fill="auto"/>
                  <w:noWrap w:val="0"/>
                  <w:vAlign w:val="center"/>
                </w:tcPr>
                <w:p w14:paraId="3AECC9D2">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-15/6/1</w:t>
                  </w:r>
                </w:p>
              </w:tc>
              <w:tc>
                <w:tcPr>
                  <w:tcW w:w="420" w:type="pct"/>
                  <w:shd w:val="clear" w:color="auto" w:fill="auto"/>
                  <w:noWrap w:val="0"/>
                  <w:vAlign w:val="center"/>
                </w:tcPr>
                <w:p w14:paraId="086ADDEB">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2F6EFC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51.4 </w:t>
                  </w:r>
                </w:p>
              </w:tc>
              <w:tc>
                <w:tcPr>
                  <w:tcW w:w="283" w:type="pct"/>
                  <w:vMerge w:val="continue"/>
                  <w:noWrap w:val="0"/>
                  <w:vAlign w:val="center"/>
                </w:tcPr>
                <w:p w14:paraId="6A405C9B">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3DC64026">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B9E45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31.4 </w:t>
                  </w:r>
                </w:p>
              </w:tc>
              <w:tc>
                <w:tcPr>
                  <w:tcW w:w="611" w:type="pct"/>
                  <w:tcBorders>
                    <w:top w:val="single" w:color="auto" w:sz="4" w:space="0"/>
                    <w:bottom w:val="single" w:color="auto" w:sz="4" w:space="0"/>
                  </w:tcBorders>
                  <w:noWrap/>
                  <w:tcMar>
                    <w:top w:w="15" w:type="dxa"/>
                    <w:left w:w="15" w:type="dxa"/>
                    <w:right w:w="15" w:type="dxa"/>
                  </w:tcMar>
                  <w:vAlign w:val="center"/>
                </w:tcPr>
                <w:p w14:paraId="0BED8295">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49E6BC42">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75B601D">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5F08CD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紫外线消毒杀菌设备</w:t>
                  </w:r>
                </w:p>
              </w:tc>
              <w:tc>
                <w:tcPr>
                  <w:tcW w:w="425" w:type="pct"/>
                  <w:shd w:val="clear" w:color="auto" w:fill="auto"/>
                  <w:noWrap w:val="0"/>
                  <w:vAlign w:val="center"/>
                </w:tcPr>
                <w:p w14:paraId="4DFF991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70660066">
                  <w:pPr>
                    <w:jc w:val="center"/>
                    <w:textAlignment w:val="center"/>
                    <w:rPr>
                      <w:color w:val="auto"/>
                      <w:sz w:val="21"/>
                      <w:szCs w:val="21"/>
                    </w:rPr>
                  </w:pPr>
                </w:p>
              </w:tc>
              <w:tc>
                <w:tcPr>
                  <w:tcW w:w="473" w:type="pct"/>
                  <w:shd w:val="clear" w:color="auto" w:fill="auto"/>
                  <w:noWrap w:val="0"/>
                  <w:vAlign w:val="center"/>
                </w:tcPr>
                <w:p w14:paraId="0BD5887A">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61E717C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0AE16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53.0 </w:t>
                  </w:r>
                </w:p>
              </w:tc>
              <w:tc>
                <w:tcPr>
                  <w:tcW w:w="283" w:type="pct"/>
                  <w:vMerge w:val="continue"/>
                  <w:noWrap w:val="0"/>
                  <w:vAlign w:val="center"/>
                </w:tcPr>
                <w:p w14:paraId="37E8014A">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3F564572">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3C9C9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33.0 </w:t>
                  </w:r>
                </w:p>
              </w:tc>
              <w:tc>
                <w:tcPr>
                  <w:tcW w:w="611" w:type="pct"/>
                  <w:tcBorders>
                    <w:top w:val="single" w:color="auto" w:sz="4" w:space="0"/>
                    <w:bottom w:val="single" w:color="auto" w:sz="4" w:space="0"/>
                  </w:tcBorders>
                  <w:noWrap/>
                  <w:tcMar>
                    <w:top w:w="15" w:type="dxa"/>
                    <w:left w:w="15" w:type="dxa"/>
                    <w:right w:w="15" w:type="dxa"/>
                  </w:tcMar>
                  <w:vAlign w:val="center"/>
                </w:tcPr>
                <w:p w14:paraId="23A06F20">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7FDBB00B">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350B426">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70D63B2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成品输送线</w:t>
                  </w:r>
                </w:p>
              </w:tc>
              <w:tc>
                <w:tcPr>
                  <w:tcW w:w="425" w:type="pct"/>
                  <w:shd w:val="clear" w:color="auto" w:fill="auto"/>
                  <w:noWrap w:val="0"/>
                  <w:vAlign w:val="center"/>
                </w:tcPr>
                <w:p w14:paraId="38B1E9B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86.0 </w:t>
                  </w:r>
                </w:p>
              </w:tc>
              <w:tc>
                <w:tcPr>
                  <w:tcW w:w="149" w:type="pct"/>
                  <w:vMerge w:val="continue"/>
                  <w:noWrap w:val="0"/>
                  <w:vAlign w:val="center"/>
                </w:tcPr>
                <w:p w14:paraId="5DE4AA7A">
                  <w:pPr>
                    <w:jc w:val="center"/>
                    <w:textAlignment w:val="center"/>
                    <w:rPr>
                      <w:color w:val="auto"/>
                      <w:sz w:val="21"/>
                      <w:szCs w:val="21"/>
                    </w:rPr>
                  </w:pPr>
                </w:p>
              </w:tc>
              <w:tc>
                <w:tcPr>
                  <w:tcW w:w="473" w:type="pct"/>
                  <w:shd w:val="clear" w:color="auto" w:fill="auto"/>
                  <w:noWrap w:val="0"/>
                  <w:vAlign w:val="center"/>
                </w:tcPr>
                <w:p w14:paraId="307F0B9A">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611177A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327348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66.0 </w:t>
                  </w:r>
                </w:p>
              </w:tc>
              <w:tc>
                <w:tcPr>
                  <w:tcW w:w="283" w:type="pct"/>
                  <w:vMerge w:val="continue"/>
                  <w:noWrap w:val="0"/>
                  <w:vAlign w:val="center"/>
                </w:tcPr>
                <w:p w14:paraId="6D592E86">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172FE09">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E033D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46.0 </w:t>
                  </w:r>
                </w:p>
              </w:tc>
              <w:tc>
                <w:tcPr>
                  <w:tcW w:w="611" w:type="pct"/>
                  <w:tcBorders>
                    <w:top w:val="single" w:color="auto" w:sz="4" w:space="0"/>
                    <w:bottom w:val="single" w:color="auto" w:sz="4" w:space="0"/>
                  </w:tcBorders>
                  <w:noWrap/>
                  <w:tcMar>
                    <w:top w:w="15" w:type="dxa"/>
                    <w:left w:w="15" w:type="dxa"/>
                    <w:right w:w="15" w:type="dxa"/>
                  </w:tcMar>
                  <w:vAlign w:val="center"/>
                </w:tcPr>
                <w:p w14:paraId="5260495A">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509C4D7F">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57D318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23008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片冰机</w:t>
                  </w:r>
                </w:p>
              </w:tc>
              <w:tc>
                <w:tcPr>
                  <w:tcW w:w="425" w:type="pct"/>
                  <w:shd w:val="clear" w:color="auto" w:fill="auto"/>
                  <w:noWrap w:val="0"/>
                  <w:vAlign w:val="center"/>
                </w:tcPr>
                <w:p w14:paraId="57DFA22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75.0 </w:t>
                  </w:r>
                </w:p>
              </w:tc>
              <w:tc>
                <w:tcPr>
                  <w:tcW w:w="149" w:type="pct"/>
                  <w:vMerge w:val="continue"/>
                  <w:noWrap w:val="0"/>
                  <w:vAlign w:val="center"/>
                </w:tcPr>
                <w:p w14:paraId="21570FB2">
                  <w:pPr>
                    <w:jc w:val="center"/>
                    <w:textAlignment w:val="center"/>
                    <w:rPr>
                      <w:color w:val="auto"/>
                      <w:sz w:val="21"/>
                      <w:szCs w:val="21"/>
                    </w:rPr>
                  </w:pPr>
                </w:p>
              </w:tc>
              <w:tc>
                <w:tcPr>
                  <w:tcW w:w="473" w:type="pct"/>
                  <w:shd w:val="clear" w:color="auto" w:fill="auto"/>
                  <w:noWrap w:val="0"/>
                  <w:vAlign w:val="center"/>
                </w:tcPr>
                <w:p w14:paraId="4BEA4E3A">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6A2599BE">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1AE06B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55.0 </w:t>
                  </w:r>
                </w:p>
              </w:tc>
              <w:tc>
                <w:tcPr>
                  <w:tcW w:w="283" w:type="pct"/>
                  <w:vMerge w:val="continue"/>
                  <w:noWrap w:val="0"/>
                  <w:vAlign w:val="center"/>
                </w:tcPr>
                <w:p w14:paraId="1831ADE6">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4F64BA90">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6C2BA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35.0 </w:t>
                  </w:r>
                </w:p>
              </w:tc>
              <w:tc>
                <w:tcPr>
                  <w:tcW w:w="611" w:type="pct"/>
                  <w:tcBorders>
                    <w:top w:val="single" w:color="auto" w:sz="4" w:space="0"/>
                    <w:bottom w:val="single" w:color="auto" w:sz="4" w:space="0"/>
                  </w:tcBorders>
                  <w:noWrap/>
                  <w:tcMar>
                    <w:top w:w="15" w:type="dxa"/>
                    <w:left w:w="15" w:type="dxa"/>
                    <w:right w:w="15" w:type="dxa"/>
                  </w:tcMar>
                  <w:vAlign w:val="center"/>
                </w:tcPr>
                <w:p w14:paraId="344594FD">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3422E634">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9DA288C">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52AF5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冷水机</w:t>
                  </w:r>
                </w:p>
              </w:tc>
              <w:tc>
                <w:tcPr>
                  <w:tcW w:w="425" w:type="pct"/>
                  <w:shd w:val="clear" w:color="auto" w:fill="auto"/>
                  <w:noWrap w:val="0"/>
                  <w:vAlign w:val="center"/>
                </w:tcPr>
                <w:p w14:paraId="274FABD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149" w:type="pct"/>
                  <w:vMerge w:val="continue"/>
                  <w:noWrap w:val="0"/>
                  <w:vAlign w:val="center"/>
                </w:tcPr>
                <w:p w14:paraId="677373F4">
                  <w:pPr>
                    <w:jc w:val="center"/>
                    <w:textAlignment w:val="center"/>
                    <w:rPr>
                      <w:color w:val="auto"/>
                      <w:sz w:val="21"/>
                      <w:szCs w:val="21"/>
                    </w:rPr>
                  </w:pPr>
                </w:p>
              </w:tc>
              <w:tc>
                <w:tcPr>
                  <w:tcW w:w="473" w:type="pct"/>
                  <w:shd w:val="clear" w:color="auto" w:fill="auto"/>
                  <w:noWrap w:val="0"/>
                  <w:vAlign w:val="center"/>
                </w:tcPr>
                <w:p w14:paraId="54BC9B65">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439A9FB8">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671F82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58.0 </w:t>
                  </w:r>
                </w:p>
              </w:tc>
              <w:tc>
                <w:tcPr>
                  <w:tcW w:w="283" w:type="pct"/>
                  <w:vMerge w:val="continue"/>
                  <w:noWrap w:val="0"/>
                  <w:vAlign w:val="center"/>
                </w:tcPr>
                <w:p w14:paraId="482210A8">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64A7D4CF">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31220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611" w:type="pct"/>
                  <w:tcBorders>
                    <w:top w:val="single" w:color="auto" w:sz="4" w:space="0"/>
                    <w:bottom w:val="single" w:color="auto" w:sz="4" w:space="0"/>
                  </w:tcBorders>
                  <w:noWrap/>
                  <w:tcMar>
                    <w:top w:w="15" w:type="dxa"/>
                    <w:left w:w="15" w:type="dxa"/>
                    <w:right w:w="15" w:type="dxa"/>
                  </w:tcMar>
                  <w:vAlign w:val="center"/>
                </w:tcPr>
                <w:p w14:paraId="365EF391">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512DFE5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6605042">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2F253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真空包装机</w:t>
                  </w:r>
                </w:p>
              </w:tc>
              <w:tc>
                <w:tcPr>
                  <w:tcW w:w="425" w:type="pct"/>
                  <w:shd w:val="clear" w:color="auto" w:fill="auto"/>
                  <w:noWrap w:val="0"/>
                  <w:vAlign w:val="center"/>
                </w:tcPr>
                <w:p w14:paraId="18B5054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83.0 </w:t>
                  </w:r>
                </w:p>
              </w:tc>
              <w:tc>
                <w:tcPr>
                  <w:tcW w:w="149" w:type="pct"/>
                  <w:vMerge w:val="continue"/>
                  <w:noWrap w:val="0"/>
                  <w:vAlign w:val="center"/>
                </w:tcPr>
                <w:p w14:paraId="0EF5E742">
                  <w:pPr>
                    <w:jc w:val="center"/>
                    <w:textAlignment w:val="center"/>
                    <w:rPr>
                      <w:color w:val="auto"/>
                      <w:sz w:val="21"/>
                      <w:szCs w:val="21"/>
                    </w:rPr>
                  </w:pPr>
                </w:p>
              </w:tc>
              <w:tc>
                <w:tcPr>
                  <w:tcW w:w="473" w:type="pct"/>
                  <w:shd w:val="clear" w:color="auto" w:fill="auto"/>
                  <w:noWrap w:val="0"/>
                  <w:vAlign w:val="center"/>
                </w:tcPr>
                <w:p w14:paraId="43B444B4">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686FAB04">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7FC937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63.0 </w:t>
                  </w:r>
                </w:p>
              </w:tc>
              <w:tc>
                <w:tcPr>
                  <w:tcW w:w="283" w:type="pct"/>
                  <w:vMerge w:val="continue"/>
                  <w:noWrap w:val="0"/>
                  <w:vAlign w:val="center"/>
                </w:tcPr>
                <w:p w14:paraId="15B5406C">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399D37C1">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723A1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43.0 </w:t>
                  </w:r>
                </w:p>
              </w:tc>
              <w:tc>
                <w:tcPr>
                  <w:tcW w:w="611" w:type="pct"/>
                  <w:tcBorders>
                    <w:top w:val="single" w:color="auto" w:sz="4" w:space="0"/>
                    <w:bottom w:val="single" w:color="auto" w:sz="4" w:space="0"/>
                  </w:tcBorders>
                  <w:noWrap/>
                  <w:tcMar>
                    <w:top w:w="15" w:type="dxa"/>
                    <w:left w:w="15" w:type="dxa"/>
                    <w:right w:w="15" w:type="dxa"/>
                  </w:tcMar>
                  <w:vAlign w:val="center"/>
                </w:tcPr>
                <w:p w14:paraId="4BC68A64">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636E145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4C0F255">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228C62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烘靴机</w:t>
                  </w:r>
                </w:p>
              </w:tc>
              <w:tc>
                <w:tcPr>
                  <w:tcW w:w="425" w:type="pct"/>
                  <w:shd w:val="clear" w:color="auto" w:fill="auto"/>
                  <w:noWrap w:val="0"/>
                  <w:vAlign w:val="center"/>
                </w:tcPr>
                <w:p w14:paraId="0B48048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74.0 </w:t>
                  </w:r>
                </w:p>
              </w:tc>
              <w:tc>
                <w:tcPr>
                  <w:tcW w:w="149" w:type="pct"/>
                  <w:vMerge w:val="continue"/>
                  <w:noWrap w:val="0"/>
                  <w:vAlign w:val="center"/>
                </w:tcPr>
                <w:p w14:paraId="1E2C091C">
                  <w:pPr>
                    <w:jc w:val="center"/>
                    <w:textAlignment w:val="center"/>
                    <w:rPr>
                      <w:color w:val="auto"/>
                      <w:sz w:val="21"/>
                      <w:szCs w:val="21"/>
                    </w:rPr>
                  </w:pPr>
                </w:p>
              </w:tc>
              <w:tc>
                <w:tcPr>
                  <w:tcW w:w="473" w:type="pct"/>
                  <w:shd w:val="clear" w:color="auto" w:fill="auto"/>
                  <w:noWrap w:val="0"/>
                  <w:vAlign w:val="center"/>
                </w:tcPr>
                <w:p w14:paraId="7F4159E5">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75C1078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5A313F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52.4 </w:t>
                  </w:r>
                </w:p>
              </w:tc>
              <w:tc>
                <w:tcPr>
                  <w:tcW w:w="283" w:type="pct"/>
                  <w:vMerge w:val="continue"/>
                  <w:noWrap w:val="0"/>
                  <w:vAlign w:val="center"/>
                </w:tcPr>
                <w:p w14:paraId="6F5FE0FF">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69170FFA">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AB23D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32.4 </w:t>
                  </w:r>
                </w:p>
              </w:tc>
              <w:tc>
                <w:tcPr>
                  <w:tcW w:w="611" w:type="pct"/>
                  <w:tcBorders>
                    <w:top w:val="single" w:color="auto" w:sz="4" w:space="0"/>
                    <w:bottom w:val="single" w:color="auto" w:sz="4" w:space="0"/>
                  </w:tcBorders>
                  <w:noWrap/>
                  <w:tcMar>
                    <w:top w:w="15" w:type="dxa"/>
                    <w:left w:w="15" w:type="dxa"/>
                    <w:right w:w="15" w:type="dxa"/>
                  </w:tcMar>
                  <w:vAlign w:val="center"/>
                </w:tcPr>
                <w:p w14:paraId="63C1AA62">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7D2ABDB4">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781007A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4ABF7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沁园净水机</w:t>
                  </w:r>
                </w:p>
              </w:tc>
              <w:tc>
                <w:tcPr>
                  <w:tcW w:w="425" w:type="pct"/>
                  <w:shd w:val="clear" w:color="auto" w:fill="auto"/>
                  <w:noWrap w:val="0"/>
                  <w:vAlign w:val="center"/>
                </w:tcPr>
                <w:p w14:paraId="79F522D1">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71D3E7FF">
                  <w:pPr>
                    <w:jc w:val="center"/>
                    <w:textAlignment w:val="center"/>
                    <w:rPr>
                      <w:color w:val="auto"/>
                      <w:sz w:val="21"/>
                      <w:szCs w:val="21"/>
                    </w:rPr>
                  </w:pPr>
                </w:p>
              </w:tc>
              <w:tc>
                <w:tcPr>
                  <w:tcW w:w="473" w:type="pct"/>
                  <w:shd w:val="clear" w:color="auto" w:fill="auto"/>
                  <w:noWrap w:val="0"/>
                  <w:vAlign w:val="center"/>
                </w:tcPr>
                <w:p w14:paraId="290CF458">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-8/-8/1</w:t>
                  </w:r>
                </w:p>
              </w:tc>
              <w:tc>
                <w:tcPr>
                  <w:tcW w:w="420" w:type="pct"/>
                  <w:shd w:val="clear" w:color="auto" w:fill="auto"/>
                  <w:noWrap w:val="0"/>
                  <w:vAlign w:val="center"/>
                </w:tcPr>
                <w:p w14:paraId="787581B7">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6CBBC7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53.0 </w:t>
                  </w:r>
                </w:p>
              </w:tc>
              <w:tc>
                <w:tcPr>
                  <w:tcW w:w="283" w:type="pct"/>
                  <w:vMerge w:val="continue"/>
                  <w:noWrap w:val="0"/>
                  <w:vAlign w:val="center"/>
                </w:tcPr>
                <w:p w14:paraId="49435634">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678D1202">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97BE7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33.0 </w:t>
                  </w:r>
                </w:p>
              </w:tc>
              <w:tc>
                <w:tcPr>
                  <w:tcW w:w="611" w:type="pct"/>
                  <w:tcBorders>
                    <w:top w:val="single" w:color="auto" w:sz="4" w:space="0"/>
                    <w:bottom w:val="single" w:color="auto" w:sz="4" w:space="0"/>
                  </w:tcBorders>
                  <w:noWrap/>
                  <w:tcMar>
                    <w:top w:w="15" w:type="dxa"/>
                    <w:left w:w="15" w:type="dxa"/>
                    <w:right w:w="15" w:type="dxa"/>
                  </w:tcMar>
                  <w:vAlign w:val="center"/>
                </w:tcPr>
                <w:p w14:paraId="5D52827E">
                  <w:pPr>
                    <w:widowControl/>
                    <w:jc w:val="center"/>
                    <w:textAlignment w:val="center"/>
                    <w:rPr>
                      <w:rFonts w:hint="eastAsia"/>
                      <w:color w:val="auto"/>
                      <w:kern w:val="0"/>
                      <w:sz w:val="21"/>
                      <w:szCs w:val="21"/>
                      <w:lang w:bidi="ar"/>
                    </w:rPr>
                  </w:pPr>
                  <w:r>
                    <w:rPr>
                      <w:rFonts w:hint="eastAsia"/>
                      <w:color w:val="auto"/>
                      <w:kern w:val="0"/>
                      <w:sz w:val="21"/>
                      <w:szCs w:val="21"/>
                      <w:lang w:val="en-US" w:eastAsia="zh-CN" w:bidi="ar"/>
                    </w:rPr>
                    <w:t>1</w:t>
                  </w:r>
                </w:p>
              </w:tc>
            </w:tr>
            <w:tr w14:paraId="4FB5AC64">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7AB659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1ADDC7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纯水机</w:t>
                  </w:r>
                </w:p>
              </w:tc>
              <w:tc>
                <w:tcPr>
                  <w:tcW w:w="425" w:type="pct"/>
                  <w:shd w:val="clear" w:color="auto" w:fill="auto"/>
                  <w:noWrap w:val="0"/>
                  <w:vAlign w:val="center"/>
                </w:tcPr>
                <w:p w14:paraId="0F94B6E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7C868804">
                  <w:pPr>
                    <w:jc w:val="center"/>
                    <w:textAlignment w:val="center"/>
                    <w:rPr>
                      <w:color w:val="auto"/>
                      <w:sz w:val="21"/>
                      <w:szCs w:val="21"/>
                    </w:rPr>
                  </w:pPr>
                </w:p>
              </w:tc>
              <w:tc>
                <w:tcPr>
                  <w:tcW w:w="473" w:type="pct"/>
                  <w:shd w:val="clear" w:color="auto" w:fill="auto"/>
                  <w:noWrap w:val="0"/>
                  <w:vAlign w:val="center"/>
                </w:tcPr>
                <w:p w14:paraId="2057EAF5">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64ADF7E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5A4C86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283" w:type="pct"/>
                  <w:vMerge w:val="continue"/>
                  <w:noWrap w:val="0"/>
                  <w:vAlign w:val="center"/>
                </w:tcPr>
                <w:p w14:paraId="551AFF98">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0EDF450C">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C72EE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611" w:type="pct"/>
                  <w:tcBorders>
                    <w:top w:val="single" w:color="auto" w:sz="4" w:space="0"/>
                    <w:bottom w:val="single" w:color="auto" w:sz="4" w:space="0"/>
                  </w:tcBorders>
                  <w:noWrap/>
                  <w:tcMar>
                    <w:top w:w="15" w:type="dxa"/>
                    <w:left w:w="15" w:type="dxa"/>
                    <w:right w:w="15" w:type="dxa"/>
                  </w:tcMar>
                  <w:vAlign w:val="center"/>
                </w:tcPr>
                <w:p w14:paraId="4C418F15">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r w14:paraId="6342CEBF">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restart"/>
                  <w:noWrap w:val="0"/>
                  <w:vAlign w:val="center"/>
                </w:tcPr>
                <w:p w14:paraId="5B4D25E6">
                  <w:pPr>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3号预制菜车间</w:t>
                  </w:r>
                </w:p>
                <w:p w14:paraId="66214EA3">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B1014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olor w:val="auto"/>
                      <w:vertAlign w:val="baseline"/>
                      <w:lang w:eastAsia="zh-CN"/>
                    </w:rPr>
                    <w:t>电蒸箱</w:t>
                  </w:r>
                </w:p>
              </w:tc>
              <w:tc>
                <w:tcPr>
                  <w:tcW w:w="425" w:type="pct"/>
                  <w:shd w:val="clear" w:color="auto" w:fill="auto"/>
                  <w:noWrap w:val="0"/>
                  <w:vAlign w:val="center"/>
                </w:tcPr>
                <w:p w14:paraId="4860B2D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7632B0CC">
                  <w:pPr>
                    <w:jc w:val="center"/>
                    <w:textAlignment w:val="center"/>
                    <w:rPr>
                      <w:color w:val="auto"/>
                      <w:sz w:val="21"/>
                      <w:szCs w:val="21"/>
                    </w:rPr>
                  </w:pPr>
                </w:p>
              </w:tc>
              <w:tc>
                <w:tcPr>
                  <w:tcW w:w="473" w:type="pct"/>
                  <w:shd w:val="clear" w:color="auto" w:fill="auto"/>
                  <w:noWrap w:val="0"/>
                  <w:vAlign w:val="center"/>
                </w:tcPr>
                <w:p w14:paraId="58A6DCBD">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040A2D17">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62" w:type="pct"/>
                  <w:shd w:val="clear" w:color="auto" w:fill="auto"/>
                  <w:noWrap/>
                  <w:tcMar>
                    <w:top w:w="15" w:type="dxa"/>
                    <w:left w:w="15" w:type="dxa"/>
                    <w:right w:w="15" w:type="dxa"/>
                  </w:tcMar>
                  <w:vAlign w:val="center"/>
                </w:tcPr>
                <w:p w14:paraId="7AF48F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64.5 </w:t>
                  </w:r>
                </w:p>
              </w:tc>
              <w:tc>
                <w:tcPr>
                  <w:tcW w:w="283" w:type="pct"/>
                  <w:vMerge w:val="continue"/>
                  <w:noWrap w:val="0"/>
                  <w:vAlign w:val="center"/>
                </w:tcPr>
                <w:p w14:paraId="55B66082">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3C158DA9">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AF5C4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44.5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0B3D36B6">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217F401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CFAC5D3">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564BD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负压式摊凉机</w:t>
                  </w:r>
                </w:p>
              </w:tc>
              <w:tc>
                <w:tcPr>
                  <w:tcW w:w="425" w:type="pct"/>
                  <w:shd w:val="clear" w:color="auto" w:fill="auto"/>
                  <w:noWrap w:val="0"/>
                  <w:vAlign w:val="center"/>
                </w:tcPr>
                <w:p w14:paraId="0D3C9FE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62957C0E">
                  <w:pPr>
                    <w:jc w:val="center"/>
                    <w:textAlignment w:val="center"/>
                    <w:rPr>
                      <w:color w:val="auto"/>
                      <w:sz w:val="21"/>
                      <w:szCs w:val="21"/>
                    </w:rPr>
                  </w:pPr>
                </w:p>
              </w:tc>
              <w:tc>
                <w:tcPr>
                  <w:tcW w:w="473" w:type="pct"/>
                  <w:shd w:val="clear" w:color="auto" w:fill="auto"/>
                  <w:noWrap w:val="0"/>
                  <w:vAlign w:val="center"/>
                </w:tcPr>
                <w:p w14:paraId="28568F74">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6/6/2</w:t>
                  </w:r>
                </w:p>
              </w:tc>
              <w:tc>
                <w:tcPr>
                  <w:tcW w:w="420" w:type="pct"/>
                  <w:shd w:val="clear" w:color="auto" w:fill="auto"/>
                  <w:noWrap w:val="0"/>
                  <w:vAlign w:val="center"/>
                </w:tcPr>
                <w:p w14:paraId="77012825">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62" w:type="pct"/>
                  <w:shd w:val="clear" w:color="auto" w:fill="auto"/>
                  <w:noWrap/>
                  <w:tcMar>
                    <w:top w:w="15" w:type="dxa"/>
                    <w:left w:w="15" w:type="dxa"/>
                    <w:right w:w="15" w:type="dxa"/>
                  </w:tcMar>
                  <w:vAlign w:val="center"/>
                </w:tcPr>
                <w:p w14:paraId="0A4513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49.5 </w:t>
                  </w:r>
                </w:p>
              </w:tc>
              <w:tc>
                <w:tcPr>
                  <w:tcW w:w="283" w:type="pct"/>
                  <w:vMerge w:val="continue"/>
                  <w:noWrap w:val="0"/>
                  <w:vAlign w:val="center"/>
                </w:tcPr>
                <w:p w14:paraId="5CD11FA9">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072355CF">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668459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29.5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3B01A9A0">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1AC68C4D">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C94DC89">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7B12D3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紫外线消毒杀菌设备</w:t>
                  </w:r>
                </w:p>
              </w:tc>
              <w:tc>
                <w:tcPr>
                  <w:tcW w:w="425" w:type="pct"/>
                  <w:shd w:val="clear" w:color="auto" w:fill="auto"/>
                  <w:noWrap w:val="0"/>
                  <w:vAlign w:val="center"/>
                </w:tcPr>
                <w:p w14:paraId="2047531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07C31E0C">
                  <w:pPr>
                    <w:jc w:val="center"/>
                    <w:textAlignment w:val="center"/>
                    <w:rPr>
                      <w:color w:val="auto"/>
                      <w:sz w:val="21"/>
                      <w:szCs w:val="21"/>
                    </w:rPr>
                  </w:pPr>
                </w:p>
              </w:tc>
              <w:tc>
                <w:tcPr>
                  <w:tcW w:w="473" w:type="pct"/>
                  <w:shd w:val="clear" w:color="auto" w:fill="auto"/>
                  <w:noWrap w:val="0"/>
                  <w:vAlign w:val="center"/>
                </w:tcPr>
                <w:p w14:paraId="5DD53AE5">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04246166">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62" w:type="pct"/>
                  <w:shd w:val="clear" w:color="auto" w:fill="auto"/>
                  <w:noWrap/>
                  <w:tcMar>
                    <w:top w:w="15" w:type="dxa"/>
                    <w:left w:w="15" w:type="dxa"/>
                    <w:right w:w="15" w:type="dxa"/>
                  </w:tcMar>
                  <w:vAlign w:val="center"/>
                </w:tcPr>
                <w:p w14:paraId="5071A5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47.1 </w:t>
                  </w:r>
                </w:p>
              </w:tc>
              <w:tc>
                <w:tcPr>
                  <w:tcW w:w="283" w:type="pct"/>
                  <w:vMerge w:val="continue"/>
                  <w:noWrap w:val="0"/>
                  <w:vAlign w:val="center"/>
                </w:tcPr>
                <w:p w14:paraId="527A5BA4">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2AA186C8">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33B04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27.1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678A5D48">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7F71AB97">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0B3D83F">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2024A2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成品输送线</w:t>
                  </w:r>
                </w:p>
              </w:tc>
              <w:tc>
                <w:tcPr>
                  <w:tcW w:w="425" w:type="pct"/>
                  <w:shd w:val="clear" w:color="auto" w:fill="auto"/>
                  <w:noWrap w:val="0"/>
                  <w:vAlign w:val="center"/>
                </w:tcPr>
                <w:p w14:paraId="23C2E9A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86.0 </w:t>
                  </w:r>
                </w:p>
              </w:tc>
              <w:tc>
                <w:tcPr>
                  <w:tcW w:w="149" w:type="pct"/>
                  <w:vMerge w:val="continue"/>
                  <w:noWrap w:val="0"/>
                  <w:vAlign w:val="center"/>
                </w:tcPr>
                <w:p w14:paraId="70E018E9">
                  <w:pPr>
                    <w:jc w:val="center"/>
                    <w:textAlignment w:val="center"/>
                    <w:rPr>
                      <w:color w:val="auto"/>
                      <w:sz w:val="21"/>
                      <w:szCs w:val="21"/>
                    </w:rPr>
                  </w:pPr>
                </w:p>
              </w:tc>
              <w:tc>
                <w:tcPr>
                  <w:tcW w:w="473" w:type="pct"/>
                  <w:shd w:val="clear" w:color="auto" w:fill="auto"/>
                  <w:noWrap w:val="0"/>
                  <w:vAlign w:val="center"/>
                </w:tcPr>
                <w:p w14:paraId="09EF5A53">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7/6/2</w:t>
                  </w:r>
                </w:p>
              </w:tc>
              <w:tc>
                <w:tcPr>
                  <w:tcW w:w="420" w:type="pct"/>
                  <w:shd w:val="clear" w:color="auto" w:fill="auto"/>
                  <w:noWrap w:val="0"/>
                  <w:vAlign w:val="center"/>
                </w:tcPr>
                <w:p w14:paraId="4D719DE8">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2A4CC6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64.4 </w:t>
                  </w:r>
                </w:p>
              </w:tc>
              <w:tc>
                <w:tcPr>
                  <w:tcW w:w="283" w:type="pct"/>
                  <w:vMerge w:val="continue"/>
                  <w:noWrap w:val="0"/>
                  <w:vAlign w:val="center"/>
                </w:tcPr>
                <w:p w14:paraId="39B541FE">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169697DB">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2ECD9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44.4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59EEB010">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03636272">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4D30FD9">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776A57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片冰机</w:t>
                  </w:r>
                </w:p>
              </w:tc>
              <w:tc>
                <w:tcPr>
                  <w:tcW w:w="425" w:type="pct"/>
                  <w:shd w:val="clear" w:color="auto" w:fill="auto"/>
                  <w:noWrap w:val="0"/>
                  <w:vAlign w:val="center"/>
                </w:tcPr>
                <w:p w14:paraId="0107AC4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86.0 </w:t>
                  </w:r>
                </w:p>
              </w:tc>
              <w:tc>
                <w:tcPr>
                  <w:tcW w:w="149" w:type="pct"/>
                  <w:vMerge w:val="continue"/>
                  <w:noWrap w:val="0"/>
                  <w:vAlign w:val="center"/>
                </w:tcPr>
                <w:p w14:paraId="689C6329">
                  <w:pPr>
                    <w:jc w:val="center"/>
                    <w:textAlignment w:val="center"/>
                    <w:rPr>
                      <w:color w:val="auto"/>
                      <w:sz w:val="21"/>
                      <w:szCs w:val="21"/>
                    </w:rPr>
                  </w:pPr>
                </w:p>
              </w:tc>
              <w:tc>
                <w:tcPr>
                  <w:tcW w:w="473" w:type="pct"/>
                  <w:shd w:val="clear" w:color="auto" w:fill="auto"/>
                  <w:noWrap w:val="0"/>
                  <w:vAlign w:val="center"/>
                </w:tcPr>
                <w:p w14:paraId="1C862911">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3BEECD16">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62" w:type="pct"/>
                  <w:shd w:val="clear" w:color="auto" w:fill="auto"/>
                  <w:noWrap/>
                  <w:tcMar>
                    <w:top w:w="15" w:type="dxa"/>
                    <w:left w:w="15" w:type="dxa"/>
                    <w:right w:w="15" w:type="dxa"/>
                  </w:tcMar>
                  <w:vAlign w:val="center"/>
                </w:tcPr>
                <w:p w14:paraId="448D98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63.7 </w:t>
                  </w:r>
                </w:p>
              </w:tc>
              <w:tc>
                <w:tcPr>
                  <w:tcW w:w="283" w:type="pct"/>
                  <w:vMerge w:val="continue"/>
                  <w:noWrap w:val="0"/>
                  <w:vAlign w:val="center"/>
                </w:tcPr>
                <w:p w14:paraId="5E743E37">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3BD3D69E">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304F3D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43.7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2BA6F67B">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20DF9A1A">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7CD230DB">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D146E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冷水机</w:t>
                  </w:r>
                </w:p>
              </w:tc>
              <w:tc>
                <w:tcPr>
                  <w:tcW w:w="425" w:type="pct"/>
                  <w:shd w:val="clear" w:color="auto" w:fill="auto"/>
                  <w:noWrap w:val="0"/>
                  <w:vAlign w:val="center"/>
                </w:tcPr>
                <w:p w14:paraId="67BA45D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149" w:type="pct"/>
                  <w:vMerge w:val="continue"/>
                  <w:noWrap w:val="0"/>
                  <w:vAlign w:val="center"/>
                </w:tcPr>
                <w:p w14:paraId="1D09DE98">
                  <w:pPr>
                    <w:jc w:val="center"/>
                    <w:textAlignment w:val="center"/>
                    <w:rPr>
                      <w:color w:val="auto"/>
                      <w:sz w:val="21"/>
                      <w:szCs w:val="21"/>
                    </w:rPr>
                  </w:pPr>
                </w:p>
              </w:tc>
              <w:tc>
                <w:tcPr>
                  <w:tcW w:w="473" w:type="pct"/>
                  <w:shd w:val="clear" w:color="auto" w:fill="auto"/>
                  <w:noWrap w:val="0"/>
                  <w:vAlign w:val="center"/>
                </w:tcPr>
                <w:p w14:paraId="2C1B7C2F">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-6/6/2</w:t>
                  </w:r>
                </w:p>
              </w:tc>
              <w:tc>
                <w:tcPr>
                  <w:tcW w:w="420" w:type="pct"/>
                  <w:shd w:val="clear" w:color="auto" w:fill="auto"/>
                  <w:noWrap w:val="0"/>
                  <w:vAlign w:val="center"/>
                </w:tcPr>
                <w:p w14:paraId="00041F98">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33AE8E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56.4 </w:t>
                  </w:r>
                </w:p>
              </w:tc>
              <w:tc>
                <w:tcPr>
                  <w:tcW w:w="283" w:type="pct"/>
                  <w:vMerge w:val="continue"/>
                  <w:noWrap w:val="0"/>
                  <w:vAlign w:val="center"/>
                </w:tcPr>
                <w:p w14:paraId="40E5E0E8">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3749D461">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32AFFD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36.4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00CD8DFD">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24B0657A">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4847A5D">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6DD30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真空包装机</w:t>
                  </w:r>
                </w:p>
              </w:tc>
              <w:tc>
                <w:tcPr>
                  <w:tcW w:w="425" w:type="pct"/>
                  <w:shd w:val="clear" w:color="auto" w:fill="auto"/>
                  <w:noWrap w:val="0"/>
                  <w:vAlign w:val="center"/>
                </w:tcPr>
                <w:p w14:paraId="0328BF9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149" w:type="pct"/>
                  <w:vMerge w:val="continue"/>
                  <w:noWrap w:val="0"/>
                  <w:vAlign w:val="center"/>
                </w:tcPr>
                <w:p w14:paraId="21C5E181">
                  <w:pPr>
                    <w:jc w:val="center"/>
                    <w:textAlignment w:val="center"/>
                    <w:rPr>
                      <w:color w:val="auto"/>
                      <w:sz w:val="21"/>
                      <w:szCs w:val="21"/>
                    </w:rPr>
                  </w:pPr>
                </w:p>
              </w:tc>
              <w:tc>
                <w:tcPr>
                  <w:tcW w:w="473" w:type="pct"/>
                  <w:shd w:val="clear" w:color="auto" w:fill="auto"/>
                  <w:noWrap w:val="0"/>
                  <w:vAlign w:val="center"/>
                </w:tcPr>
                <w:p w14:paraId="31151913">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625DD9CB">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652D9F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58.0 </w:t>
                  </w:r>
                </w:p>
              </w:tc>
              <w:tc>
                <w:tcPr>
                  <w:tcW w:w="283" w:type="pct"/>
                  <w:vMerge w:val="continue"/>
                  <w:noWrap w:val="0"/>
                  <w:vAlign w:val="center"/>
                </w:tcPr>
                <w:p w14:paraId="0D37FEF9">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460776B0">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D6143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04210B07">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2FFD595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8265C64">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422BC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烘靴机</w:t>
                  </w:r>
                </w:p>
              </w:tc>
              <w:tc>
                <w:tcPr>
                  <w:tcW w:w="425" w:type="pct"/>
                  <w:shd w:val="clear" w:color="auto" w:fill="auto"/>
                  <w:noWrap w:val="0"/>
                  <w:vAlign w:val="center"/>
                </w:tcPr>
                <w:p w14:paraId="0EB255F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71.0 </w:t>
                  </w:r>
                </w:p>
              </w:tc>
              <w:tc>
                <w:tcPr>
                  <w:tcW w:w="149" w:type="pct"/>
                  <w:vMerge w:val="continue"/>
                  <w:noWrap w:val="0"/>
                  <w:vAlign w:val="center"/>
                </w:tcPr>
                <w:p w14:paraId="1103940F">
                  <w:pPr>
                    <w:jc w:val="center"/>
                    <w:textAlignment w:val="center"/>
                    <w:rPr>
                      <w:color w:val="auto"/>
                      <w:sz w:val="21"/>
                      <w:szCs w:val="21"/>
                    </w:rPr>
                  </w:pPr>
                </w:p>
              </w:tc>
              <w:tc>
                <w:tcPr>
                  <w:tcW w:w="473" w:type="pct"/>
                  <w:shd w:val="clear" w:color="auto" w:fill="auto"/>
                  <w:noWrap w:val="0"/>
                  <w:vAlign w:val="center"/>
                </w:tcPr>
                <w:p w14:paraId="092A2BCF">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20/10/1</w:t>
                  </w:r>
                </w:p>
              </w:tc>
              <w:tc>
                <w:tcPr>
                  <w:tcW w:w="420" w:type="pct"/>
                  <w:shd w:val="clear" w:color="auto" w:fill="auto"/>
                  <w:noWrap w:val="0"/>
                  <w:vAlign w:val="center"/>
                </w:tcPr>
                <w:p w14:paraId="2FA385EA">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017FC2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51.0 </w:t>
                  </w:r>
                </w:p>
              </w:tc>
              <w:tc>
                <w:tcPr>
                  <w:tcW w:w="283" w:type="pct"/>
                  <w:vMerge w:val="continue"/>
                  <w:noWrap w:val="0"/>
                  <w:vAlign w:val="center"/>
                </w:tcPr>
                <w:p w14:paraId="1BF117BC">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35A4D9FF">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5C908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434D6B01">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7B614DD8">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FCEC4FF">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F1055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沁园净水机</w:t>
                  </w:r>
                </w:p>
              </w:tc>
              <w:tc>
                <w:tcPr>
                  <w:tcW w:w="425" w:type="pct"/>
                  <w:shd w:val="clear" w:color="auto" w:fill="auto"/>
                  <w:noWrap w:val="0"/>
                  <w:vAlign w:val="center"/>
                </w:tcPr>
                <w:p w14:paraId="013A0E3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43C4BBE8">
                  <w:pPr>
                    <w:jc w:val="center"/>
                    <w:textAlignment w:val="center"/>
                    <w:rPr>
                      <w:color w:val="auto"/>
                      <w:sz w:val="21"/>
                      <w:szCs w:val="21"/>
                    </w:rPr>
                  </w:pPr>
                </w:p>
              </w:tc>
              <w:tc>
                <w:tcPr>
                  <w:tcW w:w="473" w:type="pct"/>
                  <w:shd w:val="clear" w:color="auto" w:fill="auto"/>
                  <w:noWrap w:val="0"/>
                  <w:vAlign w:val="center"/>
                </w:tcPr>
                <w:p w14:paraId="57C96B8E">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20/8/1</w:t>
                  </w:r>
                </w:p>
              </w:tc>
              <w:tc>
                <w:tcPr>
                  <w:tcW w:w="420" w:type="pct"/>
                  <w:shd w:val="clear" w:color="auto" w:fill="auto"/>
                  <w:noWrap w:val="0"/>
                  <w:vAlign w:val="center"/>
                </w:tcPr>
                <w:p w14:paraId="78857E54">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4BDC1A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283" w:type="pct"/>
                  <w:vMerge w:val="continue"/>
                  <w:noWrap w:val="0"/>
                  <w:vAlign w:val="center"/>
                </w:tcPr>
                <w:p w14:paraId="7A3A8F5E">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4578B5AD">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190F2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7EAF730B">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31C757D7">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0356375">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AD6DE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纯水机</w:t>
                  </w:r>
                </w:p>
              </w:tc>
              <w:tc>
                <w:tcPr>
                  <w:tcW w:w="425" w:type="pct"/>
                  <w:shd w:val="clear" w:color="auto" w:fill="auto"/>
                  <w:noWrap w:val="0"/>
                  <w:vAlign w:val="center"/>
                </w:tcPr>
                <w:p w14:paraId="46228D9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0F36F03D">
                  <w:pPr>
                    <w:jc w:val="center"/>
                    <w:textAlignment w:val="center"/>
                    <w:rPr>
                      <w:color w:val="auto"/>
                      <w:sz w:val="21"/>
                      <w:szCs w:val="21"/>
                    </w:rPr>
                  </w:pPr>
                </w:p>
              </w:tc>
              <w:tc>
                <w:tcPr>
                  <w:tcW w:w="473" w:type="pct"/>
                  <w:shd w:val="clear" w:color="auto" w:fill="auto"/>
                  <w:noWrap w:val="0"/>
                  <w:vAlign w:val="center"/>
                </w:tcPr>
                <w:p w14:paraId="1CE70EAE">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-16/4/1</w:t>
                  </w:r>
                </w:p>
              </w:tc>
              <w:tc>
                <w:tcPr>
                  <w:tcW w:w="420" w:type="pct"/>
                  <w:shd w:val="clear" w:color="auto" w:fill="auto"/>
                  <w:noWrap w:val="0"/>
                  <w:vAlign w:val="center"/>
                </w:tcPr>
                <w:p w14:paraId="31DBFCB6">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570F40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53.0 </w:t>
                  </w:r>
                </w:p>
              </w:tc>
              <w:tc>
                <w:tcPr>
                  <w:tcW w:w="283" w:type="pct"/>
                  <w:vMerge w:val="continue"/>
                  <w:noWrap w:val="0"/>
                  <w:vAlign w:val="center"/>
                </w:tcPr>
                <w:p w14:paraId="7A0438CD">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3FA36304">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7DA4E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6AE31BA0">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2A208E5C">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restart"/>
                  <w:shd w:val="clear" w:color="auto" w:fill="auto"/>
                  <w:noWrap w:val="0"/>
                  <w:vAlign w:val="center"/>
                </w:tcPr>
                <w:p w14:paraId="7883E9C0">
                  <w:pPr>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4号预制菜车间</w:t>
                  </w:r>
                </w:p>
                <w:p w14:paraId="0C3B1F86">
                  <w:pPr>
                    <w:jc w:val="center"/>
                    <w:textAlignment w:val="center"/>
                    <w:rPr>
                      <w:rFonts w:hint="eastAsia" w:asciiTheme="minorHAnsi" w:hAnsiTheme="minorHAnsi" w:eastAsiaTheme="minorEastAsia" w:cstheme="minorBidi"/>
                      <w:color w:val="auto"/>
                      <w:kern w:val="2"/>
                      <w:sz w:val="21"/>
                      <w:szCs w:val="21"/>
                      <w:lang w:val="en-US" w:eastAsia="zh-CN" w:bidi="ar-SA"/>
                    </w:rPr>
                  </w:pPr>
                </w:p>
                <w:p w14:paraId="1FB5A41E">
                  <w:pPr>
                    <w:jc w:val="center"/>
                    <w:textAlignment w:val="center"/>
                    <w:rPr>
                      <w:rFonts w:hint="eastAsia" w:asciiTheme="minorHAnsi" w:hAnsiTheme="minorHAnsi" w:eastAsiaTheme="minorEastAsia" w:cstheme="minorBidi"/>
                      <w:color w:val="auto"/>
                      <w:kern w:val="2"/>
                      <w:sz w:val="21"/>
                      <w:szCs w:val="21"/>
                      <w:lang w:val="en-US" w:eastAsia="zh-CN" w:bidi="ar-SA"/>
                    </w:rPr>
                  </w:pPr>
                </w:p>
                <w:p w14:paraId="3064C94C">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22257F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切肉机</w:t>
                  </w:r>
                </w:p>
              </w:tc>
              <w:tc>
                <w:tcPr>
                  <w:tcW w:w="425" w:type="pct"/>
                  <w:shd w:val="clear" w:color="auto" w:fill="auto"/>
                  <w:noWrap w:val="0"/>
                  <w:vAlign w:val="center"/>
                </w:tcPr>
                <w:p w14:paraId="35C0B2E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6CB89B58">
                  <w:pPr>
                    <w:jc w:val="center"/>
                    <w:textAlignment w:val="center"/>
                    <w:rPr>
                      <w:color w:val="auto"/>
                      <w:sz w:val="21"/>
                      <w:szCs w:val="21"/>
                    </w:rPr>
                  </w:pPr>
                </w:p>
              </w:tc>
              <w:tc>
                <w:tcPr>
                  <w:tcW w:w="473" w:type="pct"/>
                  <w:shd w:val="clear" w:color="auto" w:fill="auto"/>
                  <w:noWrap w:val="0"/>
                  <w:vAlign w:val="center"/>
                </w:tcPr>
                <w:p w14:paraId="022A66F2">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-18/8/1</w:t>
                  </w:r>
                </w:p>
              </w:tc>
              <w:tc>
                <w:tcPr>
                  <w:tcW w:w="420" w:type="pct"/>
                  <w:shd w:val="clear" w:color="auto" w:fill="auto"/>
                  <w:noWrap w:val="0"/>
                  <w:vAlign w:val="center"/>
                </w:tcPr>
                <w:p w14:paraId="34BED84F">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62" w:type="pct"/>
                  <w:shd w:val="clear" w:color="auto" w:fill="auto"/>
                  <w:noWrap/>
                  <w:tcMar>
                    <w:top w:w="15" w:type="dxa"/>
                    <w:left w:w="15" w:type="dxa"/>
                    <w:right w:w="15" w:type="dxa"/>
                  </w:tcMar>
                  <w:vAlign w:val="center"/>
                </w:tcPr>
                <w:p w14:paraId="40EFAF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64.5 </w:t>
                  </w:r>
                </w:p>
              </w:tc>
              <w:tc>
                <w:tcPr>
                  <w:tcW w:w="283" w:type="pct"/>
                  <w:vMerge w:val="continue"/>
                  <w:noWrap w:val="0"/>
                  <w:vAlign w:val="center"/>
                </w:tcPr>
                <w:p w14:paraId="6FEF5240">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7BEB7A81">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B4A7C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44.5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2BCA1032">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5366CADD">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53625A6">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EB3C0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绞肉机</w:t>
                  </w:r>
                </w:p>
              </w:tc>
              <w:tc>
                <w:tcPr>
                  <w:tcW w:w="425" w:type="pct"/>
                  <w:shd w:val="clear" w:color="auto" w:fill="auto"/>
                  <w:noWrap w:val="0"/>
                  <w:vAlign w:val="center"/>
                </w:tcPr>
                <w:p w14:paraId="3F85C6C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5309F352">
                  <w:pPr>
                    <w:jc w:val="center"/>
                    <w:textAlignment w:val="center"/>
                    <w:rPr>
                      <w:color w:val="auto"/>
                      <w:sz w:val="21"/>
                      <w:szCs w:val="21"/>
                    </w:rPr>
                  </w:pPr>
                </w:p>
              </w:tc>
              <w:tc>
                <w:tcPr>
                  <w:tcW w:w="473" w:type="pct"/>
                  <w:shd w:val="clear" w:color="auto" w:fill="auto"/>
                  <w:noWrap w:val="0"/>
                  <w:vAlign w:val="center"/>
                </w:tcPr>
                <w:p w14:paraId="70DD44D7">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14/8/1</w:t>
                  </w:r>
                </w:p>
              </w:tc>
              <w:tc>
                <w:tcPr>
                  <w:tcW w:w="420" w:type="pct"/>
                  <w:shd w:val="clear" w:color="auto" w:fill="auto"/>
                  <w:noWrap w:val="0"/>
                  <w:vAlign w:val="center"/>
                </w:tcPr>
                <w:p w14:paraId="0E58570A">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62" w:type="pct"/>
                  <w:shd w:val="clear" w:color="auto" w:fill="auto"/>
                  <w:noWrap/>
                  <w:tcMar>
                    <w:top w:w="15" w:type="dxa"/>
                    <w:left w:w="15" w:type="dxa"/>
                    <w:right w:w="15" w:type="dxa"/>
                  </w:tcMar>
                  <w:vAlign w:val="center"/>
                </w:tcPr>
                <w:p w14:paraId="386F41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64.5 </w:t>
                  </w:r>
                </w:p>
              </w:tc>
              <w:tc>
                <w:tcPr>
                  <w:tcW w:w="283" w:type="pct"/>
                  <w:vMerge w:val="continue"/>
                  <w:noWrap w:val="0"/>
                  <w:vAlign w:val="center"/>
                </w:tcPr>
                <w:p w14:paraId="1135C02C">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7C1D48E6">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F278E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44.5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085438F0">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568865C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1C3B4A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14ACF9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伺服高速成型机</w:t>
                  </w:r>
                </w:p>
              </w:tc>
              <w:tc>
                <w:tcPr>
                  <w:tcW w:w="425" w:type="pct"/>
                  <w:shd w:val="clear" w:color="auto" w:fill="auto"/>
                  <w:noWrap w:val="0"/>
                  <w:vAlign w:val="center"/>
                </w:tcPr>
                <w:p w14:paraId="282F348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85.0 </w:t>
                  </w:r>
                </w:p>
              </w:tc>
              <w:tc>
                <w:tcPr>
                  <w:tcW w:w="149" w:type="pct"/>
                  <w:vMerge w:val="continue"/>
                  <w:noWrap w:val="0"/>
                  <w:vAlign w:val="center"/>
                </w:tcPr>
                <w:p w14:paraId="0E217609">
                  <w:pPr>
                    <w:jc w:val="center"/>
                    <w:textAlignment w:val="center"/>
                    <w:rPr>
                      <w:color w:val="auto"/>
                      <w:sz w:val="21"/>
                      <w:szCs w:val="21"/>
                    </w:rPr>
                  </w:pPr>
                </w:p>
              </w:tc>
              <w:tc>
                <w:tcPr>
                  <w:tcW w:w="473" w:type="pct"/>
                  <w:shd w:val="clear" w:color="auto" w:fill="auto"/>
                  <w:noWrap w:val="0"/>
                  <w:vAlign w:val="center"/>
                </w:tcPr>
                <w:p w14:paraId="7FBD1E3E">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-15/6/1</w:t>
                  </w:r>
                </w:p>
              </w:tc>
              <w:tc>
                <w:tcPr>
                  <w:tcW w:w="420" w:type="pct"/>
                  <w:shd w:val="clear" w:color="auto" w:fill="auto"/>
                  <w:noWrap w:val="0"/>
                  <w:vAlign w:val="center"/>
                </w:tcPr>
                <w:p w14:paraId="127DE911">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62" w:type="pct"/>
                  <w:shd w:val="clear" w:color="auto" w:fill="auto"/>
                  <w:noWrap/>
                  <w:tcMar>
                    <w:top w:w="15" w:type="dxa"/>
                    <w:left w:w="15" w:type="dxa"/>
                    <w:right w:w="15" w:type="dxa"/>
                  </w:tcMar>
                  <w:vAlign w:val="center"/>
                </w:tcPr>
                <w:p w14:paraId="164E89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62.1 </w:t>
                  </w:r>
                </w:p>
              </w:tc>
              <w:tc>
                <w:tcPr>
                  <w:tcW w:w="283" w:type="pct"/>
                  <w:vMerge w:val="continue"/>
                  <w:noWrap w:val="0"/>
                  <w:vAlign w:val="center"/>
                </w:tcPr>
                <w:p w14:paraId="5B6C1832">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793CF1D5">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80282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42.1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7042D164">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526900FB">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2EAE9C2">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25E1DD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olor w:val="auto"/>
                      <w:vertAlign w:val="baseline"/>
                      <w:lang w:eastAsia="zh-CN"/>
                    </w:rPr>
                    <w:t>电蒸箱</w:t>
                  </w:r>
                </w:p>
              </w:tc>
              <w:tc>
                <w:tcPr>
                  <w:tcW w:w="425" w:type="pct"/>
                  <w:shd w:val="clear" w:color="auto" w:fill="auto"/>
                  <w:noWrap w:val="0"/>
                  <w:vAlign w:val="center"/>
                </w:tcPr>
                <w:p w14:paraId="47873E9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86.0 </w:t>
                  </w:r>
                </w:p>
              </w:tc>
              <w:tc>
                <w:tcPr>
                  <w:tcW w:w="149" w:type="pct"/>
                  <w:vMerge w:val="continue"/>
                  <w:noWrap w:val="0"/>
                  <w:vAlign w:val="center"/>
                </w:tcPr>
                <w:p w14:paraId="0FCCDA56">
                  <w:pPr>
                    <w:jc w:val="center"/>
                    <w:textAlignment w:val="center"/>
                    <w:rPr>
                      <w:color w:val="auto"/>
                      <w:sz w:val="21"/>
                      <w:szCs w:val="21"/>
                    </w:rPr>
                  </w:pPr>
                </w:p>
              </w:tc>
              <w:tc>
                <w:tcPr>
                  <w:tcW w:w="473" w:type="pct"/>
                  <w:shd w:val="clear" w:color="auto" w:fill="auto"/>
                  <w:noWrap w:val="0"/>
                  <w:vAlign w:val="center"/>
                </w:tcPr>
                <w:p w14:paraId="0F9A7F84">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439617FF">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5DBBEC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64.4 </w:t>
                  </w:r>
                </w:p>
              </w:tc>
              <w:tc>
                <w:tcPr>
                  <w:tcW w:w="283" w:type="pct"/>
                  <w:vMerge w:val="continue"/>
                  <w:noWrap w:val="0"/>
                  <w:vAlign w:val="center"/>
                </w:tcPr>
                <w:p w14:paraId="2937E002">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79B9B038">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AE4B7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44.4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56B398B2">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4334B80A">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A3EBEE9">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5EE08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负压式摊凉机</w:t>
                  </w:r>
                </w:p>
              </w:tc>
              <w:tc>
                <w:tcPr>
                  <w:tcW w:w="425" w:type="pct"/>
                  <w:shd w:val="clear" w:color="auto" w:fill="auto"/>
                  <w:noWrap w:val="0"/>
                  <w:vAlign w:val="center"/>
                </w:tcPr>
                <w:p w14:paraId="0FD1625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86.0 </w:t>
                  </w:r>
                </w:p>
              </w:tc>
              <w:tc>
                <w:tcPr>
                  <w:tcW w:w="149" w:type="pct"/>
                  <w:vMerge w:val="continue"/>
                  <w:noWrap w:val="0"/>
                  <w:vAlign w:val="center"/>
                </w:tcPr>
                <w:p w14:paraId="1E34B3FE">
                  <w:pPr>
                    <w:jc w:val="center"/>
                    <w:textAlignment w:val="center"/>
                    <w:rPr>
                      <w:color w:val="auto"/>
                      <w:sz w:val="21"/>
                      <w:szCs w:val="21"/>
                    </w:rPr>
                  </w:pPr>
                </w:p>
              </w:tc>
              <w:tc>
                <w:tcPr>
                  <w:tcW w:w="473" w:type="pct"/>
                  <w:shd w:val="clear" w:color="auto" w:fill="auto"/>
                  <w:noWrap w:val="0"/>
                  <w:vAlign w:val="center"/>
                </w:tcPr>
                <w:p w14:paraId="713D803E">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05CC2927">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62" w:type="pct"/>
                  <w:shd w:val="clear" w:color="auto" w:fill="auto"/>
                  <w:noWrap/>
                  <w:tcMar>
                    <w:top w:w="15" w:type="dxa"/>
                    <w:left w:w="15" w:type="dxa"/>
                    <w:right w:w="15" w:type="dxa"/>
                  </w:tcMar>
                  <w:vAlign w:val="center"/>
                </w:tcPr>
                <w:p w14:paraId="60415B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63.7 </w:t>
                  </w:r>
                </w:p>
              </w:tc>
              <w:tc>
                <w:tcPr>
                  <w:tcW w:w="283" w:type="pct"/>
                  <w:vMerge w:val="continue"/>
                  <w:noWrap w:val="0"/>
                  <w:vAlign w:val="center"/>
                </w:tcPr>
                <w:p w14:paraId="3092CDE8">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05F7F9DE">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BDE4D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43.7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4234F2DA">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28017D87">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C2FA87E">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7714CA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清洗机</w:t>
                  </w:r>
                </w:p>
              </w:tc>
              <w:tc>
                <w:tcPr>
                  <w:tcW w:w="425" w:type="pct"/>
                  <w:shd w:val="clear" w:color="auto" w:fill="auto"/>
                  <w:noWrap w:val="0"/>
                  <w:vAlign w:val="center"/>
                </w:tcPr>
                <w:p w14:paraId="2A5661F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149" w:type="pct"/>
                  <w:vMerge w:val="continue"/>
                  <w:noWrap w:val="0"/>
                  <w:vAlign w:val="center"/>
                </w:tcPr>
                <w:p w14:paraId="4D6BA7EE">
                  <w:pPr>
                    <w:jc w:val="center"/>
                    <w:textAlignment w:val="center"/>
                    <w:rPr>
                      <w:color w:val="auto"/>
                      <w:sz w:val="21"/>
                      <w:szCs w:val="21"/>
                    </w:rPr>
                  </w:pPr>
                </w:p>
              </w:tc>
              <w:tc>
                <w:tcPr>
                  <w:tcW w:w="473" w:type="pct"/>
                  <w:shd w:val="clear" w:color="auto" w:fill="auto"/>
                  <w:noWrap w:val="0"/>
                  <w:vAlign w:val="center"/>
                </w:tcPr>
                <w:p w14:paraId="3B55C77E">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0BEB3722">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454483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56.4 </w:t>
                  </w:r>
                </w:p>
              </w:tc>
              <w:tc>
                <w:tcPr>
                  <w:tcW w:w="283" w:type="pct"/>
                  <w:vMerge w:val="continue"/>
                  <w:noWrap w:val="0"/>
                  <w:vAlign w:val="center"/>
                </w:tcPr>
                <w:p w14:paraId="1ECE011E">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6A2BAA10">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6F83F3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36.4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0C0C3913">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150A2C74">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9F382E1">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60AF1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紫外线消毒杀菌设备</w:t>
                  </w:r>
                </w:p>
              </w:tc>
              <w:tc>
                <w:tcPr>
                  <w:tcW w:w="425" w:type="pct"/>
                  <w:shd w:val="clear" w:color="auto" w:fill="auto"/>
                  <w:noWrap w:val="0"/>
                  <w:vAlign w:val="center"/>
                </w:tcPr>
                <w:p w14:paraId="6F5B970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39B35481">
                  <w:pPr>
                    <w:jc w:val="center"/>
                    <w:textAlignment w:val="center"/>
                    <w:rPr>
                      <w:color w:val="auto"/>
                      <w:sz w:val="21"/>
                      <w:szCs w:val="21"/>
                    </w:rPr>
                  </w:pPr>
                </w:p>
              </w:tc>
              <w:tc>
                <w:tcPr>
                  <w:tcW w:w="473" w:type="pct"/>
                  <w:shd w:val="clear" w:color="auto" w:fill="auto"/>
                  <w:noWrap w:val="0"/>
                  <w:vAlign w:val="center"/>
                </w:tcPr>
                <w:p w14:paraId="10AB05E2">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11A1C018">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44E136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53.0 </w:t>
                  </w:r>
                </w:p>
              </w:tc>
              <w:tc>
                <w:tcPr>
                  <w:tcW w:w="283" w:type="pct"/>
                  <w:vMerge w:val="continue"/>
                  <w:noWrap w:val="0"/>
                  <w:vAlign w:val="center"/>
                </w:tcPr>
                <w:p w14:paraId="5A5A94F9">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0ED8F630">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ED6DA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59126065">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53AEAC9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2BC97A73">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FC802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成品输送线</w:t>
                  </w:r>
                </w:p>
              </w:tc>
              <w:tc>
                <w:tcPr>
                  <w:tcW w:w="425" w:type="pct"/>
                  <w:shd w:val="clear" w:color="auto" w:fill="auto"/>
                  <w:noWrap w:val="0"/>
                  <w:vAlign w:val="center"/>
                </w:tcPr>
                <w:p w14:paraId="7695E90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91.0 </w:t>
                  </w:r>
                </w:p>
              </w:tc>
              <w:tc>
                <w:tcPr>
                  <w:tcW w:w="149" w:type="pct"/>
                  <w:vMerge w:val="continue"/>
                  <w:noWrap w:val="0"/>
                  <w:vAlign w:val="center"/>
                </w:tcPr>
                <w:p w14:paraId="655B558C">
                  <w:pPr>
                    <w:jc w:val="center"/>
                    <w:textAlignment w:val="center"/>
                    <w:rPr>
                      <w:color w:val="auto"/>
                      <w:sz w:val="21"/>
                      <w:szCs w:val="21"/>
                    </w:rPr>
                  </w:pPr>
                </w:p>
              </w:tc>
              <w:tc>
                <w:tcPr>
                  <w:tcW w:w="473" w:type="pct"/>
                  <w:shd w:val="clear" w:color="auto" w:fill="auto"/>
                  <w:noWrap w:val="0"/>
                  <w:vAlign w:val="center"/>
                </w:tcPr>
                <w:p w14:paraId="61F847E1">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0C9E4734">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56DAEF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71.0 </w:t>
                  </w:r>
                </w:p>
              </w:tc>
              <w:tc>
                <w:tcPr>
                  <w:tcW w:w="283" w:type="pct"/>
                  <w:vMerge w:val="continue"/>
                  <w:noWrap w:val="0"/>
                  <w:vAlign w:val="center"/>
                </w:tcPr>
                <w:p w14:paraId="37F330D1">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70135D75">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25972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48105627">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540CF8AC">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B52BF7C">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19BE7D2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片冰机</w:t>
                  </w:r>
                </w:p>
              </w:tc>
              <w:tc>
                <w:tcPr>
                  <w:tcW w:w="425" w:type="pct"/>
                  <w:shd w:val="clear" w:color="auto" w:fill="auto"/>
                  <w:noWrap w:val="0"/>
                  <w:vAlign w:val="center"/>
                </w:tcPr>
                <w:p w14:paraId="0B45DFC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75.0 </w:t>
                  </w:r>
                </w:p>
              </w:tc>
              <w:tc>
                <w:tcPr>
                  <w:tcW w:w="149" w:type="pct"/>
                  <w:vMerge w:val="continue"/>
                  <w:noWrap w:val="0"/>
                  <w:vAlign w:val="center"/>
                </w:tcPr>
                <w:p w14:paraId="28069AEC">
                  <w:pPr>
                    <w:jc w:val="center"/>
                    <w:textAlignment w:val="center"/>
                    <w:rPr>
                      <w:color w:val="auto"/>
                      <w:sz w:val="21"/>
                      <w:szCs w:val="21"/>
                    </w:rPr>
                  </w:pPr>
                </w:p>
              </w:tc>
              <w:tc>
                <w:tcPr>
                  <w:tcW w:w="473" w:type="pct"/>
                  <w:shd w:val="clear" w:color="auto" w:fill="auto"/>
                  <w:noWrap w:val="0"/>
                  <w:vAlign w:val="center"/>
                </w:tcPr>
                <w:p w14:paraId="543A4397">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3B6E4E58">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52BEC7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55.0 </w:t>
                  </w:r>
                </w:p>
              </w:tc>
              <w:tc>
                <w:tcPr>
                  <w:tcW w:w="283" w:type="pct"/>
                  <w:vMerge w:val="continue"/>
                  <w:noWrap w:val="0"/>
                  <w:vAlign w:val="center"/>
                </w:tcPr>
                <w:p w14:paraId="5BA35828">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5B4B287A">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78796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13CDE724">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0EE7AD0F">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7C0A6D89">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1E7B3E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冷水机</w:t>
                  </w:r>
                </w:p>
              </w:tc>
              <w:tc>
                <w:tcPr>
                  <w:tcW w:w="425" w:type="pct"/>
                  <w:shd w:val="clear" w:color="auto" w:fill="auto"/>
                  <w:noWrap w:val="0"/>
                  <w:vAlign w:val="center"/>
                </w:tcPr>
                <w:p w14:paraId="4668474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149" w:type="pct"/>
                  <w:vMerge w:val="continue"/>
                  <w:noWrap w:val="0"/>
                  <w:vAlign w:val="center"/>
                </w:tcPr>
                <w:p w14:paraId="5A07986F">
                  <w:pPr>
                    <w:jc w:val="center"/>
                    <w:textAlignment w:val="center"/>
                    <w:rPr>
                      <w:color w:val="auto"/>
                      <w:sz w:val="21"/>
                      <w:szCs w:val="21"/>
                    </w:rPr>
                  </w:pPr>
                </w:p>
              </w:tc>
              <w:tc>
                <w:tcPr>
                  <w:tcW w:w="473" w:type="pct"/>
                  <w:shd w:val="clear" w:color="auto" w:fill="auto"/>
                  <w:noWrap w:val="0"/>
                  <w:vAlign w:val="center"/>
                </w:tcPr>
                <w:p w14:paraId="442E2BB8">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-8/-8/1</w:t>
                  </w:r>
                </w:p>
              </w:tc>
              <w:tc>
                <w:tcPr>
                  <w:tcW w:w="420" w:type="pct"/>
                  <w:shd w:val="clear" w:color="auto" w:fill="auto"/>
                  <w:noWrap w:val="0"/>
                  <w:vAlign w:val="center"/>
                </w:tcPr>
                <w:p w14:paraId="6A69203F">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717548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58.0 </w:t>
                  </w:r>
                </w:p>
              </w:tc>
              <w:tc>
                <w:tcPr>
                  <w:tcW w:w="283" w:type="pct"/>
                  <w:vMerge w:val="continue"/>
                  <w:noWrap w:val="0"/>
                  <w:vAlign w:val="center"/>
                </w:tcPr>
                <w:p w14:paraId="193367E8">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1D73134B">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FB856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4B669B31">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00042A6C">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4E294E7">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4DA02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真空包装机</w:t>
                  </w:r>
                </w:p>
              </w:tc>
              <w:tc>
                <w:tcPr>
                  <w:tcW w:w="425" w:type="pct"/>
                  <w:shd w:val="clear" w:color="auto" w:fill="auto"/>
                  <w:noWrap w:val="0"/>
                  <w:vAlign w:val="center"/>
                </w:tcPr>
                <w:p w14:paraId="6105A69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75.0 </w:t>
                  </w:r>
                </w:p>
              </w:tc>
              <w:tc>
                <w:tcPr>
                  <w:tcW w:w="149" w:type="pct"/>
                  <w:vMerge w:val="continue"/>
                  <w:noWrap w:val="0"/>
                  <w:vAlign w:val="center"/>
                </w:tcPr>
                <w:p w14:paraId="6921B43E">
                  <w:pPr>
                    <w:jc w:val="center"/>
                    <w:textAlignment w:val="center"/>
                    <w:rPr>
                      <w:color w:val="auto"/>
                      <w:sz w:val="21"/>
                      <w:szCs w:val="21"/>
                    </w:rPr>
                  </w:pPr>
                </w:p>
              </w:tc>
              <w:tc>
                <w:tcPr>
                  <w:tcW w:w="473" w:type="pct"/>
                  <w:shd w:val="clear" w:color="auto" w:fill="auto"/>
                  <w:noWrap w:val="0"/>
                  <w:vAlign w:val="center"/>
                </w:tcPr>
                <w:p w14:paraId="55C8B5EC">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0D7CC24F">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612C12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55.0 </w:t>
                  </w:r>
                </w:p>
              </w:tc>
              <w:tc>
                <w:tcPr>
                  <w:tcW w:w="283" w:type="pct"/>
                  <w:vMerge w:val="continue"/>
                  <w:noWrap w:val="0"/>
                  <w:vAlign w:val="center"/>
                </w:tcPr>
                <w:p w14:paraId="6C2B1699">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371240BD">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D1F92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33E1EAC6">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12D7A20A">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E8E2A25">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DF3B7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烘靴机</w:t>
                  </w:r>
                </w:p>
              </w:tc>
              <w:tc>
                <w:tcPr>
                  <w:tcW w:w="425" w:type="pct"/>
                  <w:shd w:val="clear" w:color="auto" w:fill="auto"/>
                  <w:noWrap w:val="0"/>
                  <w:vAlign w:val="center"/>
                </w:tcPr>
                <w:p w14:paraId="109D71F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65.0 </w:t>
                  </w:r>
                </w:p>
              </w:tc>
              <w:tc>
                <w:tcPr>
                  <w:tcW w:w="149" w:type="pct"/>
                  <w:vMerge w:val="continue"/>
                  <w:noWrap w:val="0"/>
                  <w:vAlign w:val="center"/>
                </w:tcPr>
                <w:p w14:paraId="3A02425F">
                  <w:pPr>
                    <w:jc w:val="center"/>
                    <w:textAlignment w:val="center"/>
                    <w:rPr>
                      <w:color w:val="auto"/>
                      <w:sz w:val="21"/>
                      <w:szCs w:val="21"/>
                    </w:rPr>
                  </w:pPr>
                </w:p>
              </w:tc>
              <w:tc>
                <w:tcPr>
                  <w:tcW w:w="473" w:type="pct"/>
                  <w:shd w:val="clear" w:color="auto" w:fill="auto"/>
                  <w:noWrap w:val="0"/>
                  <w:vAlign w:val="center"/>
                </w:tcPr>
                <w:p w14:paraId="07F0E4F4">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13B8DFE5">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0FFABB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45.0 </w:t>
                  </w:r>
                </w:p>
              </w:tc>
              <w:tc>
                <w:tcPr>
                  <w:tcW w:w="283" w:type="pct"/>
                  <w:vMerge w:val="continue"/>
                  <w:noWrap w:val="0"/>
                  <w:vAlign w:val="center"/>
                </w:tcPr>
                <w:p w14:paraId="24BA8B84">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27C08C05">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76676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1F99C125">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2E00892C">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8FDAFCA">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689A7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沁园净水机</w:t>
                  </w:r>
                </w:p>
              </w:tc>
              <w:tc>
                <w:tcPr>
                  <w:tcW w:w="425" w:type="pct"/>
                  <w:shd w:val="clear" w:color="auto" w:fill="auto"/>
                  <w:noWrap w:val="0"/>
                  <w:vAlign w:val="center"/>
                </w:tcPr>
                <w:p w14:paraId="0F841B70">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6742B30B">
                  <w:pPr>
                    <w:jc w:val="center"/>
                    <w:textAlignment w:val="center"/>
                    <w:rPr>
                      <w:color w:val="auto"/>
                      <w:sz w:val="21"/>
                      <w:szCs w:val="21"/>
                    </w:rPr>
                  </w:pPr>
                </w:p>
              </w:tc>
              <w:tc>
                <w:tcPr>
                  <w:tcW w:w="473" w:type="pct"/>
                  <w:shd w:val="clear" w:color="auto" w:fill="auto"/>
                  <w:noWrap w:val="0"/>
                  <w:vAlign w:val="center"/>
                </w:tcPr>
                <w:p w14:paraId="7E78E702">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6/6/2</w:t>
                  </w:r>
                </w:p>
              </w:tc>
              <w:tc>
                <w:tcPr>
                  <w:tcW w:w="420" w:type="pct"/>
                  <w:shd w:val="clear" w:color="auto" w:fill="auto"/>
                  <w:noWrap w:val="0"/>
                  <w:vAlign w:val="center"/>
                </w:tcPr>
                <w:p w14:paraId="278BC82A">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06597E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283" w:type="pct"/>
                  <w:vMerge w:val="continue"/>
                  <w:noWrap w:val="0"/>
                  <w:vAlign w:val="center"/>
                </w:tcPr>
                <w:p w14:paraId="48378FA3">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694744A3">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A2A29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3886C5F8">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08EF0C72">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FD87018">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82DFE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纯水机</w:t>
                  </w:r>
                </w:p>
              </w:tc>
              <w:tc>
                <w:tcPr>
                  <w:tcW w:w="425" w:type="pct"/>
                  <w:shd w:val="clear" w:color="auto" w:fill="auto"/>
                  <w:noWrap w:val="0"/>
                  <w:vAlign w:val="center"/>
                </w:tcPr>
                <w:p w14:paraId="31587C3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15BB8D06">
                  <w:pPr>
                    <w:jc w:val="center"/>
                    <w:textAlignment w:val="center"/>
                    <w:rPr>
                      <w:color w:val="auto"/>
                      <w:sz w:val="21"/>
                      <w:szCs w:val="21"/>
                    </w:rPr>
                  </w:pPr>
                </w:p>
              </w:tc>
              <w:tc>
                <w:tcPr>
                  <w:tcW w:w="473" w:type="pct"/>
                  <w:shd w:val="clear" w:color="auto" w:fill="auto"/>
                  <w:noWrap w:val="0"/>
                  <w:vAlign w:val="center"/>
                </w:tcPr>
                <w:p w14:paraId="26C40DC2">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4B6E993B">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5A0EF6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283" w:type="pct"/>
                  <w:vMerge w:val="continue"/>
                  <w:noWrap w:val="0"/>
                  <w:vAlign w:val="center"/>
                </w:tcPr>
                <w:p w14:paraId="0A247A4F">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3907CE45">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68CE6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389D0791">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46AD9840">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restart"/>
                  <w:shd w:val="clear" w:color="auto" w:fill="auto"/>
                  <w:noWrap w:val="0"/>
                  <w:vAlign w:val="center"/>
                </w:tcPr>
                <w:p w14:paraId="6241C4E9">
                  <w:pPr>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5号预制菜车间</w:t>
                  </w:r>
                </w:p>
                <w:p w14:paraId="15941580">
                  <w:pPr>
                    <w:jc w:val="center"/>
                    <w:textAlignment w:val="center"/>
                    <w:rPr>
                      <w:rFonts w:hint="eastAsia" w:asciiTheme="minorHAnsi" w:hAnsiTheme="minorHAnsi" w:eastAsiaTheme="minorEastAsia" w:cstheme="minorBidi"/>
                      <w:color w:val="auto"/>
                      <w:kern w:val="2"/>
                      <w:sz w:val="21"/>
                      <w:szCs w:val="21"/>
                      <w:lang w:val="en-US" w:eastAsia="zh-CN" w:bidi="ar-SA"/>
                    </w:rPr>
                  </w:pPr>
                </w:p>
                <w:p w14:paraId="35E932B9">
                  <w:pPr>
                    <w:jc w:val="center"/>
                    <w:textAlignment w:val="center"/>
                    <w:rPr>
                      <w:rFonts w:hint="eastAsia" w:asciiTheme="minorHAnsi" w:hAnsiTheme="minorHAnsi" w:eastAsiaTheme="minorEastAsia" w:cstheme="minorBidi"/>
                      <w:color w:val="auto"/>
                      <w:kern w:val="2"/>
                      <w:sz w:val="21"/>
                      <w:szCs w:val="21"/>
                      <w:lang w:val="en-US" w:eastAsia="zh-CN" w:bidi="ar-SA"/>
                    </w:rPr>
                  </w:pPr>
                </w:p>
                <w:p w14:paraId="59B9561D">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89E22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切肉机</w:t>
                  </w:r>
                </w:p>
              </w:tc>
              <w:tc>
                <w:tcPr>
                  <w:tcW w:w="425" w:type="pct"/>
                  <w:shd w:val="clear" w:color="auto" w:fill="auto"/>
                  <w:noWrap w:val="0"/>
                  <w:vAlign w:val="center"/>
                </w:tcPr>
                <w:p w14:paraId="7B9A191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0821ED19">
                  <w:pPr>
                    <w:jc w:val="center"/>
                    <w:textAlignment w:val="center"/>
                    <w:rPr>
                      <w:color w:val="auto"/>
                      <w:sz w:val="21"/>
                      <w:szCs w:val="21"/>
                    </w:rPr>
                  </w:pPr>
                </w:p>
              </w:tc>
              <w:tc>
                <w:tcPr>
                  <w:tcW w:w="473" w:type="pct"/>
                  <w:shd w:val="clear" w:color="auto" w:fill="auto"/>
                  <w:noWrap w:val="0"/>
                  <w:vAlign w:val="center"/>
                </w:tcPr>
                <w:p w14:paraId="40F5F309">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7/6/2</w:t>
                  </w:r>
                </w:p>
              </w:tc>
              <w:tc>
                <w:tcPr>
                  <w:tcW w:w="420" w:type="pct"/>
                  <w:shd w:val="clear" w:color="auto" w:fill="auto"/>
                  <w:noWrap w:val="0"/>
                  <w:vAlign w:val="center"/>
                </w:tcPr>
                <w:p w14:paraId="7BD87D74">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2E345D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66.4 </w:t>
                  </w:r>
                </w:p>
              </w:tc>
              <w:tc>
                <w:tcPr>
                  <w:tcW w:w="283" w:type="pct"/>
                  <w:vMerge w:val="continue"/>
                  <w:noWrap w:val="0"/>
                  <w:vAlign w:val="center"/>
                </w:tcPr>
                <w:p w14:paraId="5BB3BEC4">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248C894A">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128F5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46.4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0DE5D7CF">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661AE445">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7DE3E27F">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B7C12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绞肉机</w:t>
                  </w:r>
                </w:p>
              </w:tc>
              <w:tc>
                <w:tcPr>
                  <w:tcW w:w="425" w:type="pct"/>
                  <w:shd w:val="clear" w:color="auto" w:fill="auto"/>
                  <w:noWrap w:val="0"/>
                  <w:vAlign w:val="center"/>
                </w:tcPr>
                <w:p w14:paraId="0EA027E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88.0 </w:t>
                  </w:r>
                </w:p>
              </w:tc>
              <w:tc>
                <w:tcPr>
                  <w:tcW w:w="149" w:type="pct"/>
                  <w:vMerge w:val="continue"/>
                  <w:noWrap w:val="0"/>
                  <w:vAlign w:val="center"/>
                </w:tcPr>
                <w:p w14:paraId="70FA928E">
                  <w:pPr>
                    <w:jc w:val="center"/>
                    <w:textAlignment w:val="center"/>
                    <w:rPr>
                      <w:color w:val="auto"/>
                      <w:sz w:val="21"/>
                      <w:szCs w:val="21"/>
                    </w:rPr>
                  </w:pPr>
                </w:p>
              </w:tc>
              <w:tc>
                <w:tcPr>
                  <w:tcW w:w="473" w:type="pct"/>
                  <w:shd w:val="clear" w:color="auto" w:fill="auto"/>
                  <w:noWrap w:val="0"/>
                  <w:vAlign w:val="center"/>
                </w:tcPr>
                <w:p w14:paraId="196B87C9">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37AE885D">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3C2D8C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66.4 </w:t>
                  </w:r>
                </w:p>
              </w:tc>
              <w:tc>
                <w:tcPr>
                  <w:tcW w:w="283" w:type="pct"/>
                  <w:vMerge w:val="continue"/>
                  <w:noWrap w:val="0"/>
                  <w:vAlign w:val="center"/>
                </w:tcPr>
                <w:p w14:paraId="1B3B04C4">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2C50D1F7">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1C86FA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46.4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1A48D806">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3F736A8D">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1787364">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58C7B2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伺服高速成型机</w:t>
                  </w:r>
                </w:p>
              </w:tc>
              <w:tc>
                <w:tcPr>
                  <w:tcW w:w="425" w:type="pct"/>
                  <w:shd w:val="clear" w:color="auto" w:fill="auto"/>
                  <w:noWrap w:val="0"/>
                  <w:vAlign w:val="center"/>
                </w:tcPr>
                <w:p w14:paraId="445A421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85.0 </w:t>
                  </w:r>
                </w:p>
              </w:tc>
              <w:tc>
                <w:tcPr>
                  <w:tcW w:w="149" w:type="pct"/>
                  <w:vMerge w:val="continue"/>
                  <w:noWrap w:val="0"/>
                  <w:vAlign w:val="center"/>
                </w:tcPr>
                <w:p w14:paraId="6D0C390E">
                  <w:pPr>
                    <w:jc w:val="center"/>
                    <w:textAlignment w:val="center"/>
                    <w:rPr>
                      <w:color w:val="auto"/>
                      <w:sz w:val="21"/>
                      <w:szCs w:val="21"/>
                    </w:rPr>
                  </w:pPr>
                </w:p>
              </w:tc>
              <w:tc>
                <w:tcPr>
                  <w:tcW w:w="473" w:type="pct"/>
                  <w:shd w:val="clear" w:color="auto" w:fill="auto"/>
                  <w:noWrap w:val="0"/>
                  <w:vAlign w:val="center"/>
                </w:tcPr>
                <w:p w14:paraId="3301FB8B">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-6/6/2</w:t>
                  </w:r>
                </w:p>
              </w:tc>
              <w:tc>
                <w:tcPr>
                  <w:tcW w:w="420" w:type="pct"/>
                  <w:shd w:val="clear" w:color="auto" w:fill="auto"/>
                  <w:noWrap w:val="0"/>
                  <w:vAlign w:val="center"/>
                </w:tcPr>
                <w:p w14:paraId="5B492162">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64CB66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63.4 </w:t>
                  </w:r>
                </w:p>
              </w:tc>
              <w:tc>
                <w:tcPr>
                  <w:tcW w:w="283" w:type="pct"/>
                  <w:vMerge w:val="continue"/>
                  <w:noWrap w:val="0"/>
                  <w:vAlign w:val="center"/>
                </w:tcPr>
                <w:p w14:paraId="3C3DB342">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1B07D99F">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063EF0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43.4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69C6EED4">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52127329">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01401405">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2C3C6C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olor w:val="auto"/>
                      <w:vertAlign w:val="baseline"/>
                      <w:lang w:eastAsia="zh-CN"/>
                    </w:rPr>
                    <w:t>电蒸箱</w:t>
                  </w:r>
                </w:p>
              </w:tc>
              <w:tc>
                <w:tcPr>
                  <w:tcW w:w="425" w:type="pct"/>
                  <w:shd w:val="clear" w:color="auto" w:fill="auto"/>
                  <w:noWrap w:val="0"/>
                  <w:vAlign w:val="center"/>
                </w:tcPr>
                <w:p w14:paraId="624E1A3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86.0 </w:t>
                  </w:r>
                </w:p>
              </w:tc>
              <w:tc>
                <w:tcPr>
                  <w:tcW w:w="149" w:type="pct"/>
                  <w:vMerge w:val="continue"/>
                  <w:noWrap w:val="0"/>
                  <w:vAlign w:val="center"/>
                </w:tcPr>
                <w:p w14:paraId="00AD9168">
                  <w:pPr>
                    <w:jc w:val="center"/>
                    <w:textAlignment w:val="center"/>
                    <w:rPr>
                      <w:color w:val="auto"/>
                      <w:sz w:val="21"/>
                      <w:szCs w:val="21"/>
                    </w:rPr>
                  </w:pPr>
                </w:p>
              </w:tc>
              <w:tc>
                <w:tcPr>
                  <w:tcW w:w="473" w:type="pct"/>
                  <w:shd w:val="clear" w:color="auto" w:fill="auto"/>
                  <w:noWrap w:val="0"/>
                  <w:vAlign w:val="center"/>
                </w:tcPr>
                <w:p w14:paraId="42A1BA96">
                  <w:pPr>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065335C9">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27D622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64.4 </w:t>
                  </w:r>
                </w:p>
              </w:tc>
              <w:tc>
                <w:tcPr>
                  <w:tcW w:w="283" w:type="pct"/>
                  <w:vMerge w:val="continue"/>
                  <w:noWrap w:val="0"/>
                  <w:vAlign w:val="center"/>
                </w:tcPr>
                <w:p w14:paraId="39493F62">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15FBB14E">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33DCDC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44.4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16F5B232">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35D4AC67">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B19546A">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72AD6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负压式摊凉机</w:t>
                  </w:r>
                </w:p>
              </w:tc>
              <w:tc>
                <w:tcPr>
                  <w:tcW w:w="425" w:type="pct"/>
                  <w:shd w:val="clear" w:color="auto" w:fill="auto"/>
                  <w:noWrap w:val="0"/>
                  <w:vAlign w:val="center"/>
                </w:tcPr>
                <w:p w14:paraId="336E9F7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86.0 </w:t>
                  </w:r>
                </w:p>
              </w:tc>
              <w:tc>
                <w:tcPr>
                  <w:tcW w:w="149" w:type="pct"/>
                  <w:vMerge w:val="continue"/>
                  <w:noWrap w:val="0"/>
                  <w:vAlign w:val="center"/>
                </w:tcPr>
                <w:p w14:paraId="425E2F9B">
                  <w:pPr>
                    <w:jc w:val="center"/>
                    <w:textAlignment w:val="center"/>
                    <w:rPr>
                      <w:color w:val="auto"/>
                      <w:sz w:val="21"/>
                      <w:szCs w:val="21"/>
                    </w:rPr>
                  </w:pPr>
                </w:p>
              </w:tc>
              <w:tc>
                <w:tcPr>
                  <w:tcW w:w="805" w:type="dxa"/>
                  <w:shd w:val="clear" w:color="auto" w:fill="auto"/>
                  <w:noWrap w:val="0"/>
                  <w:vAlign w:val="center"/>
                </w:tcPr>
                <w:p w14:paraId="49BABBC6">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20/10/1</w:t>
                  </w:r>
                </w:p>
              </w:tc>
              <w:tc>
                <w:tcPr>
                  <w:tcW w:w="420" w:type="pct"/>
                  <w:shd w:val="clear" w:color="auto" w:fill="auto"/>
                  <w:noWrap w:val="0"/>
                  <w:vAlign w:val="center"/>
                </w:tcPr>
                <w:p w14:paraId="0E49D9DA">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62" w:type="pct"/>
                  <w:shd w:val="clear" w:color="auto" w:fill="auto"/>
                  <w:noWrap/>
                  <w:tcMar>
                    <w:top w:w="15" w:type="dxa"/>
                    <w:left w:w="15" w:type="dxa"/>
                    <w:right w:w="15" w:type="dxa"/>
                  </w:tcMar>
                  <w:vAlign w:val="center"/>
                </w:tcPr>
                <w:p w14:paraId="030419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65.2 </w:t>
                  </w:r>
                </w:p>
              </w:tc>
              <w:tc>
                <w:tcPr>
                  <w:tcW w:w="283" w:type="pct"/>
                  <w:vMerge w:val="continue"/>
                  <w:noWrap w:val="0"/>
                  <w:vAlign w:val="center"/>
                </w:tcPr>
                <w:p w14:paraId="6E81F089">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4F254437">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FB676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45.2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575211DD">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718B9B0B">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C2374CA">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5C8C85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清洗机</w:t>
                  </w:r>
                </w:p>
              </w:tc>
              <w:tc>
                <w:tcPr>
                  <w:tcW w:w="425" w:type="pct"/>
                  <w:shd w:val="clear" w:color="auto" w:fill="auto"/>
                  <w:noWrap w:val="0"/>
                  <w:vAlign w:val="center"/>
                </w:tcPr>
                <w:p w14:paraId="7B86C7D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149" w:type="pct"/>
                  <w:vMerge w:val="continue"/>
                  <w:noWrap w:val="0"/>
                  <w:vAlign w:val="center"/>
                </w:tcPr>
                <w:p w14:paraId="31C44742">
                  <w:pPr>
                    <w:jc w:val="center"/>
                    <w:textAlignment w:val="center"/>
                    <w:rPr>
                      <w:color w:val="auto"/>
                      <w:sz w:val="21"/>
                      <w:szCs w:val="21"/>
                    </w:rPr>
                  </w:pPr>
                </w:p>
              </w:tc>
              <w:tc>
                <w:tcPr>
                  <w:tcW w:w="805" w:type="dxa"/>
                  <w:shd w:val="clear" w:color="auto" w:fill="auto"/>
                  <w:noWrap w:val="0"/>
                  <w:vAlign w:val="center"/>
                </w:tcPr>
                <w:p w14:paraId="63050B8D">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20/8/1</w:t>
                  </w:r>
                </w:p>
              </w:tc>
              <w:tc>
                <w:tcPr>
                  <w:tcW w:w="420" w:type="pct"/>
                  <w:shd w:val="clear" w:color="auto" w:fill="auto"/>
                  <w:noWrap w:val="0"/>
                  <w:vAlign w:val="center"/>
                </w:tcPr>
                <w:p w14:paraId="10F73BF9">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62" w:type="pct"/>
                  <w:shd w:val="clear" w:color="auto" w:fill="auto"/>
                  <w:noWrap/>
                  <w:tcMar>
                    <w:top w:w="15" w:type="dxa"/>
                    <w:left w:w="15" w:type="dxa"/>
                    <w:right w:w="15" w:type="dxa"/>
                  </w:tcMar>
                  <w:vAlign w:val="center"/>
                </w:tcPr>
                <w:p w14:paraId="2CE7E1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56.4 </w:t>
                  </w:r>
                </w:p>
              </w:tc>
              <w:tc>
                <w:tcPr>
                  <w:tcW w:w="283" w:type="pct"/>
                  <w:vMerge w:val="continue"/>
                  <w:noWrap w:val="0"/>
                  <w:vAlign w:val="center"/>
                </w:tcPr>
                <w:p w14:paraId="53238CE9">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06ECEB95">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38E59C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36.4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4C16569E">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34FBA5D8">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5085CF85">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15AC1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紫外线消毒杀菌设备</w:t>
                  </w:r>
                </w:p>
              </w:tc>
              <w:tc>
                <w:tcPr>
                  <w:tcW w:w="425" w:type="pct"/>
                  <w:shd w:val="clear" w:color="auto" w:fill="auto"/>
                  <w:noWrap w:val="0"/>
                  <w:vAlign w:val="center"/>
                </w:tcPr>
                <w:p w14:paraId="0DDA554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73.0 </w:t>
                  </w:r>
                </w:p>
              </w:tc>
              <w:tc>
                <w:tcPr>
                  <w:tcW w:w="149" w:type="pct"/>
                  <w:vMerge w:val="continue"/>
                  <w:noWrap w:val="0"/>
                  <w:vAlign w:val="center"/>
                </w:tcPr>
                <w:p w14:paraId="4C60D682">
                  <w:pPr>
                    <w:jc w:val="center"/>
                    <w:textAlignment w:val="center"/>
                    <w:rPr>
                      <w:color w:val="auto"/>
                      <w:sz w:val="21"/>
                      <w:szCs w:val="21"/>
                    </w:rPr>
                  </w:pPr>
                </w:p>
              </w:tc>
              <w:tc>
                <w:tcPr>
                  <w:tcW w:w="805" w:type="dxa"/>
                  <w:shd w:val="clear" w:color="auto" w:fill="auto"/>
                  <w:noWrap w:val="0"/>
                  <w:vAlign w:val="center"/>
                </w:tcPr>
                <w:p w14:paraId="3F52A91F">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-16/4/1</w:t>
                  </w:r>
                </w:p>
              </w:tc>
              <w:tc>
                <w:tcPr>
                  <w:tcW w:w="420" w:type="pct"/>
                  <w:shd w:val="clear" w:color="auto" w:fill="auto"/>
                  <w:noWrap w:val="0"/>
                  <w:vAlign w:val="center"/>
                </w:tcPr>
                <w:p w14:paraId="5FC778CB">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2CBAE6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53.0 </w:t>
                  </w:r>
                </w:p>
              </w:tc>
              <w:tc>
                <w:tcPr>
                  <w:tcW w:w="283" w:type="pct"/>
                  <w:vMerge w:val="continue"/>
                  <w:noWrap w:val="0"/>
                  <w:vAlign w:val="center"/>
                </w:tcPr>
                <w:p w14:paraId="00CC487D">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52B2CDD0">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6CF8F4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5A700C17">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1EDD9787">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77DFEABD">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032B6A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成品输送线</w:t>
                  </w:r>
                </w:p>
              </w:tc>
              <w:tc>
                <w:tcPr>
                  <w:tcW w:w="425" w:type="pct"/>
                  <w:shd w:val="clear" w:color="auto" w:fill="auto"/>
                  <w:noWrap w:val="0"/>
                  <w:vAlign w:val="center"/>
                </w:tcPr>
                <w:p w14:paraId="0973A9D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91.0 </w:t>
                  </w:r>
                </w:p>
              </w:tc>
              <w:tc>
                <w:tcPr>
                  <w:tcW w:w="149" w:type="pct"/>
                  <w:vMerge w:val="continue"/>
                  <w:noWrap w:val="0"/>
                  <w:vAlign w:val="center"/>
                </w:tcPr>
                <w:p w14:paraId="6221EF90">
                  <w:pPr>
                    <w:jc w:val="center"/>
                    <w:textAlignment w:val="center"/>
                    <w:rPr>
                      <w:color w:val="auto"/>
                      <w:sz w:val="21"/>
                      <w:szCs w:val="21"/>
                    </w:rPr>
                  </w:pPr>
                </w:p>
              </w:tc>
              <w:tc>
                <w:tcPr>
                  <w:tcW w:w="805" w:type="dxa"/>
                  <w:shd w:val="clear" w:color="auto" w:fill="auto"/>
                  <w:noWrap w:val="0"/>
                  <w:vAlign w:val="center"/>
                </w:tcPr>
                <w:p w14:paraId="1EDFF5DE">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-18/8/1</w:t>
                  </w:r>
                </w:p>
              </w:tc>
              <w:tc>
                <w:tcPr>
                  <w:tcW w:w="420" w:type="pct"/>
                  <w:shd w:val="clear" w:color="auto" w:fill="auto"/>
                  <w:noWrap w:val="0"/>
                  <w:vAlign w:val="center"/>
                </w:tcPr>
                <w:p w14:paraId="4FFF3FF0">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306815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71.0 </w:t>
                  </w:r>
                </w:p>
              </w:tc>
              <w:tc>
                <w:tcPr>
                  <w:tcW w:w="283" w:type="pct"/>
                  <w:vMerge w:val="continue"/>
                  <w:noWrap w:val="0"/>
                  <w:vAlign w:val="center"/>
                </w:tcPr>
                <w:p w14:paraId="4E3AB2C9">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68598BF0">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751E5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3BDD3A91">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4F0FBA33">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C8028B0">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4C424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片冰机</w:t>
                  </w:r>
                </w:p>
              </w:tc>
              <w:tc>
                <w:tcPr>
                  <w:tcW w:w="425" w:type="pct"/>
                  <w:shd w:val="clear" w:color="auto" w:fill="auto"/>
                  <w:noWrap w:val="0"/>
                  <w:vAlign w:val="center"/>
                </w:tcPr>
                <w:p w14:paraId="46DCE45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75.0 </w:t>
                  </w:r>
                </w:p>
              </w:tc>
              <w:tc>
                <w:tcPr>
                  <w:tcW w:w="149" w:type="pct"/>
                  <w:vMerge w:val="continue"/>
                  <w:noWrap w:val="0"/>
                  <w:vAlign w:val="center"/>
                </w:tcPr>
                <w:p w14:paraId="51AA1821">
                  <w:pPr>
                    <w:jc w:val="center"/>
                    <w:textAlignment w:val="center"/>
                    <w:rPr>
                      <w:color w:val="auto"/>
                      <w:sz w:val="21"/>
                      <w:szCs w:val="21"/>
                    </w:rPr>
                  </w:pPr>
                </w:p>
              </w:tc>
              <w:tc>
                <w:tcPr>
                  <w:tcW w:w="805" w:type="dxa"/>
                  <w:shd w:val="clear" w:color="auto" w:fill="auto"/>
                  <w:noWrap w:val="0"/>
                  <w:vAlign w:val="center"/>
                </w:tcPr>
                <w:p w14:paraId="2BE1739E">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14/8/1</w:t>
                  </w:r>
                </w:p>
              </w:tc>
              <w:tc>
                <w:tcPr>
                  <w:tcW w:w="420" w:type="pct"/>
                  <w:shd w:val="clear" w:color="auto" w:fill="auto"/>
                  <w:noWrap w:val="0"/>
                  <w:vAlign w:val="center"/>
                </w:tcPr>
                <w:p w14:paraId="5C89F8B5">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380E63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55.0 </w:t>
                  </w:r>
                </w:p>
              </w:tc>
              <w:tc>
                <w:tcPr>
                  <w:tcW w:w="283" w:type="pct"/>
                  <w:vMerge w:val="continue"/>
                  <w:noWrap w:val="0"/>
                  <w:vAlign w:val="center"/>
                </w:tcPr>
                <w:p w14:paraId="1F7F9957">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7B9C8F32">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78A810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64A2D0C3">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2DACAF7B">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4962DE5E">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AAA45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cs="Times New Roman"/>
                      <w:vertAlign w:val="baseline"/>
                      <w:lang w:val="en-US" w:eastAsia="zh-CN"/>
                    </w:rPr>
                    <w:t>冷水机</w:t>
                  </w:r>
                </w:p>
              </w:tc>
              <w:tc>
                <w:tcPr>
                  <w:tcW w:w="425" w:type="pct"/>
                  <w:shd w:val="clear" w:color="auto" w:fill="auto"/>
                  <w:noWrap w:val="0"/>
                  <w:vAlign w:val="center"/>
                </w:tcPr>
                <w:p w14:paraId="11404C3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149" w:type="pct"/>
                  <w:vMerge w:val="continue"/>
                  <w:noWrap w:val="0"/>
                  <w:vAlign w:val="center"/>
                </w:tcPr>
                <w:p w14:paraId="2E28C88C">
                  <w:pPr>
                    <w:jc w:val="center"/>
                    <w:textAlignment w:val="center"/>
                    <w:rPr>
                      <w:color w:val="auto"/>
                      <w:sz w:val="21"/>
                      <w:szCs w:val="21"/>
                    </w:rPr>
                  </w:pPr>
                </w:p>
              </w:tc>
              <w:tc>
                <w:tcPr>
                  <w:tcW w:w="805" w:type="dxa"/>
                  <w:shd w:val="clear" w:color="auto" w:fill="auto"/>
                  <w:noWrap w:val="0"/>
                  <w:vAlign w:val="center"/>
                </w:tcPr>
                <w:p w14:paraId="58CB1715">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-15/6/1</w:t>
                  </w:r>
                </w:p>
              </w:tc>
              <w:tc>
                <w:tcPr>
                  <w:tcW w:w="420" w:type="pct"/>
                  <w:shd w:val="clear" w:color="auto" w:fill="auto"/>
                  <w:noWrap w:val="0"/>
                  <w:vAlign w:val="center"/>
                </w:tcPr>
                <w:p w14:paraId="7E12BBE1">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2FEFF7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58.0 </w:t>
                  </w:r>
                </w:p>
              </w:tc>
              <w:tc>
                <w:tcPr>
                  <w:tcW w:w="283" w:type="pct"/>
                  <w:vMerge w:val="continue"/>
                  <w:noWrap w:val="0"/>
                  <w:vAlign w:val="center"/>
                </w:tcPr>
                <w:p w14:paraId="0619E13D">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0FD78D40">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661132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55EA4005">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4EECD559">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34924DE9">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AAEB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真空包装机</w:t>
                  </w:r>
                </w:p>
              </w:tc>
              <w:tc>
                <w:tcPr>
                  <w:tcW w:w="425" w:type="pct"/>
                  <w:shd w:val="clear" w:color="auto" w:fill="auto"/>
                  <w:noWrap w:val="0"/>
                  <w:vAlign w:val="center"/>
                </w:tcPr>
                <w:p w14:paraId="50851B3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75.0 </w:t>
                  </w:r>
                </w:p>
              </w:tc>
              <w:tc>
                <w:tcPr>
                  <w:tcW w:w="149" w:type="pct"/>
                  <w:vMerge w:val="continue"/>
                  <w:noWrap w:val="0"/>
                  <w:vAlign w:val="center"/>
                </w:tcPr>
                <w:p w14:paraId="228AE51C">
                  <w:pPr>
                    <w:jc w:val="center"/>
                    <w:textAlignment w:val="center"/>
                    <w:rPr>
                      <w:color w:val="auto"/>
                      <w:sz w:val="21"/>
                      <w:szCs w:val="21"/>
                    </w:rPr>
                  </w:pPr>
                </w:p>
              </w:tc>
              <w:tc>
                <w:tcPr>
                  <w:tcW w:w="805" w:type="dxa"/>
                  <w:shd w:val="clear" w:color="auto" w:fill="auto"/>
                  <w:noWrap w:val="0"/>
                  <w:vAlign w:val="center"/>
                </w:tcPr>
                <w:p w14:paraId="73C19D0D">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5E4A5E3F">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6FDFFC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55.0 </w:t>
                  </w:r>
                </w:p>
              </w:tc>
              <w:tc>
                <w:tcPr>
                  <w:tcW w:w="283" w:type="pct"/>
                  <w:vMerge w:val="continue"/>
                  <w:noWrap w:val="0"/>
                  <w:vAlign w:val="center"/>
                </w:tcPr>
                <w:p w14:paraId="3FFCA3D5">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5E054F64">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476946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1E4FCC0C">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24B6858E">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9CC7D98">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6E1113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烘靴机</w:t>
                  </w:r>
                </w:p>
              </w:tc>
              <w:tc>
                <w:tcPr>
                  <w:tcW w:w="425" w:type="pct"/>
                  <w:shd w:val="clear" w:color="auto" w:fill="auto"/>
                  <w:noWrap w:val="0"/>
                  <w:vAlign w:val="center"/>
                </w:tcPr>
                <w:p w14:paraId="00B51CFA">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65.0 </w:t>
                  </w:r>
                </w:p>
              </w:tc>
              <w:tc>
                <w:tcPr>
                  <w:tcW w:w="149" w:type="pct"/>
                  <w:vMerge w:val="continue"/>
                  <w:noWrap w:val="0"/>
                  <w:vAlign w:val="center"/>
                </w:tcPr>
                <w:p w14:paraId="079F1C10">
                  <w:pPr>
                    <w:jc w:val="center"/>
                    <w:textAlignment w:val="center"/>
                    <w:rPr>
                      <w:color w:val="auto"/>
                      <w:sz w:val="21"/>
                      <w:szCs w:val="21"/>
                    </w:rPr>
                  </w:pPr>
                </w:p>
              </w:tc>
              <w:tc>
                <w:tcPr>
                  <w:tcW w:w="805" w:type="dxa"/>
                  <w:shd w:val="clear" w:color="auto" w:fill="auto"/>
                  <w:noWrap w:val="0"/>
                  <w:vAlign w:val="center"/>
                </w:tcPr>
                <w:p w14:paraId="28E3C699">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65C38891">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2BC66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45.0 </w:t>
                  </w:r>
                </w:p>
              </w:tc>
              <w:tc>
                <w:tcPr>
                  <w:tcW w:w="283" w:type="pct"/>
                  <w:vMerge w:val="continue"/>
                  <w:noWrap w:val="0"/>
                  <w:vAlign w:val="center"/>
                </w:tcPr>
                <w:p w14:paraId="2F993C78">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6ED04DE6">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6F40F1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7B9E6C19">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bidi="ar"/>
                    </w:rPr>
                    <w:t>1</w:t>
                  </w:r>
                </w:p>
              </w:tc>
            </w:tr>
            <w:tr w14:paraId="4C40D4E1">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7ADEAC05">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33024E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沁园净水机</w:t>
                  </w:r>
                </w:p>
              </w:tc>
              <w:tc>
                <w:tcPr>
                  <w:tcW w:w="425" w:type="pct"/>
                  <w:shd w:val="clear" w:color="auto" w:fill="auto"/>
                  <w:noWrap w:val="0"/>
                  <w:vAlign w:val="center"/>
                </w:tcPr>
                <w:p w14:paraId="26D38DE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47DFCE61">
                  <w:pPr>
                    <w:jc w:val="center"/>
                    <w:textAlignment w:val="center"/>
                    <w:rPr>
                      <w:color w:val="auto"/>
                      <w:sz w:val="21"/>
                      <w:szCs w:val="21"/>
                    </w:rPr>
                  </w:pPr>
                </w:p>
              </w:tc>
              <w:tc>
                <w:tcPr>
                  <w:tcW w:w="805" w:type="dxa"/>
                  <w:shd w:val="clear" w:color="auto" w:fill="auto"/>
                  <w:noWrap w:val="0"/>
                  <w:vAlign w:val="center"/>
                </w:tcPr>
                <w:p w14:paraId="3B9975A4">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10/-8/1</w:t>
                  </w:r>
                </w:p>
              </w:tc>
              <w:tc>
                <w:tcPr>
                  <w:tcW w:w="420" w:type="pct"/>
                  <w:shd w:val="clear" w:color="auto" w:fill="auto"/>
                  <w:noWrap w:val="0"/>
                  <w:vAlign w:val="center"/>
                </w:tcPr>
                <w:p w14:paraId="619023C9">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06D32A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283" w:type="pct"/>
                  <w:vMerge w:val="continue"/>
                  <w:noWrap w:val="0"/>
                  <w:vAlign w:val="center"/>
                </w:tcPr>
                <w:p w14:paraId="194BAEEB">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68DEED20">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5B667F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18DDE85D">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4B134FD9">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19CD00FE">
                  <w:pPr>
                    <w:jc w:val="center"/>
                    <w:textAlignment w:val="center"/>
                    <w:rPr>
                      <w:rFonts w:hint="eastAsia"/>
                      <w:color w:val="auto"/>
                      <w:sz w:val="21"/>
                      <w:szCs w:val="21"/>
                      <w:lang w:val="en-US" w:eastAsia="zh-CN"/>
                    </w:rPr>
                  </w:pPr>
                </w:p>
              </w:tc>
              <w:tc>
                <w:tcPr>
                  <w:tcW w:w="819" w:type="pct"/>
                  <w:shd w:val="clear" w:color="auto" w:fill="auto"/>
                  <w:noWrap/>
                  <w:tcMar>
                    <w:top w:w="15" w:type="dxa"/>
                    <w:left w:w="15" w:type="dxa"/>
                    <w:right w:w="15" w:type="dxa"/>
                  </w:tcMar>
                  <w:vAlign w:val="center"/>
                </w:tcPr>
                <w:p w14:paraId="42C5D7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vertAlign w:val="baseline"/>
                      <w:lang w:val="en-US" w:eastAsia="zh-CN"/>
                    </w:rPr>
                    <w:t>纯水机</w:t>
                  </w:r>
                </w:p>
              </w:tc>
              <w:tc>
                <w:tcPr>
                  <w:tcW w:w="425" w:type="pct"/>
                  <w:shd w:val="clear" w:color="auto" w:fill="auto"/>
                  <w:noWrap w:val="0"/>
                  <w:vAlign w:val="center"/>
                </w:tcPr>
                <w:p w14:paraId="0BA460C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149" w:type="pct"/>
                  <w:vMerge w:val="continue"/>
                  <w:noWrap w:val="0"/>
                  <w:vAlign w:val="center"/>
                </w:tcPr>
                <w:p w14:paraId="4640B237">
                  <w:pPr>
                    <w:jc w:val="center"/>
                    <w:textAlignment w:val="center"/>
                    <w:rPr>
                      <w:color w:val="auto"/>
                      <w:sz w:val="21"/>
                      <w:szCs w:val="21"/>
                    </w:rPr>
                  </w:pPr>
                </w:p>
              </w:tc>
              <w:tc>
                <w:tcPr>
                  <w:tcW w:w="805" w:type="dxa"/>
                  <w:shd w:val="clear" w:color="auto" w:fill="auto"/>
                  <w:noWrap w:val="0"/>
                  <w:vAlign w:val="center"/>
                </w:tcPr>
                <w:p w14:paraId="5F5CB61F">
                  <w:pPr>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eastAsia"/>
                      <w:color w:val="auto"/>
                      <w:sz w:val="21"/>
                      <w:szCs w:val="21"/>
                      <w:lang w:val="en-US" w:eastAsia="zh-CN"/>
                    </w:rPr>
                    <w:t>12/6/2</w:t>
                  </w:r>
                </w:p>
              </w:tc>
              <w:tc>
                <w:tcPr>
                  <w:tcW w:w="420" w:type="pct"/>
                  <w:shd w:val="clear" w:color="auto" w:fill="auto"/>
                  <w:noWrap w:val="0"/>
                  <w:vAlign w:val="center"/>
                </w:tcPr>
                <w:p w14:paraId="26E3ABF0">
                  <w:pPr>
                    <w:keepNext w:val="0"/>
                    <w:keepLines w:val="0"/>
                    <w:widowControl/>
                    <w:suppressLineNumbers w:val="0"/>
                    <w:jc w:val="center"/>
                    <w:textAlignment w:val="center"/>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62" w:type="pct"/>
                  <w:shd w:val="clear" w:color="auto" w:fill="auto"/>
                  <w:noWrap/>
                  <w:tcMar>
                    <w:top w:w="15" w:type="dxa"/>
                    <w:left w:w="15" w:type="dxa"/>
                    <w:right w:w="15" w:type="dxa"/>
                  </w:tcMar>
                  <w:vAlign w:val="center"/>
                </w:tcPr>
                <w:p w14:paraId="2CB0EF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283" w:type="pct"/>
                  <w:vMerge w:val="continue"/>
                  <w:noWrap w:val="0"/>
                  <w:vAlign w:val="center"/>
                </w:tcPr>
                <w:p w14:paraId="32F8EBF1">
                  <w:pPr>
                    <w:jc w:val="center"/>
                    <w:textAlignment w:val="center"/>
                    <w:rPr>
                      <w:rFonts w:hint="eastAsia"/>
                      <w:color w:val="auto"/>
                      <w:kern w:val="0"/>
                      <w:sz w:val="21"/>
                      <w:szCs w:val="21"/>
                      <w:lang w:bidi="ar"/>
                    </w:rPr>
                  </w:pPr>
                </w:p>
              </w:tc>
              <w:tc>
                <w:tcPr>
                  <w:tcW w:w="684" w:type="pct"/>
                  <w:shd w:val="clear" w:color="auto" w:fill="auto"/>
                  <w:noWrap/>
                  <w:tcMar>
                    <w:top w:w="15" w:type="dxa"/>
                    <w:left w:w="15" w:type="dxa"/>
                    <w:right w:w="15" w:type="dxa"/>
                  </w:tcMar>
                  <w:vAlign w:val="center"/>
                </w:tcPr>
                <w:p w14:paraId="6FED6422">
                  <w:pPr>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shd w:val="clear" w:color="auto" w:fill="auto"/>
                  <w:noWrap/>
                  <w:tcMar>
                    <w:top w:w="15" w:type="dxa"/>
                    <w:left w:w="15" w:type="dxa"/>
                    <w:right w:w="15" w:type="dxa"/>
                  </w:tcMar>
                  <w:vAlign w:val="center"/>
                </w:tcPr>
                <w:p w14:paraId="2FCEE8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611" w:type="pct"/>
                  <w:tcBorders>
                    <w:top w:val="single" w:color="auto" w:sz="4" w:space="0"/>
                    <w:bottom w:val="single" w:color="auto" w:sz="4" w:space="0"/>
                  </w:tcBorders>
                  <w:shd w:val="clear" w:color="auto" w:fill="auto"/>
                  <w:noWrap/>
                  <w:tcMar>
                    <w:top w:w="15" w:type="dxa"/>
                    <w:left w:w="15" w:type="dxa"/>
                    <w:right w:w="15" w:type="dxa"/>
                  </w:tcMar>
                  <w:vAlign w:val="center"/>
                </w:tcPr>
                <w:p w14:paraId="72647535">
                  <w:pPr>
                    <w:widowControl/>
                    <w:jc w:val="center"/>
                    <w:textAlignment w:val="center"/>
                    <w:rPr>
                      <w:rFonts w:hint="eastAsia" w:asciiTheme="minorHAnsi" w:hAnsiTheme="minorHAnsi" w:eastAsiaTheme="minorEastAsia" w:cstheme="minorBidi"/>
                      <w:color w:val="auto"/>
                      <w:kern w:val="0"/>
                      <w:sz w:val="21"/>
                      <w:szCs w:val="21"/>
                      <w:lang w:val="en-US" w:eastAsia="zh-CN" w:bidi="ar"/>
                    </w:rPr>
                  </w:pPr>
                  <w:r>
                    <w:rPr>
                      <w:rFonts w:hint="eastAsia"/>
                      <w:color w:val="auto"/>
                      <w:kern w:val="0"/>
                      <w:sz w:val="21"/>
                      <w:szCs w:val="21"/>
                      <w:lang w:val="en-US" w:eastAsia="zh-CN" w:bidi="ar"/>
                    </w:rPr>
                    <w:t>1</w:t>
                  </w:r>
                </w:p>
              </w:tc>
            </w:tr>
            <w:tr w14:paraId="68BD5320">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restart"/>
                  <w:noWrap w:val="0"/>
                  <w:vAlign w:val="center"/>
                </w:tcPr>
                <w:p w14:paraId="6EE72124">
                  <w:pPr>
                    <w:jc w:val="center"/>
                    <w:textAlignment w:val="center"/>
                    <w:rPr>
                      <w:rFonts w:hint="default"/>
                      <w:color w:val="auto"/>
                      <w:sz w:val="21"/>
                      <w:szCs w:val="21"/>
                      <w:lang w:val="en-US" w:eastAsia="zh-CN"/>
                    </w:rPr>
                  </w:pPr>
                  <w:r>
                    <w:rPr>
                      <w:rFonts w:hint="eastAsia"/>
                      <w:color w:val="auto"/>
                      <w:sz w:val="21"/>
                      <w:szCs w:val="21"/>
                      <w:lang w:val="en-US" w:eastAsia="zh-CN"/>
                    </w:rPr>
                    <w:t>污水处理站</w:t>
                  </w:r>
                </w:p>
              </w:tc>
              <w:tc>
                <w:tcPr>
                  <w:tcW w:w="819" w:type="pct"/>
                  <w:noWrap/>
                  <w:tcMar>
                    <w:top w:w="15" w:type="dxa"/>
                    <w:left w:w="15" w:type="dxa"/>
                    <w:right w:w="15" w:type="dxa"/>
                  </w:tcMar>
                  <w:vAlign w:val="center"/>
                </w:tcPr>
                <w:p w14:paraId="2E4B7176">
                  <w:pPr>
                    <w:pStyle w:val="142"/>
                    <w:jc w:val="center"/>
                    <w:rPr>
                      <w:rFonts w:hint="default" w:eastAsia="宋体"/>
                      <w:color w:val="auto"/>
                      <w:szCs w:val="21"/>
                      <w:lang w:val="en-US" w:eastAsia="zh-CN"/>
                    </w:rPr>
                  </w:pPr>
                  <w:r>
                    <w:rPr>
                      <w:rFonts w:hint="eastAsia"/>
                      <w:color w:val="auto"/>
                      <w:szCs w:val="21"/>
                      <w:lang w:val="en-US" w:eastAsia="zh-CN"/>
                    </w:rPr>
                    <w:t>压滤机</w:t>
                  </w:r>
                </w:p>
              </w:tc>
              <w:tc>
                <w:tcPr>
                  <w:tcW w:w="425" w:type="pct"/>
                  <w:noWrap w:val="0"/>
                  <w:vAlign w:val="center"/>
                </w:tcPr>
                <w:p w14:paraId="7A01D743">
                  <w:pPr>
                    <w:jc w:val="center"/>
                    <w:rPr>
                      <w:rFonts w:hint="default"/>
                      <w:color w:val="auto"/>
                      <w:szCs w:val="21"/>
                      <w:lang w:val="en-US" w:eastAsia="zh-CN"/>
                    </w:rPr>
                  </w:pPr>
                  <w:r>
                    <w:rPr>
                      <w:rFonts w:hint="eastAsia"/>
                      <w:color w:val="auto"/>
                      <w:szCs w:val="21"/>
                      <w:lang w:val="en-US" w:eastAsia="zh-CN"/>
                    </w:rPr>
                    <w:t>75</w:t>
                  </w:r>
                </w:p>
              </w:tc>
              <w:tc>
                <w:tcPr>
                  <w:tcW w:w="149" w:type="pct"/>
                  <w:vMerge w:val="continue"/>
                  <w:noWrap w:val="0"/>
                  <w:vAlign w:val="center"/>
                </w:tcPr>
                <w:p w14:paraId="7FD80CEF">
                  <w:pPr>
                    <w:jc w:val="center"/>
                    <w:textAlignment w:val="center"/>
                    <w:rPr>
                      <w:color w:val="auto"/>
                      <w:sz w:val="21"/>
                      <w:szCs w:val="21"/>
                    </w:rPr>
                  </w:pPr>
                </w:p>
              </w:tc>
              <w:tc>
                <w:tcPr>
                  <w:tcW w:w="473" w:type="pct"/>
                  <w:noWrap w:val="0"/>
                  <w:vAlign w:val="center"/>
                </w:tcPr>
                <w:p w14:paraId="0086E4A5">
                  <w:pPr>
                    <w:jc w:val="center"/>
                    <w:textAlignment w:val="center"/>
                    <w:rPr>
                      <w:rFonts w:hint="default"/>
                      <w:color w:val="auto"/>
                      <w:sz w:val="21"/>
                      <w:szCs w:val="21"/>
                      <w:lang w:val="en-US" w:eastAsia="zh-CN"/>
                    </w:rPr>
                  </w:pPr>
                  <w:r>
                    <w:rPr>
                      <w:rFonts w:hint="eastAsia"/>
                      <w:color w:val="auto"/>
                      <w:sz w:val="21"/>
                      <w:szCs w:val="21"/>
                      <w:lang w:val="en-US" w:eastAsia="zh-CN"/>
                    </w:rPr>
                    <w:t>0/1/1</w:t>
                  </w:r>
                </w:p>
              </w:tc>
              <w:tc>
                <w:tcPr>
                  <w:tcW w:w="420" w:type="pct"/>
                  <w:noWrap w:val="0"/>
                  <w:vAlign w:val="center"/>
                </w:tcPr>
                <w:p w14:paraId="0E677F23">
                  <w:pPr>
                    <w:jc w:val="center"/>
                    <w:textAlignment w:val="center"/>
                    <w:rPr>
                      <w:rFonts w:hint="default"/>
                      <w:color w:val="auto"/>
                      <w:sz w:val="21"/>
                      <w:szCs w:val="21"/>
                      <w:lang w:val="en-US" w:eastAsia="zh-CN"/>
                    </w:rPr>
                  </w:pPr>
                  <w:r>
                    <w:rPr>
                      <w:rFonts w:hint="eastAsia"/>
                      <w:color w:val="auto"/>
                      <w:sz w:val="21"/>
                      <w:szCs w:val="21"/>
                      <w:lang w:val="en-US" w:eastAsia="zh-CN"/>
                    </w:rPr>
                    <w:t>2</w:t>
                  </w:r>
                </w:p>
              </w:tc>
              <w:tc>
                <w:tcPr>
                  <w:tcW w:w="462" w:type="pct"/>
                  <w:noWrap/>
                  <w:tcMar>
                    <w:top w:w="15" w:type="dxa"/>
                    <w:left w:w="15" w:type="dxa"/>
                    <w:right w:w="15" w:type="dxa"/>
                  </w:tcMar>
                  <w:vAlign w:val="center"/>
                </w:tcPr>
                <w:p w14:paraId="0E667CE9">
                  <w:pPr>
                    <w:jc w:val="center"/>
                    <w:textAlignment w:val="center"/>
                    <w:rPr>
                      <w:rFonts w:hint="default"/>
                      <w:color w:val="auto"/>
                      <w:sz w:val="21"/>
                      <w:szCs w:val="21"/>
                      <w:lang w:val="en-US" w:eastAsia="zh-CN"/>
                    </w:rPr>
                  </w:pPr>
                  <w:r>
                    <w:rPr>
                      <w:rFonts w:hint="eastAsia"/>
                      <w:color w:val="auto"/>
                      <w:sz w:val="21"/>
                      <w:szCs w:val="21"/>
                      <w:lang w:val="en-US" w:eastAsia="zh-CN"/>
                    </w:rPr>
                    <w:t>69</w:t>
                  </w:r>
                </w:p>
              </w:tc>
              <w:tc>
                <w:tcPr>
                  <w:tcW w:w="283" w:type="pct"/>
                  <w:vMerge w:val="continue"/>
                  <w:noWrap w:val="0"/>
                  <w:vAlign w:val="center"/>
                </w:tcPr>
                <w:p w14:paraId="54DAAABF">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75D01DCD">
                  <w:pPr>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noWrap/>
                  <w:tcMar>
                    <w:top w:w="15" w:type="dxa"/>
                    <w:left w:w="15" w:type="dxa"/>
                    <w:right w:w="15" w:type="dxa"/>
                  </w:tcMar>
                  <w:vAlign w:val="center"/>
                </w:tcPr>
                <w:p w14:paraId="2142519E">
                  <w:pPr>
                    <w:jc w:val="center"/>
                    <w:textAlignment w:val="center"/>
                    <w:rPr>
                      <w:rFonts w:hint="default"/>
                      <w:color w:val="auto"/>
                      <w:sz w:val="21"/>
                      <w:szCs w:val="21"/>
                      <w:lang w:val="en-US" w:eastAsia="zh-CN"/>
                    </w:rPr>
                  </w:pPr>
                  <w:r>
                    <w:rPr>
                      <w:rFonts w:hint="eastAsia"/>
                      <w:color w:val="auto"/>
                      <w:sz w:val="21"/>
                      <w:szCs w:val="21"/>
                      <w:lang w:val="en-US" w:eastAsia="zh-CN"/>
                    </w:rPr>
                    <w:t>49</w:t>
                  </w:r>
                </w:p>
              </w:tc>
              <w:tc>
                <w:tcPr>
                  <w:tcW w:w="611" w:type="pct"/>
                  <w:tcBorders>
                    <w:top w:val="single" w:color="auto" w:sz="4" w:space="0"/>
                    <w:bottom w:val="single" w:color="auto" w:sz="4" w:space="0"/>
                  </w:tcBorders>
                  <w:noWrap/>
                  <w:tcMar>
                    <w:top w:w="15" w:type="dxa"/>
                    <w:left w:w="15" w:type="dxa"/>
                    <w:right w:w="15" w:type="dxa"/>
                  </w:tcMar>
                  <w:vAlign w:val="center"/>
                </w:tcPr>
                <w:p w14:paraId="5B076181">
                  <w:pPr>
                    <w:widowControl/>
                    <w:jc w:val="center"/>
                    <w:textAlignment w:val="center"/>
                    <w:rPr>
                      <w:rFonts w:hint="eastAsia"/>
                      <w:color w:val="auto"/>
                      <w:kern w:val="0"/>
                      <w:sz w:val="21"/>
                      <w:szCs w:val="21"/>
                      <w:lang w:val="en-US" w:eastAsia="zh-CN" w:bidi="ar"/>
                    </w:rPr>
                  </w:pPr>
                  <w:r>
                    <w:rPr>
                      <w:rFonts w:hint="eastAsia"/>
                      <w:color w:val="auto"/>
                      <w:kern w:val="0"/>
                      <w:sz w:val="21"/>
                      <w:szCs w:val="21"/>
                      <w:lang w:bidi="ar"/>
                    </w:rPr>
                    <w:t>1</w:t>
                  </w:r>
                </w:p>
              </w:tc>
            </w:tr>
            <w:tr w14:paraId="1F97B5AA">
              <w:tblPrEx>
                <w:tblBorders>
                  <w:top w:val="single" w:color="000000" w:sz="12"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46" w:type="pct"/>
                  <w:vMerge w:val="continue"/>
                  <w:noWrap w:val="0"/>
                  <w:vAlign w:val="center"/>
                </w:tcPr>
                <w:p w14:paraId="61F14C70">
                  <w:pPr>
                    <w:jc w:val="center"/>
                    <w:textAlignment w:val="center"/>
                    <w:rPr>
                      <w:rFonts w:hint="eastAsia"/>
                      <w:color w:val="auto"/>
                      <w:sz w:val="21"/>
                      <w:szCs w:val="21"/>
                      <w:lang w:val="en-US" w:eastAsia="zh-CN"/>
                    </w:rPr>
                  </w:pPr>
                </w:p>
              </w:tc>
              <w:tc>
                <w:tcPr>
                  <w:tcW w:w="819" w:type="pct"/>
                  <w:noWrap/>
                  <w:tcMar>
                    <w:top w:w="15" w:type="dxa"/>
                    <w:left w:w="15" w:type="dxa"/>
                    <w:right w:w="15" w:type="dxa"/>
                  </w:tcMar>
                  <w:vAlign w:val="center"/>
                </w:tcPr>
                <w:p w14:paraId="0624EB35">
                  <w:pPr>
                    <w:pStyle w:val="142"/>
                    <w:jc w:val="center"/>
                    <w:rPr>
                      <w:rFonts w:hint="default"/>
                      <w:color w:val="auto"/>
                      <w:szCs w:val="21"/>
                      <w:lang w:val="en-US" w:eastAsia="zh-CN"/>
                    </w:rPr>
                  </w:pPr>
                  <w:r>
                    <w:rPr>
                      <w:rFonts w:hint="eastAsia"/>
                      <w:color w:val="auto"/>
                      <w:szCs w:val="21"/>
                      <w:lang w:val="en-US" w:eastAsia="zh-CN"/>
                    </w:rPr>
                    <w:t>水泵</w:t>
                  </w:r>
                </w:p>
              </w:tc>
              <w:tc>
                <w:tcPr>
                  <w:tcW w:w="425" w:type="pct"/>
                  <w:noWrap w:val="0"/>
                  <w:vAlign w:val="center"/>
                </w:tcPr>
                <w:p w14:paraId="6FD66792">
                  <w:pPr>
                    <w:jc w:val="center"/>
                    <w:rPr>
                      <w:rFonts w:hint="default"/>
                      <w:color w:val="auto"/>
                      <w:szCs w:val="21"/>
                      <w:lang w:val="en-US" w:eastAsia="zh-CN"/>
                    </w:rPr>
                  </w:pPr>
                  <w:r>
                    <w:rPr>
                      <w:rFonts w:hint="eastAsia"/>
                      <w:color w:val="auto"/>
                      <w:szCs w:val="21"/>
                      <w:lang w:val="en-US" w:eastAsia="zh-CN"/>
                    </w:rPr>
                    <w:t>75</w:t>
                  </w:r>
                </w:p>
              </w:tc>
              <w:tc>
                <w:tcPr>
                  <w:tcW w:w="149" w:type="pct"/>
                  <w:vMerge w:val="continue"/>
                  <w:noWrap w:val="0"/>
                  <w:vAlign w:val="center"/>
                </w:tcPr>
                <w:p w14:paraId="348D0C81">
                  <w:pPr>
                    <w:jc w:val="center"/>
                    <w:textAlignment w:val="center"/>
                    <w:rPr>
                      <w:color w:val="auto"/>
                      <w:sz w:val="21"/>
                      <w:szCs w:val="21"/>
                    </w:rPr>
                  </w:pPr>
                </w:p>
              </w:tc>
              <w:tc>
                <w:tcPr>
                  <w:tcW w:w="473" w:type="pct"/>
                  <w:noWrap w:val="0"/>
                  <w:vAlign w:val="center"/>
                </w:tcPr>
                <w:p w14:paraId="08AE7E5A">
                  <w:pPr>
                    <w:jc w:val="center"/>
                    <w:textAlignment w:val="center"/>
                    <w:rPr>
                      <w:rFonts w:hint="default"/>
                      <w:color w:val="auto"/>
                      <w:sz w:val="21"/>
                      <w:szCs w:val="21"/>
                      <w:lang w:val="en-US" w:eastAsia="zh-CN"/>
                    </w:rPr>
                  </w:pPr>
                  <w:r>
                    <w:rPr>
                      <w:rFonts w:hint="eastAsia"/>
                      <w:color w:val="auto"/>
                      <w:sz w:val="21"/>
                      <w:szCs w:val="21"/>
                      <w:lang w:val="en-US" w:eastAsia="zh-CN"/>
                    </w:rPr>
                    <w:t>1/-1/1</w:t>
                  </w:r>
                </w:p>
              </w:tc>
              <w:tc>
                <w:tcPr>
                  <w:tcW w:w="420" w:type="pct"/>
                  <w:noWrap w:val="0"/>
                  <w:vAlign w:val="center"/>
                </w:tcPr>
                <w:p w14:paraId="63C5F333">
                  <w:pPr>
                    <w:jc w:val="center"/>
                    <w:textAlignment w:val="center"/>
                    <w:rPr>
                      <w:rFonts w:hint="default"/>
                      <w:color w:val="auto"/>
                      <w:sz w:val="21"/>
                      <w:szCs w:val="21"/>
                      <w:lang w:val="en-US" w:eastAsia="zh-CN"/>
                    </w:rPr>
                  </w:pPr>
                  <w:r>
                    <w:rPr>
                      <w:rFonts w:hint="eastAsia"/>
                      <w:color w:val="auto"/>
                      <w:sz w:val="21"/>
                      <w:szCs w:val="21"/>
                      <w:lang w:val="en-US" w:eastAsia="zh-CN"/>
                    </w:rPr>
                    <w:t>2</w:t>
                  </w:r>
                </w:p>
              </w:tc>
              <w:tc>
                <w:tcPr>
                  <w:tcW w:w="462" w:type="pct"/>
                  <w:noWrap/>
                  <w:tcMar>
                    <w:top w:w="15" w:type="dxa"/>
                    <w:left w:w="15" w:type="dxa"/>
                    <w:right w:w="15" w:type="dxa"/>
                  </w:tcMar>
                  <w:vAlign w:val="center"/>
                </w:tcPr>
                <w:p w14:paraId="39B8B5E2">
                  <w:pPr>
                    <w:jc w:val="center"/>
                    <w:textAlignment w:val="center"/>
                    <w:rPr>
                      <w:rFonts w:hint="default"/>
                      <w:color w:val="auto"/>
                      <w:sz w:val="21"/>
                      <w:szCs w:val="21"/>
                      <w:lang w:val="en-US" w:eastAsia="zh-CN"/>
                    </w:rPr>
                  </w:pPr>
                  <w:r>
                    <w:rPr>
                      <w:rFonts w:hint="eastAsia"/>
                      <w:color w:val="auto"/>
                      <w:sz w:val="21"/>
                      <w:szCs w:val="21"/>
                      <w:lang w:val="en-US" w:eastAsia="zh-CN"/>
                    </w:rPr>
                    <w:t>69</w:t>
                  </w:r>
                </w:p>
              </w:tc>
              <w:tc>
                <w:tcPr>
                  <w:tcW w:w="283" w:type="pct"/>
                  <w:vMerge w:val="continue"/>
                  <w:noWrap w:val="0"/>
                  <w:vAlign w:val="center"/>
                </w:tcPr>
                <w:p w14:paraId="74746645">
                  <w:pPr>
                    <w:jc w:val="center"/>
                    <w:textAlignment w:val="center"/>
                    <w:rPr>
                      <w:rFonts w:hint="eastAsia"/>
                      <w:color w:val="auto"/>
                      <w:kern w:val="0"/>
                      <w:sz w:val="21"/>
                      <w:szCs w:val="21"/>
                      <w:lang w:bidi="ar"/>
                    </w:rPr>
                  </w:pPr>
                </w:p>
              </w:tc>
              <w:tc>
                <w:tcPr>
                  <w:tcW w:w="684" w:type="pct"/>
                  <w:noWrap/>
                  <w:tcMar>
                    <w:top w:w="15" w:type="dxa"/>
                    <w:left w:w="15" w:type="dxa"/>
                    <w:right w:w="15" w:type="dxa"/>
                  </w:tcMar>
                  <w:vAlign w:val="center"/>
                </w:tcPr>
                <w:p w14:paraId="70765CC8">
                  <w:pPr>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20</w:t>
                  </w:r>
                </w:p>
              </w:tc>
              <w:tc>
                <w:tcPr>
                  <w:tcW w:w="522" w:type="pct"/>
                  <w:tcBorders>
                    <w:top w:val="single" w:color="auto" w:sz="4" w:space="0"/>
                    <w:bottom w:val="single" w:color="auto" w:sz="4" w:space="0"/>
                  </w:tcBorders>
                  <w:noWrap/>
                  <w:tcMar>
                    <w:top w:w="15" w:type="dxa"/>
                    <w:left w:w="15" w:type="dxa"/>
                    <w:right w:w="15" w:type="dxa"/>
                  </w:tcMar>
                  <w:vAlign w:val="center"/>
                </w:tcPr>
                <w:p w14:paraId="044D1099">
                  <w:pPr>
                    <w:jc w:val="center"/>
                    <w:textAlignment w:val="center"/>
                    <w:rPr>
                      <w:rFonts w:hint="default"/>
                      <w:color w:val="auto"/>
                      <w:sz w:val="21"/>
                      <w:szCs w:val="21"/>
                      <w:lang w:val="en-US" w:eastAsia="zh-CN"/>
                    </w:rPr>
                  </w:pPr>
                  <w:r>
                    <w:rPr>
                      <w:rFonts w:hint="eastAsia"/>
                      <w:color w:val="auto"/>
                      <w:sz w:val="21"/>
                      <w:szCs w:val="21"/>
                      <w:lang w:val="en-US" w:eastAsia="zh-CN"/>
                    </w:rPr>
                    <w:t>49</w:t>
                  </w:r>
                </w:p>
              </w:tc>
              <w:tc>
                <w:tcPr>
                  <w:tcW w:w="611" w:type="pct"/>
                  <w:tcBorders>
                    <w:top w:val="single" w:color="auto" w:sz="4" w:space="0"/>
                    <w:bottom w:val="single" w:color="auto" w:sz="4" w:space="0"/>
                  </w:tcBorders>
                  <w:noWrap/>
                  <w:tcMar>
                    <w:top w:w="15" w:type="dxa"/>
                    <w:left w:w="15" w:type="dxa"/>
                    <w:right w:w="15" w:type="dxa"/>
                  </w:tcMar>
                  <w:vAlign w:val="center"/>
                </w:tcPr>
                <w:p w14:paraId="18C1A747">
                  <w:pPr>
                    <w:widowControl/>
                    <w:jc w:val="center"/>
                    <w:textAlignment w:val="center"/>
                    <w:rPr>
                      <w:rFonts w:hint="eastAsia"/>
                      <w:color w:val="auto"/>
                      <w:kern w:val="0"/>
                      <w:sz w:val="21"/>
                      <w:szCs w:val="21"/>
                      <w:lang w:bidi="ar"/>
                    </w:rPr>
                  </w:pPr>
                  <w:r>
                    <w:rPr>
                      <w:rFonts w:hint="eastAsia"/>
                      <w:color w:val="auto"/>
                      <w:kern w:val="0"/>
                      <w:sz w:val="21"/>
                      <w:szCs w:val="21"/>
                      <w:lang w:bidi="ar"/>
                    </w:rPr>
                    <w:t>1</w:t>
                  </w:r>
                </w:p>
              </w:tc>
            </w:tr>
          </w:tbl>
          <w:p w14:paraId="7D2F5787">
            <w:pPr>
              <w:widowControl w:val="0"/>
              <w:bidi w:val="0"/>
              <w:spacing w:line="360" w:lineRule="auto"/>
              <w:ind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2、噪声达标情况分析</w:t>
            </w:r>
          </w:p>
          <w:p w14:paraId="195B184C">
            <w:pPr>
              <w:pStyle w:val="46"/>
              <w:bidi w:val="0"/>
              <w:rPr>
                <w:rFonts w:hint="eastAsia"/>
                <w:color w:val="auto"/>
                <w:sz w:val="24"/>
                <w:szCs w:val="24"/>
                <w:highlight w:val="none"/>
                <w:lang w:val="en-US" w:eastAsia="zh-CN"/>
              </w:rPr>
            </w:pPr>
            <w:r>
              <w:rPr>
                <w:rFonts w:hint="eastAsia"/>
                <w:color w:val="auto"/>
                <w:sz w:val="24"/>
                <w:szCs w:val="24"/>
                <w:highlight w:val="none"/>
                <w:lang w:val="en-US" w:eastAsia="zh-CN"/>
              </w:rPr>
              <w:t>项目评价范围（厂界外50m）内无环境保护目标，本评价仅分析厂界达标情况。</w:t>
            </w:r>
          </w:p>
          <w:p w14:paraId="4215EF83">
            <w:pPr>
              <w:pStyle w:val="46"/>
              <w:bidi w:val="0"/>
              <w:rPr>
                <w:rFonts w:hint="default"/>
                <w:color w:val="auto"/>
                <w:sz w:val="24"/>
                <w:szCs w:val="24"/>
                <w:highlight w:val="none"/>
                <w:lang w:val="en-US" w:eastAsia="zh-CN"/>
              </w:rPr>
            </w:pPr>
            <w:r>
              <w:rPr>
                <w:rFonts w:hint="eastAsia"/>
                <w:color w:val="auto"/>
                <w:sz w:val="24"/>
                <w:szCs w:val="24"/>
                <w:highlight w:val="none"/>
                <w:lang w:val="en-US" w:eastAsia="zh-CN"/>
              </w:rPr>
              <w:t>1）预测模式</w:t>
            </w:r>
          </w:p>
          <w:p w14:paraId="1870A2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本项目营运期噪声主要来源于厂区内各类机械设备及运输车辆产生的噪声。选用点源的噪声预测模式，点噪声源在传播过程中，受到厂房的吸收和屏蔽，又经距离衰减及空气吸收后，到达受声点。</w:t>
            </w:r>
          </w:p>
          <w:p w14:paraId="3EC2F304">
            <w:pPr>
              <w:spacing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对单个噪声源，预测模式选点源衰减公式：</w:t>
            </w:r>
          </w:p>
          <w:p w14:paraId="63D2D5A8">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object>
                <v:shape id="_x0000_i1037" o:spt="75" type="#_x0000_t75" style="height:33.8pt;width:122.75pt;" o:ole="t" filled="f" o:preferrelative="t" stroked="f" coordsize="21600,21600">
                  <v:path/>
                  <v:fill on="f" alignshape="1" focussize="0,0"/>
                  <v:stroke on="f"/>
                  <v:imagedata r:id="rId38" o:title=""/>
                  <o:lock v:ext="edit" aspectratio="t"/>
                  <w10:wrap type="none"/>
                  <w10:anchorlock/>
                </v:shape>
                <o:OLEObject Type="Embed" ProgID="Equation.3" ShapeID="_x0000_i1037" DrawAspect="Content" ObjectID="_1468075737" r:id="rId37">
                  <o:LockedField>false</o:LockedField>
                </o:OLEObject>
              </w:object>
            </w:r>
          </w:p>
          <w:p w14:paraId="54EB711C">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式中：L（r）—距离噪声源r m处的声压级，dB（A）；</w:t>
            </w:r>
          </w:p>
          <w:p w14:paraId="322F4670">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1200" w:firstLineChars="5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L（r0）—声源的声压级，dB（A）；</w:t>
            </w:r>
          </w:p>
          <w:p w14:paraId="239302FB">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1200" w:firstLineChars="5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R—预测点距离噪声源的距离，m；</w:t>
            </w:r>
          </w:p>
          <w:p w14:paraId="356A1D67">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1200" w:firstLineChars="5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ro—参考位置距噪声源的距离，m；</w:t>
            </w:r>
          </w:p>
          <w:p w14:paraId="7BBC4209">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1200" w:firstLineChars="5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A—其他效应衰减。</w:t>
            </w:r>
          </w:p>
          <w:p w14:paraId="3B121CE9">
            <w:pPr>
              <w:spacing w:line="360" w:lineRule="auto"/>
              <w:ind w:firstLine="482"/>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两个以上多个声源同时存在时，其预测点总声压级采用下列公式：</w:t>
            </w:r>
          </w:p>
          <w:p w14:paraId="4E21F581">
            <w:pPr>
              <w:spacing w:line="360" w:lineRule="auto"/>
              <w:ind w:firstLine="482"/>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object>
                <v:shape id="_x0000_i1038" o:spt="75" type="#_x0000_t75" style="height:38pt;width:251pt;" o:ole="t" filled="f" o:preferrelative="t" stroked="f" coordsize="21600,21600">
                  <v:path/>
                  <v:fill on="f" alignshape="1" focussize="0,0"/>
                  <v:stroke on="f"/>
                  <v:imagedata r:id="rId40" o:title=""/>
                  <o:lock v:ext="edit" aspectratio="t"/>
                  <w10:wrap type="none"/>
                  <w10:anchorlock/>
                </v:shape>
                <o:OLEObject Type="Embed" ProgID="Equation.DSMT4" ShapeID="_x0000_i1038" DrawAspect="Content" ObjectID="_1468075738" r:id="rId39">
                  <o:LockedField>false</o:LockedField>
                </o:OLEObject>
              </w:object>
            </w:r>
          </w:p>
          <w:p w14:paraId="54A96A41">
            <w:pPr>
              <w:spacing w:line="360" w:lineRule="auto"/>
              <w:ind w:firstLine="482"/>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式中：Leq（T）—预测点的总声级，dB(A)；</w:t>
            </w:r>
          </w:p>
          <w:p w14:paraId="07EF1FD3">
            <w:pPr>
              <w:spacing w:line="360" w:lineRule="auto"/>
              <w:ind w:firstLine="1200" w:firstLineChars="500"/>
              <w:textAlignment w:val="baseline"/>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N</w:t>
            </w:r>
            <w:r>
              <w:rPr>
                <w:rFonts w:hint="default" w:ascii="Times New Roman" w:hAnsi="Times New Roman" w:eastAsia="宋体" w:cs="Times New Roman"/>
                <w:color w:val="auto"/>
                <w:sz w:val="24"/>
                <w:szCs w:val="24"/>
              </w:rPr>
              <w:t>—室外声源个数；</w:t>
            </w:r>
          </w:p>
          <w:p w14:paraId="43786E83">
            <w:pPr>
              <w:spacing w:line="360" w:lineRule="auto"/>
              <w:ind w:firstLine="1200" w:firstLineChars="500"/>
              <w:textAlignment w:val="baseline"/>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M</w:t>
            </w:r>
            <w:r>
              <w:rPr>
                <w:rFonts w:hint="default" w:ascii="Times New Roman" w:hAnsi="Times New Roman" w:eastAsia="宋体" w:cs="Times New Roman"/>
                <w:color w:val="auto"/>
                <w:sz w:val="24"/>
                <w:szCs w:val="24"/>
              </w:rPr>
              <w:t>—等效室外声源个数；</w:t>
            </w:r>
          </w:p>
          <w:p w14:paraId="3D2DD5FB">
            <w:pPr>
              <w:pStyle w:val="46"/>
              <w:bidi w:val="0"/>
              <w:rPr>
                <w:rFonts w:hint="eastAsia"/>
                <w:color w:val="auto"/>
                <w:sz w:val="24"/>
                <w:szCs w:val="24"/>
                <w:highlight w:val="none"/>
                <w:lang w:val="en-US" w:eastAsia="zh-CN"/>
              </w:rPr>
            </w:pPr>
            <w:r>
              <w:rPr>
                <w:rFonts w:hint="eastAsia"/>
                <w:color w:val="auto"/>
                <w:sz w:val="24"/>
                <w:szCs w:val="24"/>
                <w:highlight w:val="none"/>
                <w:lang w:val="en-US" w:eastAsia="zh-CN"/>
              </w:rPr>
              <w:t>2）预测结果</w:t>
            </w:r>
          </w:p>
          <w:p w14:paraId="2E06254A">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根据上述公式计算项目各</w:t>
            </w:r>
            <w:r>
              <w:rPr>
                <w:rFonts w:hint="eastAsia" w:ascii="Times New Roman" w:hAnsi="Times New Roman" w:eastAsia="宋体" w:cs="Times New Roman"/>
                <w:color w:val="auto"/>
                <w:kern w:val="2"/>
                <w:sz w:val="24"/>
                <w:szCs w:val="24"/>
                <w:lang w:val="en-US" w:eastAsia="zh-CN" w:bidi="ar-SA"/>
              </w:rPr>
              <w:t>位置噪声源</w:t>
            </w:r>
            <w:r>
              <w:rPr>
                <w:rFonts w:hint="default" w:ascii="Times New Roman" w:hAnsi="Times New Roman" w:eastAsia="宋体" w:cs="Times New Roman"/>
                <w:color w:val="auto"/>
                <w:kern w:val="2"/>
                <w:sz w:val="24"/>
                <w:szCs w:val="24"/>
                <w:lang w:val="en-US" w:eastAsia="zh-CN" w:bidi="ar-SA"/>
              </w:rPr>
              <w:t>对建设单位厂界的噪声预测贡献值，根据《环境影响评价技术导则声环境》（HJ2.4-20</w:t>
            </w:r>
            <w:r>
              <w:rPr>
                <w:rFonts w:hint="eastAsia" w:cs="Times New Roman"/>
                <w:color w:val="auto"/>
                <w:kern w:val="2"/>
                <w:sz w:val="24"/>
                <w:szCs w:val="24"/>
                <w:lang w:val="en-US" w:eastAsia="zh-CN" w:bidi="ar-SA"/>
              </w:rPr>
              <w:t>21</w:t>
            </w:r>
            <w:r>
              <w:rPr>
                <w:rFonts w:hint="default" w:ascii="Times New Roman" w:hAnsi="Times New Roman" w:eastAsia="宋体" w:cs="Times New Roman"/>
                <w:color w:val="auto"/>
                <w:kern w:val="2"/>
                <w:sz w:val="24"/>
                <w:szCs w:val="24"/>
                <w:lang w:val="en-US" w:eastAsia="zh-CN" w:bidi="ar-SA"/>
              </w:rPr>
              <w:t>）新建项目的厂界噪声贡献值即为预测值。利用上述的预测评价数学模型，将噪声源强、源强距离厂界距离等有关参数代入公式计算预测项目噪声源同时产生噪声的最不利情况下的厂界噪声，各厂界的噪声预测结果见表</w:t>
            </w:r>
            <w:r>
              <w:rPr>
                <w:rFonts w:hint="eastAsia" w:ascii="Times New Roman" w:hAnsi="Times New Roman" w:eastAsia="宋体" w:cs="Times New Roman"/>
                <w:color w:val="auto"/>
                <w:kern w:val="2"/>
                <w:sz w:val="24"/>
                <w:szCs w:val="24"/>
                <w:lang w:val="en-US" w:eastAsia="zh-CN" w:bidi="ar-SA"/>
              </w:rPr>
              <w:t>4-</w:t>
            </w:r>
            <w:r>
              <w:rPr>
                <w:rFonts w:hint="eastAsia" w:cs="Times New Roman"/>
                <w:color w:val="auto"/>
                <w:kern w:val="2"/>
                <w:sz w:val="24"/>
                <w:szCs w:val="24"/>
                <w:lang w:val="en-US" w:eastAsia="zh-CN" w:bidi="ar-SA"/>
              </w:rPr>
              <w:t>27</w:t>
            </w:r>
            <w:r>
              <w:rPr>
                <w:rFonts w:hint="default" w:ascii="Times New Roman" w:hAnsi="Times New Roman" w:eastAsia="宋体" w:cs="Times New Roman"/>
                <w:color w:val="auto"/>
                <w:kern w:val="2"/>
                <w:sz w:val="24"/>
                <w:szCs w:val="24"/>
                <w:lang w:val="en-US" w:eastAsia="zh-CN" w:bidi="ar-SA"/>
              </w:rPr>
              <w:t>。</w:t>
            </w:r>
          </w:p>
          <w:p w14:paraId="3115B72F">
            <w:pPr>
              <w:pStyle w:val="125"/>
              <w:bidi w:val="0"/>
              <w:rPr>
                <w:rFonts w:hint="default" w:eastAsia="宋体"/>
                <w:color w:val="auto"/>
                <w:highlight w:val="none"/>
                <w:lang w:val="en-US" w:eastAsia="zh-CN"/>
              </w:rPr>
            </w:pPr>
            <w:r>
              <w:rPr>
                <w:color w:val="auto"/>
                <w:highlight w:val="none"/>
              </w:rPr>
              <w:t>表</w:t>
            </w:r>
            <w:r>
              <w:rPr>
                <w:rFonts w:hint="eastAsia"/>
                <w:color w:val="auto"/>
                <w:highlight w:val="none"/>
                <w:lang w:val="en-US" w:eastAsia="zh-CN"/>
              </w:rPr>
              <w:t xml:space="preserve">4-27  </w:t>
            </w:r>
            <w:r>
              <w:rPr>
                <w:color w:val="auto"/>
                <w:highlight w:val="none"/>
              </w:rPr>
              <w:t>厂界</w:t>
            </w:r>
            <w:r>
              <w:rPr>
                <w:rFonts w:hint="eastAsia"/>
                <w:color w:val="auto"/>
                <w:highlight w:val="none"/>
                <w:lang w:val="en-US" w:eastAsia="zh-CN"/>
              </w:rPr>
              <w:t>噪声预测结果单位：</w:t>
            </w:r>
            <w:r>
              <w:rPr>
                <w:rFonts w:ascii="Times New Roman" w:eastAsia="Times New Roman"/>
                <w:color w:val="auto"/>
                <w:highlight w:val="none"/>
              </w:rPr>
              <w:t>dB</w:t>
            </w:r>
            <w:r>
              <w:rPr>
                <w:color w:val="auto"/>
                <w:highlight w:val="none"/>
              </w:rPr>
              <w:t>（</w:t>
            </w:r>
            <w:r>
              <w:rPr>
                <w:rFonts w:ascii="Times New Roman" w:eastAsia="Times New Roman"/>
                <w:color w:val="auto"/>
                <w:highlight w:val="none"/>
              </w:rPr>
              <w:t>A</w:t>
            </w:r>
            <w:r>
              <w:rPr>
                <w:color w:val="auto"/>
                <w:highlight w:val="none"/>
              </w:rPr>
              <w:t>）</w:t>
            </w:r>
          </w:p>
          <w:tbl>
            <w:tblPr>
              <w:tblStyle w:val="33"/>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27"/>
              <w:gridCol w:w="1148"/>
              <w:gridCol w:w="1410"/>
              <w:gridCol w:w="1398"/>
              <w:gridCol w:w="1400"/>
              <w:gridCol w:w="1402"/>
            </w:tblGrid>
            <w:tr w14:paraId="35DA7C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2" w:type="pct"/>
                  <w:gridSpan w:val="2"/>
                  <w:tcBorders>
                    <w:top w:val="single" w:color="auto" w:sz="12" w:space="0"/>
                    <w:bottom w:val="single" w:color="auto" w:sz="6" w:space="0"/>
                  </w:tcBorders>
                  <w:noWrap w:val="0"/>
                  <w:tcMar>
                    <w:top w:w="15" w:type="dxa"/>
                    <w:left w:w="15" w:type="dxa"/>
                    <w:bottom w:w="0" w:type="dxa"/>
                    <w:right w:w="15" w:type="dxa"/>
                  </w:tcMar>
                  <w:vAlign w:val="center"/>
                </w:tcPr>
                <w:p w14:paraId="2BAA1CA1">
                  <w:pPr>
                    <w:jc w:val="center"/>
                    <w:rPr>
                      <w:bCs/>
                      <w:snapToGrid w:val="0"/>
                      <w:color w:val="auto"/>
                      <w:kern w:val="0"/>
                      <w:szCs w:val="21"/>
                    </w:rPr>
                  </w:pPr>
                  <w:r>
                    <w:rPr>
                      <w:bCs/>
                      <w:snapToGrid w:val="0"/>
                      <w:color w:val="auto"/>
                      <w:kern w:val="0"/>
                      <w:szCs w:val="21"/>
                    </w:rPr>
                    <w:t>点位</w:t>
                  </w:r>
                </w:p>
              </w:tc>
              <w:tc>
                <w:tcPr>
                  <w:tcW w:w="861" w:type="pct"/>
                  <w:tcBorders>
                    <w:top w:val="single" w:color="auto" w:sz="12" w:space="0"/>
                    <w:bottom w:val="single" w:color="auto" w:sz="6" w:space="0"/>
                  </w:tcBorders>
                  <w:noWrap w:val="0"/>
                  <w:tcMar>
                    <w:top w:w="15" w:type="dxa"/>
                    <w:left w:w="15" w:type="dxa"/>
                    <w:bottom w:w="0" w:type="dxa"/>
                    <w:right w:w="15" w:type="dxa"/>
                  </w:tcMar>
                  <w:vAlign w:val="center"/>
                </w:tcPr>
                <w:p w14:paraId="5FECDF6F">
                  <w:pPr>
                    <w:jc w:val="center"/>
                    <w:rPr>
                      <w:bCs/>
                      <w:snapToGrid w:val="0"/>
                      <w:color w:val="auto"/>
                      <w:kern w:val="0"/>
                      <w:szCs w:val="21"/>
                    </w:rPr>
                  </w:pPr>
                  <w:r>
                    <w:rPr>
                      <w:bCs/>
                      <w:snapToGrid w:val="0"/>
                      <w:color w:val="auto"/>
                      <w:kern w:val="0"/>
                      <w:szCs w:val="21"/>
                    </w:rPr>
                    <w:t>厂界东</w:t>
                  </w:r>
                </w:p>
              </w:tc>
              <w:tc>
                <w:tcPr>
                  <w:tcW w:w="854" w:type="pct"/>
                  <w:tcBorders>
                    <w:top w:val="single" w:color="auto" w:sz="12" w:space="0"/>
                    <w:bottom w:val="single" w:color="auto" w:sz="6" w:space="0"/>
                  </w:tcBorders>
                  <w:noWrap w:val="0"/>
                  <w:tcMar>
                    <w:top w:w="15" w:type="dxa"/>
                    <w:left w:w="15" w:type="dxa"/>
                    <w:bottom w:w="0" w:type="dxa"/>
                    <w:right w:w="15" w:type="dxa"/>
                  </w:tcMar>
                  <w:vAlign w:val="center"/>
                </w:tcPr>
                <w:p w14:paraId="35497C67">
                  <w:pPr>
                    <w:jc w:val="center"/>
                    <w:rPr>
                      <w:bCs/>
                      <w:snapToGrid w:val="0"/>
                      <w:color w:val="auto"/>
                      <w:kern w:val="0"/>
                      <w:szCs w:val="21"/>
                    </w:rPr>
                  </w:pPr>
                  <w:r>
                    <w:rPr>
                      <w:bCs/>
                      <w:snapToGrid w:val="0"/>
                      <w:color w:val="auto"/>
                      <w:kern w:val="0"/>
                      <w:szCs w:val="21"/>
                    </w:rPr>
                    <w:t>厂界南</w:t>
                  </w:r>
                </w:p>
              </w:tc>
              <w:tc>
                <w:tcPr>
                  <w:tcW w:w="855" w:type="pct"/>
                  <w:tcBorders>
                    <w:top w:val="single" w:color="auto" w:sz="12" w:space="0"/>
                    <w:bottom w:val="single" w:color="auto" w:sz="6" w:space="0"/>
                  </w:tcBorders>
                  <w:noWrap w:val="0"/>
                  <w:tcMar>
                    <w:top w:w="15" w:type="dxa"/>
                    <w:left w:w="15" w:type="dxa"/>
                    <w:bottom w:w="0" w:type="dxa"/>
                    <w:right w:w="15" w:type="dxa"/>
                  </w:tcMar>
                  <w:vAlign w:val="center"/>
                </w:tcPr>
                <w:p w14:paraId="3B593CD3">
                  <w:pPr>
                    <w:jc w:val="center"/>
                    <w:rPr>
                      <w:bCs/>
                      <w:snapToGrid w:val="0"/>
                      <w:color w:val="auto"/>
                      <w:kern w:val="0"/>
                      <w:szCs w:val="21"/>
                    </w:rPr>
                  </w:pPr>
                  <w:r>
                    <w:rPr>
                      <w:bCs/>
                      <w:snapToGrid w:val="0"/>
                      <w:color w:val="auto"/>
                      <w:kern w:val="0"/>
                      <w:szCs w:val="21"/>
                    </w:rPr>
                    <w:t>厂界西</w:t>
                  </w:r>
                </w:p>
              </w:tc>
              <w:tc>
                <w:tcPr>
                  <w:tcW w:w="856" w:type="pct"/>
                  <w:tcBorders>
                    <w:top w:val="single" w:color="auto" w:sz="12" w:space="0"/>
                    <w:bottom w:val="single" w:color="auto" w:sz="6" w:space="0"/>
                  </w:tcBorders>
                  <w:noWrap w:val="0"/>
                  <w:vAlign w:val="center"/>
                </w:tcPr>
                <w:p w14:paraId="09FB9ACD">
                  <w:pPr>
                    <w:jc w:val="center"/>
                    <w:rPr>
                      <w:bCs/>
                      <w:snapToGrid w:val="0"/>
                      <w:color w:val="auto"/>
                      <w:kern w:val="0"/>
                      <w:szCs w:val="21"/>
                    </w:rPr>
                  </w:pPr>
                  <w:r>
                    <w:rPr>
                      <w:bCs/>
                      <w:snapToGrid w:val="0"/>
                      <w:color w:val="auto"/>
                      <w:kern w:val="0"/>
                      <w:szCs w:val="21"/>
                    </w:rPr>
                    <w:t>厂界北</w:t>
                  </w:r>
                </w:p>
              </w:tc>
            </w:tr>
            <w:tr w14:paraId="0CF3F5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575" w:type="dxa"/>
                  <w:gridSpan w:val="2"/>
                  <w:tcBorders>
                    <w:top w:val="single" w:color="auto" w:sz="6" w:space="0"/>
                    <w:bottom w:val="single" w:color="auto" w:sz="6" w:space="0"/>
                  </w:tcBorders>
                  <w:noWrap w:val="0"/>
                  <w:tcMar>
                    <w:top w:w="15" w:type="dxa"/>
                    <w:left w:w="15" w:type="dxa"/>
                    <w:bottom w:w="0" w:type="dxa"/>
                    <w:right w:w="15" w:type="dxa"/>
                  </w:tcMar>
                  <w:vAlign w:val="top"/>
                </w:tcPr>
                <w:p w14:paraId="3558AC4C">
                  <w:pPr>
                    <w:jc w:val="center"/>
                    <w:rPr>
                      <w:rFonts w:hint="default" w:eastAsia="宋体"/>
                      <w:bCs/>
                      <w:snapToGrid w:val="0"/>
                      <w:color w:val="FF0000"/>
                      <w:kern w:val="0"/>
                      <w:szCs w:val="21"/>
                      <w:lang w:val="en-US" w:eastAsia="zh-CN"/>
                    </w:rPr>
                  </w:pPr>
                  <w:r>
                    <w:rPr>
                      <w:rFonts w:hint="eastAsia"/>
                      <w:vertAlign w:val="baseline"/>
                      <w:lang w:val="en-US" w:eastAsia="zh-CN"/>
                    </w:rPr>
                    <w:t>中央厨房</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1F4B09F4">
                  <w:pPr>
                    <w:keepNext w:val="0"/>
                    <w:keepLines w:val="0"/>
                    <w:widowControl/>
                    <w:suppressLineNumbers w:val="0"/>
                    <w:jc w:val="center"/>
                    <w:textAlignment w:val="center"/>
                    <w:rPr>
                      <w:rFonts w:hint="default" w:eastAsia="宋体"/>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11.9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091EEBFD">
                  <w:pPr>
                    <w:keepNext w:val="0"/>
                    <w:keepLines w:val="0"/>
                    <w:widowControl/>
                    <w:suppressLineNumbers w:val="0"/>
                    <w:jc w:val="center"/>
                    <w:textAlignment w:val="center"/>
                    <w:rPr>
                      <w:rFonts w:hint="default" w:eastAsia="宋体"/>
                      <w:color w:val="FF000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19.9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5DDEE73F">
                  <w:pPr>
                    <w:keepNext w:val="0"/>
                    <w:keepLines w:val="0"/>
                    <w:widowControl/>
                    <w:suppressLineNumbers w:val="0"/>
                    <w:jc w:val="center"/>
                    <w:textAlignment w:val="center"/>
                    <w:rPr>
                      <w:rFonts w:hint="default" w:eastAsia="宋体"/>
                      <w:color w:val="FF000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14.4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19ABE58D">
                  <w:pPr>
                    <w:keepNext w:val="0"/>
                    <w:keepLines w:val="0"/>
                    <w:widowControl/>
                    <w:suppressLineNumbers w:val="0"/>
                    <w:jc w:val="center"/>
                    <w:textAlignment w:val="center"/>
                    <w:rPr>
                      <w:rFonts w:hint="default" w:eastAsia="宋体"/>
                      <w:color w:val="FF000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11.9 </w:t>
                  </w:r>
                </w:p>
              </w:tc>
            </w:tr>
            <w:tr w14:paraId="0B96FF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575" w:type="dxa"/>
                  <w:gridSpan w:val="2"/>
                  <w:tcBorders>
                    <w:top w:val="single" w:color="auto" w:sz="6" w:space="0"/>
                    <w:bottom w:val="single" w:color="auto" w:sz="6" w:space="0"/>
                  </w:tcBorders>
                  <w:noWrap w:val="0"/>
                  <w:tcMar>
                    <w:top w:w="15" w:type="dxa"/>
                    <w:left w:w="15" w:type="dxa"/>
                    <w:bottom w:w="0" w:type="dxa"/>
                    <w:right w:w="15" w:type="dxa"/>
                  </w:tcMar>
                  <w:vAlign w:val="top"/>
                </w:tcPr>
                <w:p w14:paraId="29EE951B">
                  <w:pPr>
                    <w:jc w:val="center"/>
                    <w:rPr>
                      <w:rFonts w:hint="default"/>
                      <w:bCs/>
                      <w:snapToGrid w:val="0"/>
                      <w:color w:val="FF0000"/>
                      <w:kern w:val="0"/>
                      <w:szCs w:val="21"/>
                      <w:lang w:val="en-US" w:eastAsia="zh-CN"/>
                    </w:rPr>
                  </w:pPr>
                  <w:r>
                    <w:rPr>
                      <w:rFonts w:hint="eastAsia"/>
                      <w:vertAlign w:val="baseline"/>
                      <w:lang w:val="en-US" w:eastAsia="zh-CN"/>
                    </w:rPr>
                    <w:t>肉类车间</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721E4CFD">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9.4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1597797F">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16.7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28AB3087">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9.4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7E492C92">
                  <w:pPr>
                    <w:keepNext w:val="0"/>
                    <w:keepLines w:val="0"/>
                    <w:widowControl/>
                    <w:suppressLineNumbers w:val="0"/>
                    <w:jc w:val="center"/>
                    <w:textAlignment w:val="center"/>
                    <w:rPr>
                      <w:rFonts w:hint="default"/>
                      <w:color w:val="FF000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9.4 </w:t>
                  </w:r>
                </w:p>
              </w:tc>
            </w:tr>
            <w:tr w14:paraId="4DE2E4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1" w:hRule="atLeast"/>
                <w:jc w:val="center"/>
              </w:trPr>
              <w:tc>
                <w:tcPr>
                  <w:tcW w:w="2575" w:type="dxa"/>
                  <w:gridSpan w:val="2"/>
                  <w:tcBorders>
                    <w:top w:val="single" w:color="auto" w:sz="6" w:space="0"/>
                    <w:bottom w:val="single" w:color="auto" w:sz="6" w:space="0"/>
                  </w:tcBorders>
                  <w:noWrap w:val="0"/>
                  <w:tcMar>
                    <w:top w:w="15" w:type="dxa"/>
                    <w:left w:w="15" w:type="dxa"/>
                    <w:bottom w:w="0" w:type="dxa"/>
                    <w:right w:w="15" w:type="dxa"/>
                  </w:tcMar>
                  <w:vAlign w:val="top"/>
                </w:tcPr>
                <w:p w14:paraId="3C92EBE9">
                  <w:pPr>
                    <w:jc w:val="center"/>
                    <w:rPr>
                      <w:rFonts w:hint="default"/>
                      <w:bCs/>
                      <w:snapToGrid w:val="0"/>
                      <w:color w:val="FF0000"/>
                      <w:kern w:val="0"/>
                      <w:szCs w:val="21"/>
                      <w:lang w:val="en-US" w:eastAsia="zh-CN"/>
                    </w:rPr>
                  </w:pPr>
                  <w:r>
                    <w:rPr>
                      <w:rFonts w:hint="eastAsia"/>
                      <w:vertAlign w:val="baseline"/>
                      <w:lang w:val="en-US" w:eastAsia="zh-CN"/>
                    </w:rPr>
                    <w:t>果蔬车间</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4FE8D1B5">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9.5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1A4C85D9">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17.5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24197390">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9.5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2E3B5052">
                  <w:pPr>
                    <w:keepNext w:val="0"/>
                    <w:keepLines w:val="0"/>
                    <w:widowControl/>
                    <w:suppressLineNumbers w:val="0"/>
                    <w:jc w:val="center"/>
                    <w:textAlignment w:val="center"/>
                    <w:rPr>
                      <w:rFonts w:hint="default"/>
                      <w:color w:val="FF000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-10.5 </w:t>
                  </w:r>
                </w:p>
              </w:tc>
            </w:tr>
            <w:tr w14:paraId="01D391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575" w:type="dxa"/>
                  <w:gridSpan w:val="2"/>
                  <w:tcBorders>
                    <w:top w:val="single" w:color="auto" w:sz="6" w:space="0"/>
                    <w:bottom w:val="single" w:color="auto" w:sz="6" w:space="0"/>
                  </w:tcBorders>
                  <w:noWrap w:val="0"/>
                  <w:tcMar>
                    <w:top w:w="15" w:type="dxa"/>
                    <w:left w:w="15" w:type="dxa"/>
                    <w:bottom w:w="0" w:type="dxa"/>
                    <w:right w:w="15" w:type="dxa"/>
                  </w:tcMar>
                  <w:vAlign w:val="top"/>
                </w:tcPr>
                <w:p w14:paraId="0FCAB45B">
                  <w:pPr>
                    <w:jc w:val="center"/>
                    <w:rPr>
                      <w:rFonts w:hint="default"/>
                      <w:bCs/>
                      <w:snapToGrid w:val="0"/>
                      <w:color w:val="FF0000"/>
                      <w:kern w:val="0"/>
                      <w:szCs w:val="21"/>
                      <w:lang w:val="en-US" w:eastAsia="zh-CN"/>
                    </w:rPr>
                  </w:pPr>
                  <w:r>
                    <w:rPr>
                      <w:rFonts w:hint="eastAsia"/>
                      <w:vertAlign w:val="baseline"/>
                      <w:lang w:val="en-US" w:eastAsia="zh-CN"/>
                    </w:rPr>
                    <w:t>1号预制菜车间</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465F0F4E">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18.4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6F2A2FCB">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18.0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3BD3D7AA">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18.0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218C1E20">
                  <w:pPr>
                    <w:keepNext w:val="0"/>
                    <w:keepLines w:val="0"/>
                    <w:widowControl/>
                    <w:suppressLineNumbers w:val="0"/>
                    <w:jc w:val="center"/>
                    <w:textAlignment w:val="center"/>
                    <w:rPr>
                      <w:rFonts w:hint="default"/>
                      <w:color w:val="FF000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18.0 </w:t>
                  </w:r>
                </w:p>
              </w:tc>
            </w:tr>
            <w:tr w14:paraId="41D84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575" w:type="dxa"/>
                  <w:gridSpan w:val="2"/>
                  <w:tcBorders>
                    <w:top w:val="single" w:color="auto" w:sz="6" w:space="0"/>
                    <w:bottom w:val="single" w:color="auto" w:sz="6" w:space="0"/>
                  </w:tcBorders>
                  <w:noWrap w:val="0"/>
                  <w:tcMar>
                    <w:top w:w="15" w:type="dxa"/>
                    <w:left w:w="15" w:type="dxa"/>
                    <w:bottom w:w="0" w:type="dxa"/>
                    <w:right w:w="15" w:type="dxa"/>
                  </w:tcMar>
                  <w:vAlign w:val="top"/>
                </w:tcPr>
                <w:p w14:paraId="7D052E54">
                  <w:pPr>
                    <w:jc w:val="center"/>
                    <w:rPr>
                      <w:rFonts w:hint="default"/>
                      <w:bCs/>
                      <w:snapToGrid w:val="0"/>
                      <w:color w:val="FF0000"/>
                      <w:kern w:val="0"/>
                      <w:szCs w:val="21"/>
                      <w:lang w:val="en-US" w:eastAsia="zh-CN"/>
                    </w:rPr>
                  </w:pPr>
                  <w:r>
                    <w:rPr>
                      <w:rFonts w:hint="eastAsia"/>
                      <w:vertAlign w:val="baseline"/>
                      <w:lang w:val="en-US" w:eastAsia="zh-CN"/>
                    </w:rPr>
                    <w:t>2号预制菜车间</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6D0FE412">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14.9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05603CE6">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14.9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66990739">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14.9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6D0CBDE4">
                  <w:pPr>
                    <w:keepNext w:val="0"/>
                    <w:keepLines w:val="0"/>
                    <w:widowControl/>
                    <w:suppressLineNumbers w:val="0"/>
                    <w:jc w:val="center"/>
                    <w:textAlignment w:val="center"/>
                    <w:rPr>
                      <w:rFonts w:hint="default"/>
                      <w:color w:val="FF000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21.8 </w:t>
                  </w:r>
                </w:p>
              </w:tc>
            </w:tr>
            <w:tr w14:paraId="48CF59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575" w:type="dxa"/>
                  <w:gridSpan w:val="2"/>
                  <w:tcBorders>
                    <w:top w:val="single" w:color="auto" w:sz="6" w:space="0"/>
                    <w:bottom w:val="single" w:color="auto" w:sz="6" w:space="0"/>
                  </w:tcBorders>
                  <w:noWrap w:val="0"/>
                  <w:tcMar>
                    <w:top w:w="15" w:type="dxa"/>
                    <w:left w:w="15" w:type="dxa"/>
                    <w:bottom w:w="0" w:type="dxa"/>
                    <w:right w:w="15" w:type="dxa"/>
                  </w:tcMar>
                  <w:vAlign w:val="top"/>
                </w:tcPr>
                <w:p w14:paraId="429D5D20">
                  <w:pPr>
                    <w:jc w:val="center"/>
                    <w:rPr>
                      <w:rFonts w:hint="default"/>
                      <w:bCs/>
                      <w:snapToGrid w:val="0"/>
                      <w:color w:val="FF0000"/>
                      <w:kern w:val="0"/>
                      <w:szCs w:val="21"/>
                      <w:lang w:val="en-US" w:eastAsia="zh-CN"/>
                    </w:rPr>
                  </w:pPr>
                  <w:r>
                    <w:rPr>
                      <w:rFonts w:hint="eastAsia"/>
                      <w:vertAlign w:val="baseline"/>
                      <w:lang w:val="en-US" w:eastAsia="zh-CN"/>
                    </w:rPr>
                    <w:t>3号预制菜车间</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5883953B">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15.0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6D346FA1">
                  <w:pPr>
                    <w:keepNext w:val="0"/>
                    <w:keepLines w:val="0"/>
                    <w:widowControl/>
                    <w:suppressLineNumbers w:val="0"/>
                    <w:jc w:val="center"/>
                    <w:textAlignment w:val="center"/>
                    <w:rPr>
                      <w:rFonts w:hint="default"/>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16.5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063A3E6F">
                  <w:pPr>
                    <w:keepNext w:val="0"/>
                    <w:keepLines w:val="0"/>
                    <w:widowControl/>
                    <w:suppressLineNumbers w:val="0"/>
                    <w:jc w:val="center"/>
                    <w:textAlignment w:val="center"/>
                    <w:rPr>
                      <w:rFonts w:hint="default"/>
                      <w:color w:val="FF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9.8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263917F8">
                  <w:pPr>
                    <w:keepNext w:val="0"/>
                    <w:keepLines w:val="0"/>
                    <w:widowControl/>
                    <w:suppressLineNumbers w:val="0"/>
                    <w:jc w:val="center"/>
                    <w:textAlignment w:val="center"/>
                    <w:rPr>
                      <w:rFonts w:hint="default"/>
                      <w:color w:val="FF000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9.8 </w:t>
                  </w:r>
                </w:p>
              </w:tc>
            </w:tr>
            <w:tr w14:paraId="3A3F6D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575" w:type="dxa"/>
                  <w:gridSpan w:val="2"/>
                  <w:tcBorders>
                    <w:top w:val="single" w:color="auto" w:sz="6" w:space="0"/>
                    <w:bottom w:val="single" w:color="auto" w:sz="6" w:space="0"/>
                  </w:tcBorders>
                  <w:noWrap w:val="0"/>
                  <w:tcMar>
                    <w:top w:w="15" w:type="dxa"/>
                    <w:left w:w="15" w:type="dxa"/>
                    <w:bottom w:w="0" w:type="dxa"/>
                    <w:right w:w="15" w:type="dxa"/>
                  </w:tcMar>
                  <w:vAlign w:val="top"/>
                </w:tcPr>
                <w:p w14:paraId="659A6EEC">
                  <w:pPr>
                    <w:jc w:val="center"/>
                    <w:rPr>
                      <w:rFonts w:hint="eastAsia"/>
                      <w:bCs/>
                      <w:snapToGrid w:val="0"/>
                      <w:color w:val="FF0000"/>
                      <w:kern w:val="0"/>
                      <w:szCs w:val="21"/>
                      <w:lang w:val="en-US" w:eastAsia="zh-CN"/>
                    </w:rPr>
                  </w:pPr>
                  <w:r>
                    <w:rPr>
                      <w:rFonts w:hint="eastAsia"/>
                      <w:vertAlign w:val="baseline"/>
                      <w:lang w:val="en-US" w:eastAsia="zh-CN"/>
                    </w:rPr>
                    <w:t>4号预制菜车间</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01F60644">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14.3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228686AA">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40.3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5896C344">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14.3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1E64D715">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14.3 </w:t>
                  </w:r>
                </w:p>
              </w:tc>
            </w:tr>
            <w:tr w14:paraId="48DF7D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575" w:type="dxa"/>
                  <w:gridSpan w:val="2"/>
                  <w:tcBorders>
                    <w:top w:val="single" w:color="auto" w:sz="6" w:space="0"/>
                    <w:bottom w:val="single" w:color="auto" w:sz="6" w:space="0"/>
                  </w:tcBorders>
                  <w:noWrap w:val="0"/>
                  <w:tcMar>
                    <w:top w:w="15" w:type="dxa"/>
                    <w:left w:w="15" w:type="dxa"/>
                    <w:bottom w:w="0" w:type="dxa"/>
                    <w:right w:w="15" w:type="dxa"/>
                  </w:tcMar>
                  <w:vAlign w:val="top"/>
                </w:tcPr>
                <w:p w14:paraId="7A5942C3">
                  <w:pPr>
                    <w:jc w:val="center"/>
                    <w:rPr>
                      <w:rFonts w:hint="eastAsia"/>
                      <w:bCs/>
                      <w:snapToGrid w:val="0"/>
                      <w:color w:val="FF0000"/>
                      <w:kern w:val="0"/>
                      <w:szCs w:val="21"/>
                      <w:lang w:val="en-US" w:eastAsia="zh-CN"/>
                    </w:rPr>
                  </w:pPr>
                  <w:r>
                    <w:rPr>
                      <w:rFonts w:hint="eastAsia"/>
                      <w:vertAlign w:val="baseline"/>
                      <w:lang w:val="en-US" w:eastAsia="zh-CN"/>
                    </w:rPr>
                    <w:t>5号预制菜车间</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21CEF402">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24.1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2D01C017">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41.0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79A5ED63">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15.0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65886749">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15.0 </w:t>
                  </w:r>
                </w:p>
              </w:tc>
            </w:tr>
            <w:tr w14:paraId="689C8B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575" w:type="dxa"/>
                  <w:gridSpan w:val="2"/>
                  <w:tcBorders>
                    <w:top w:val="single" w:color="auto" w:sz="6" w:space="0"/>
                    <w:bottom w:val="single" w:color="auto" w:sz="6" w:space="0"/>
                  </w:tcBorders>
                  <w:noWrap w:val="0"/>
                  <w:tcMar>
                    <w:top w:w="15" w:type="dxa"/>
                    <w:left w:w="15" w:type="dxa"/>
                    <w:bottom w:w="0" w:type="dxa"/>
                    <w:right w:w="15" w:type="dxa"/>
                  </w:tcMar>
                  <w:vAlign w:val="top"/>
                </w:tcPr>
                <w:p w14:paraId="0928041F">
                  <w:pPr>
                    <w:jc w:val="center"/>
                    <w:rPr>
                      <w:rFonts w:hint="eastAsia"/>
                      <w:bCs/>
                      <w:snapToGrid w:val="0"/>
                      <w:color w:val="FF0000"/>
                      <w:kern w:val="0"/>
                      <w:szCs w:val="21"/>
                      <w:lang w:val="en-US" w:eastAsia="zh-CN"/>
                    </w:rPr>
                  </w:pPr>
                  <w:r>
                    <w:rPr>
                      <w:rFonts w:hint="eastAsia"/>
                      <w:vertAlign w:val="baseline"/>
                      <w:lang w:val="en-US" w:eastAsia="zh-CN"/>
                    </w:rPr>
                    <w:t>污水处理站</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40FAAB89">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64283C2F">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07A7D72D">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12.0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44ACE723">
                  <w:pPr>
                    <w:keepNext w:val="0"/>
                    <w:keepLines w:val="0"/>
                    <w:widowControl/>
                    <w:suppressLineNumbers w:val="0"/>
                    <w:jc w:val="center"/>
                    <w:textAlignment w:val="center"/>
                    <w:rPr>
                      <w:rFonts w:hint="eastAsia"/>
                      <w:snapToGrid w:val="0"/>
                      <w:color w:val="FF0000"/>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12.0 </w:t>
                  </w:r>
                </w:p>
              </w:tc>
            </w:tr>
            <w:tr w14:paraId="35C65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2" w:type="pct"/>
                  <w:gridSpan w:val="2"/>
                  <w:tcBorders>
                    <w:top w:val="single" w:color="auto" w:sz="6" w:space="0"/>
                    <w:bottom w:val="single" w:color="auto" w:sz="6" w:space="0"/>
                  </w:tcBorders>
                  <w:noWrap w:val="0"/>
                  <w:tcMar>
                    <w:top w:w="15" w:type="dxa"/>
                    <w:left w:w="15" w:type="dxa"/>
                    <w:bottom w:w="0" w:type="dxa"/>
                    <w:right w:w="15" w:type="dxa"/>
                  </w:tcMar>
                  <w:vAlign w:val="center"/>
                </w:tcPr>
                <w:p w14:paraId="21640729">
                  <w:pPr>
                    <w:jc w:val="center"/>
                    <w:rPr>
                      <w:rFonts w:hint="eastAsia"/>
                      <w:bCs/>
                      <w:snapToGrid w:val="0"/>
                      <w:color w:val="auto"/>
                      <w:kern w:val="0"/>
                      <w:szCs w:val="21"/>
                    </w:rPr>
                  </w:pPr>
                  <w:r>
                    <w:rPr>
                      <w:rFonts w:hint="eastAsia"/>
                      <w:bCs/>
                      <w:snapToGrid w:val="0"/>
                      <w:color w:val="auto"/>
                      <w:kern w:val="0"/>
                      <w:szCs w:val="21"/>
                    </w:rPr>
                    <w:t>合计</w:t>
                  </w:r>
                </w:p>
              </w:tc>
              <w:tc>
                <w:tcPr>
                  <w:tcW w:w="1410" w:type="dxa"/>
                  <w:tcBorders>
                    <w:top w:val="single" w:color="auto" w:sz="6" w:space="0"/>
                    <w:bottom w:val="single" w:color="auto" w:sz="6" w:space="0"/>
                  </w:tcBorders>
                  <w:noWrap w:val="0"/>
                  <w:tcMar>
                    <w:top w:w="15" w:type="dxa"/>
                    <w:left w:w="15" w:type="dxa"/>
                    <w:bottom w:w="0" w:type="dxa"/>
                    <w:right w:w="15" w:type="dxa"/>
                  </w:tcMar>
                  <w:vAlign w:val="center"/>
                </w:tcPr>
                <w:p w14:paraId="7C7F9BAD">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38.3 </w:t>
                  </w:r>
                </w:p>
              </w:tc>
              <w:tc>
                <w:tcPr>
                  <w:tcW w:w="1398" w:type="dxa"/>
                  <w:tcBorders>
                    <w:top w:val="single" w:color="auto" w:sz="6" w:space="0"/>
                    <w:bottom w:val="single" w:color="auto" w:sz="6" w:space="0"/>
                  </w:tcBorders>
                  <w:noWrap w:val="0"/>
                  <w:tcMar>
                    <w:top w:w="15" w:type="dxa"/>
                    <w:left w:w="15" w:type="dxa"/>
                    <w:bottom w:w="0" w:type="dxa"/>
                    <w:right w:w="15" w:type="dxa"/>
                  </w:tcMar>
                  <w:vAlign w:val="center"/>
                </w:tcPr>
                <w:p w14:paraId="33C5B224">
                  <w:pPr>
                    <w:keepNext w:val="0"/>
                    <w:keepLines w:val="0"/>
                    <w:widowControl/>
                    <w:suppressLineNumbers w:val="0"/>
                    <w:jc w:val="center"/>
                    <w:textAlignment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44.8 </w:t>
                  </w:r>
                </w:p>
              </w:tc>
              <w:tc>
                <w:tcPr>
                  <w:tcW w:w="1400" w:type="dxa"/>
                  <w:tcBorders>
                    <w:top w:val="single" w:color="auto" w:sz="6" w:space="0"/>
                    <w:bottom w:val="single" w:color="auto" w:sz="6" w:space="0"/>
                  </w:tcBorders>
                  <w:noWrap w:val="0"/>
                  <w:tcMar>
                    <w:top w:w="15" w:type="dxa"/>
                    <w:left w:w="15" w:type="dxa"/>
                    <w:bottom w:w="0" w:type="dxa"/>
                    <w:right w:w="15" w:type="dxa"/>
                  </w:tcMar>
                  <w:vAlign w:val="center"/>
                </w:tcPr>
                <w:p w14:paraId="6C54E31E">
                  <w:pPr>
                    <w:keepNext w:val="0"/>
                    <w:keepLines w:val="0"/>
                    <w:widowControl/>
                    <w:suppressLineNumbers w:val="0"/>
                    <w:jc w:val="center"/>
                    <w:textAlignment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23.7 </w:t>
                  </w:r>
                </w:p>
              </w:tc>
              <w:tc>
                <w:tcPr>
                  <w:tcW w:w="1402" w:type="dxa"/>
                  <w:tcBorders>
                    <w:top w:val="single" w:color="auto" w:sz="6" w:space="0"/>
                    <w:bottom w:val="single" w:color="auto" w:sz="6" w:space="0"/>
                  </w:tcBorders>
                  <w:noWrap w:val="0"/>
                  <w:tcMar>
                    <w:top w:w="15" w:type="dxa"/>
                    <w:left w:w="15" w:type="dxa"/>
                    <w:bottom w:w="0" w:type="dxa"/>
                    <w:right w:w="15" w:type="dxa"/>
                  </w:tcMar>
                  <w:vAlign w:val="center"/>
                </w:tcPr>
                <w:p w14:paraId="02200F8B">
                  <w:pPr>
                    <w:keepNext w:val="0"/>
                    <w:keepLines w:val="0"/>
                    <w:widowControl/>
                    <w:suppressLineNumbers w:val="0"/>
                    <w:jc w:val="center"/>
                    <w:textAlignment w:val="center"/>
                    <w:rPr>
                      <w:rFonts w:hint="default" w:ascii="Times New Roman" w:hAnsi="Times New Roman" w:eastAsia="宋体" w:cs="Times New Roman"/>
                      <w:color w:val="FF0000"/>
                      <w:kern w:val="2"/>
                      <w:sz w:val="21"/>
                      <w:szCs w:val="20"/>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25.3 </w:t>
                  </w:r>
                </w:p>
              </w:tc>
            </w:tr>
            <w:tr w14:paraId="41923A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vMerge w:val="restart"/>
                  <w:tcBorders>
                    <w:top w:val="single" w:color="auto" w:sz="6" w:space="0"/>
                  </w:tcBorders>
                  <w:noWrap w:val="0"/>
                  <w:tcMar>
                    <w:top w:w="15" w:type="dxa"/>
                    <w:left w:w="15" w:type="dxa"/>
                    <w:bottom w:w="0" w:type="dxa"/>
                    <w:right w:w="15" w:type="dxa"/>
                  </w:tcMar>
                  <w:vAlign w:val="center"/>
                </w:tcPr>
                <w:p w14:paraId="6E60EE2E">
                  <w:pPr>
                    <w:jc w:val="center"/>
                    <w:rPr>
                      <w:bCs/>
                      <w:snapToGrid w:val="0"/>
                      <w:color w:val="auto"/>
                      <w:kern w:val="0"/>
                      <w:szCs w:val="21"/>
                    </w:rPr>
                  </w:pPr>
                  <w:r>
                    <w:rPr>
                      <w:bCs/>
                      <w:snapToGrid w:val="0"/>
                      <w:color w:val="auto"/>
                      <w:kern w:val="0"/>
                      <w:szCs w:val="21"/>
                    </w:rPr>
                    <w:t>标准值</w:t>
                  </w:r>
                </w:p>
                <w:p w14:paraId="46DB5A0B">
                  <w:pPr>
                    <w:jc w:val="center"/>
                    <w:rPr>
                      <w:rFonts w:hint="default" w:eastAsia="宋体"/>
                      <w:bCs/>
                      <w:snapToGrid w:val="0"/>
                      <w:color w:val="auto"/>
                      <w:kern w:val="0"/>
                      <w:szCs w:val="21"/>
                      <w:lang w:val="en-US" w:eastAsia="zh-CN"/>
                    </w:rPr>
                  </w:pPr>
                  <w:r>
                    <w:rPr>
                      <w:rFonts w:hint="eastAsia"/>
                      <w:bCs/>
                      <w:snapToGrid w:val="0"/>
                      <w:color w:val="auto"/>
                      <w:kern w:val="0"/>
                      <w:szCs w:val="21"/>
                      <w:lang w:eastAsia="zh-CN"/>
                    </w:rPr>
                    <w:t>（</w:t>
                  </w:r>
                  <w:r>
                    <w:rPr>
                      <w:rFonts w:hint="eastAsia"/>
                      <w:bCs/>
                      <w:snapToGrid w:val="0"/>
                      <w:color w:val="auto"/>
                      <w:kern w:val="0"/>
                      <w:szCs w:val="21"/>
                      <w:lang w:val="en-US" w:eastAsia="zh-CN"/>
                    </w:rPr>
                    <w:t>厂界东侧</w:t>
                  </w:r>
                  <w:r>
                    <w:rPr>
                      <w:rFonts w:hint="eastAsia"/>
                      <w:bCs/>
                      <w:snapToGrid w:val="0"/>
                      <w:color w:val="auto"/>
                      <w:kern w:val="0"/>
                      <w:szCs w:val="21"/>
                      <w:lang w:eastAsia="zh-CN"/>
                    </w:rPr>
                    <w:t>）</w:t>
                  </w:r>
                </w:p>
              </w:tc>
              <w:tc>
                <w:tcPr>
                  <w:tcW w:w="701" w:type="pct"/>
                  <w:tcBorders>
                    <w:top w:val="single" w:color="auto" w:sz="6" w:space="0"/>
                    <w:bottom w:val="single" w:color="auto" w:sz="6" w:space="0"/>
                  </w:tcBorders>
                  <w:noWrap w:val="0"/>
                  <w:tcMar>
                    <w:top w:w="15" w:type="dxa"/>
                    <w:left w:w="15" w:type="dxa"/>
                    <w:bottom w:w="0" w:type="dxa"/>
                    <w:right w:w="15" w:type="dxa"/>
                  </w:tcMar>
                  <w:vAlign w:val="center"/>
                </w:tcPr>
                <w:p w14:paraId="71D1632B">
                  <w:pPr>
                    <w:jc w:val="center"/>
                    <w:rPr>
                      <w:bCs/>
                      <w:snapToGrid w:val="0"/>
                      <w:color w:val="auto"/>
                      <w:kern w:val="0"/>
                      <w:szCs w:val="21"/>
                    </w:rPr>
                  </w:pPr>
                  <w:r>
                    <w:rPr>
                      <w:bCs/>
                      <w:snapToGrid w:val="0"/>
                      <w:color w:val="auto"/>
                      <w:kern w:val="0"/>
                      <w:szCs w:val="21"/>
                    </w:rPr>
                    <w:t>昼间</w:t>
                  </w:r>
                </w:p>
              </w:tc>
              <w:tc>
                <w:tcPr>
                  <w:tcW w:w="3427" w:type="pct"/>
                  <w:gridSpan w:val="4"/>
                  <w:tcBorders>
                    <w:top w:val="single" w:color="auto" w:sz="6" w:space="0"/>
                    <w:bottom w:val="single" w:color="auto" w:sz="6" w:space="0"/>
                  </w:tcBorders>
                  <w:noWrap w:val="0"/>
                  <w:tcMar>
                    <w:top w:w="15" w:type="dxa"/>
                    <w:left w:w="15" w:type="dxa"/>
                    <w:bottom w:w="0" w:type="dxa"/>
                    <w:right w:w="15" w:type="dxa"/>
                  </w:tcMar>
                  <w:vAlign w:val="center"/>
                </w:tcPr>
                <w:p w14:paraId="5A587377">
                  <w:pPr>
                    <w:jc w:val="center"/>
                    <w:rPr>
                      <w:rFonts w:hint="default" w:eastAsia="宋体"/>
                      <w:bCs/>
                      <w:snapToGrid w:val="0"/>
                      <w:color w:val="auto"/>
                      <w:kern w:val="0"/>
                      <w:szCs w:val="21"/>
                      <w:lang w:val="en-US" w:eastAsia="zh-CN"/>
                    </w:rPr>
                  </w:pPr>
                  <w:r>
                    <w:rPr>
                      <w:rFonts w:hint="eastAsia"/>
                      <w:snapToGrid w:val="0"/>
                      <w:color w:val="auto"/>
                      <w:kern w:val="0"/>
                      <w:szCs w:val="21"/>
                      <w:lang w:val="en-US" w:eastAsia="zh-CN"/>
                    </w:rPr>
                    <w:t>70</w:t>
                  </w:r>
                </w:p>
              </w:tc>
            </w:tr>
            <w:tr w14:paraId="5284D2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vMerge w:val="continue"/>
                  <w:noWrap w:val="0"/>
                  <w:tcMar>
                    <w:top w:w="15" w:type="dxa"/>
                    <w:left w:w="15" w:type="dxa"/>
                    <w:bottom w:w="0" w:type="dxa"/>
                    <w:right w:w="15" w:type="dxa"/>
                  </w:tcMar>
                  <w:vAlign w:val="center"/>
                </w:tcPr>
                <w:p w14:paraId="3B3FF1BD">
                  <w:pPr>
                    <w:jc w:val="center"/>
                    <w:rPr>
                      <w:bCs/>
                      <w:snapToGrid w:val="0"/>
                      <w:color w:val="auto"/>
                      <w:kern w:val="0"/>
                      <w:szCs w:val="21"/>
                    </w:rPr>
                  </w:pPr>
                </w:p>
              </w:tc>
              <w:tc>
                <w:tcPr>
                  <w:tcW w:w="701" w:type="pct"/>
                  <w:tcBorders>
                    <w:top w:val="single" w:color="auto" w:sz="6" w:space="0"/>
                    <w:bottom w:val="single" w:color="auto" w:sz="6" w:space="0"/>
                  </w:tcBorders>
                  <w:noWrap w:val="0"/>
                  <w:tcMar>
                    <w:top w:w="15" w:type="dxa"/>
                    <w:left w:w="15" w:type="dxa"/>
                    <w:bottom w:w="0" w:type="dxa"/>
                    <w:right w:w="15" w:type="dxa"/>
                  </w:tcMar>
                  <w:vAlign w:val="center"/>
                </w:tcPr>
                <w:p w14:paraId="140C7688">
                  <w:pPr>
                    <w:jc w:val="center"/>
                    <w:rPr>
                      <w:bCs/>
                      <w:snapToGrid w:val="0"/>
                      <w:color w:val="auto"/>
                      <w:kern w:val="0"/>
                      <w:szCs w:val="21"/>
                    </w:rPr>
                  </w:pPr>
                  <w:r>
                    <w:rPr>
                      <w:bCs/>
                      <w:snapToGrid w:val="0"/>
                      <w:color w:val="auto"/>
                      <w:kern w:val="0"/>
                      <w:szCs w:val="21"/>
                    </w:rPr>
                    <w:t>夜间</w:t>
                  </w:r>
                </w:p>
              </w:tc>
              <w:tc>
                <w:tcPr>
                  <w:tcW w:w="3427" w:type="pct"/>
                  <w:gridSpan w:val="4"/>
                  <w:tcBorders>
                    <w:top w:val="single" w:color="auto" w:sz="6" w:space="0"/>
                    <w:bottom w:val="single" w:color="auto" w:sz="6" w:space="0"/>
                  </w:tcBorders>
                  <w:noWrap w:val="0"/>
                  <w:tcMar>
                    <w:top w:w="15" w:type="dxa"/>
                    <w:left w:w="15" w:type="dxa"/>
                    <w:bottom w:w="0" w:type="dxa"/>
                    <w:right w:w="15" w:type="dxa"/>
                  </w:tcMar>
                  <w:vAlign w:val="center"/>
                </w:tcPr>
                <w:p w14:paraId="3CD9EB33">
                  <w:pPr>
                    <w:jc w:val="center"/>
                    <w:rPr>
                      <w:rFonts w:hint="default" w:eastAsia="宋体"/>
                      <w:bCs/>
                      <w:snapToGrid w:val="0"/>
                      <w:color w:val="auto"/>
                      <w:kern w:val="0"/>
                      <w:szCs w:val="21"/>
                      <w:lang w:val="en-US" w:eastAsia="zh-CN"/>
                    </w:rPr>
                  </w:pPr>
                  <w:r>
                    <w:rPr>
                      <w:rFonts w:hint="eastAsia"/>
                      <w:snapToGrid w:val="0"/>
                      <w:color w:val="auto"/>
                      <w:kern w:val="0"/>
                      <w:szCs w:val="21"/>
                      <w:lang w:val="en-US" w:eastAsia="zh-CN"/>
                    </w:rPr>
                    <w:t>55</w:t>
                  </w:r>
                </w:p>
              </w:tc>
            </w:tr>
            <w:tr w14:paraId="7A6730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vMerge w:val="restart"/>
                  <w:noWrap w:val="0"/>
                  <w:tcMar>
                    <w:top w:w="15" w:type="dxa"/>
                    <w:left w:w="15" w:type="dxa"/>
                    <w:bottom w:w="0" w:type="dxa"/>
                    <w:right w:w="15" w:type="dxa"/>
                  </w:tcMar>
                  <w:vAlign w:val="center"/>
                </w:tcPr>
                <w:p w14:paraId="17B4947E">
                  <w:pPr>
                    <w:jc w:val="center"/>
                    <w:rPr>
                      <w:bCs/>
                      <w:snapToGrid w:val="0"/>
                      <w:color w:val="auto"/>
                      <w:kern w:val="0"/>
                      <w:szCs w:val="21"/>
                    </w:rPr>
                  </w:pPr>
                  <w:r>
                    <w:rPr>
                      <w:bCs/>
                      <w:snapToGrid w:val="0"/>
                      <w:color w:val="auto"/>
                      <w:kern w:val="0"/>
                      <w:szCs w:val="21"/>
                    </w:rPr>
                    <w:t>标准值</w:t>
                  </w:r>
                </w:p>
                <w:p w14:paraId="7BCAE45A">
                  <w:pPr>
                    <w:jc w:val="center"/>
                    <w:rPr>
                      <w:bCs/>
                      <w:snapToGrid w:val="0"/>
                      <w:color w:val="auto"/>
                      <w:kern w:val="0"/>
                      <w:szCs w:val="21"/>
                    </w:rPr>
                  </w:pPr>
                  <w:r>
                    <w:rPr>
                      <w:rFonts w:hint="eastAsia"/>
                      <w:bCs/>
                      <w:snapToGrid w:val="0"/>
                      <w:color w:val="auto"/>
                      <w:kern w:val="0"/>
                      <w:szCs w:val="21"/>
                      <w:lang w:eastAsia="zh-CN"/>
                    </w:rPr>
                    <w:t>（</w:t>
                  </w:r>
                  <w:r>
                    <w:rPr>
                      <w:rFonts w:hint="eastAsia"/>
                      <w:bCs/>
                      <w:snapToGrid w:val="0"/>
                      <w:color w:val="auto"/>
                      <w:kern w:val="0"/>
                      <w:szCs w:val="21"/>
                      <w:lang w:val="en-US" w:eastAsia="zh-CN"/>
                    </w:rPr>
                    <w:t>厂界南、西、北侧</w:t>
                  </w:r>
                  <w:r>
                    <w:rPr>
                      <w:rFonts w:hint="eastAsia"/>
                      <w:bCs/>
                      <w:snapToGrid w:val="0"/>
                      <w:color w:val="auto"/>
                      <w:kern w:val="0"/>
                      <w:szCs w:val="21"/>
                      <w:lang w:eastAsia="zh-CN"/>
                    </w:rPr>
                    <w:t>）</w:t>
                  </w:r>
                </w:p>
              </w:tc>
              <w:tc>
                <w:tcPr>
                  <w:tcW w:w="701" w:type="pct"/>
                  <w:tcBorders>
                    <w:top w:val="single" w:color="auto" w:sz="6" w:space="0"/>
                    <w:bottom w:val="single" w:color="auto" w:sz="6" w:space="0"/>
                  </w:tcBorders>
                  <w:shd w:val="clear" w:color="auto" w:fill="auto"/>
                  <w:noWrap w:val="0"/>
                  <w:tcMar>
                    <w:top w:w="15" w:type="dxa"/>
                    <w:left w:w="15" w:type="dxa"/>
                    <w:bottom w:w="0" w:type="dxa"/>
                    <w:right w:w="15" w:type="dxa"/>
                  </w:tcMar>
                  <w:vAlign w:val="center"/>
                </w:tcPr>
                <w:p w14:paraId="7672C08D">
                  <w:pPr>
                    <w:jc w:val="center"/>
                    <w:rPr>
                      <w:rFonts w:ascii="Times New Roman" w:hAnsi="Times New Roman" w:eastAsia="宋体" w:cs="Times New Roman"/>
                      <w:bCs/>
                      <w:snapToGrid w:val="0"/>
                      <w:color w:val="auto"/>
                      <w:kern w:val="0"/>
                      <w:sz w:val="21"/>
                      <w:szCs w:val="21"/>
                      <w:lang w:val="en-US" w:eastAsia="zh-CN" w:bidi="ar-SA"/>
                    </w:rPr>
                  </w:pPr>
                  <w:r>
                    <w:rPr>
                      <w:bCs/>
                      <w:snapToGrid w:val="0"/>
                      <w:color w:val="auto"/>
                      <w:kern w:val="0"/>
                      <w:szCs w:val="21"/>
                    </w:rPr>
                    <w:t>昼间</w:t>
                  </w:r>
                </w:p>
              </w:tc>
              <w:tc>
                <w:tcPr>
                  <w:tcW w:w="3427" w:type="pct"/>
                  <w:gridSpan w:val="4"/>
                  <w:tcBorders>
                    <w:top w:val="single" w:color="auto" w:sz="6" w:space="0"/>
                    <w:bottom w:val="single" w:color="auto" w:sz="6" w:space="0"/>
                  </w:tcBorders>
                  <w:shd w:val="clear" w:color="auto" w:fill="auto"/>
                  <w:noWrap w:val="0"/>
                  <w:tcMar>
                    <w:top w:w="15" w:type="dxa"/>
                    <w:left w:w="15" w:type="dxa"/>
                    <w:bottom w:w="0" w:type="dxa"/>
                    <w:right w:w="15" w:type="dxa"/>
                  </w:tcMar>
                  <w:vAlign w:val="center"/>
                </w:tcPr>
                <w:p w14:paraId="5E64F4F6">
                  <w:pPr>
                    <w:jc w:val="center"/>
                    <w:rPr>
                      <w:rFonts w:hint="eastAsia" w:ascii="Times New Roman" w:hAnsi="Times New Roman" w:eastAsia="宋体" w:cs="Times New Roman"/>
                      <w:bCs/>
                      <w:snapToGrid w:val="0"/>
                      <w:color w:val="auto"/>
                      <w:kern w:val="0"/>
                      <w:sz w:val="21"/>
                      <w:szCs w:val="21"/>
                      <w:lang w:val="en-US" w:eastAsia="zh-CN" w:bidi="ar-SA"/>
                    </w:rPr>
                  </w:pPr>
                  <w:r>
                    <w:rPr>
                      <w:rFonts w:hint="eastAsia"/>
                      <w:snapToGrid w:val="0"/>
                      <w:color w:val="auto"/>
                      <w:kern w:val="0"/>
                      <w:szCs w:val="21"/>
                      <w:lang w:val="en-US" w:eastAsia="zh-CN"/>
                    </w:rPr>
                    <w:t>65</w:t>
                  </w:r>
                </w:p>
              </w:tc>
            </w:tr>
            <w:tr w14:paraId="443154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vMerge w:val="continue"/>
                  <w:noWrap w:val="0"/>
                  <w:tcMar>
                    <w:top w:w="15" w:type="dxa"/>
                    <w:left w:w="15" w:type="dxa"/>
                    <w:bottom w:w="0" w:type="dxa"/>
                    <w:right w:w="15" w:type="dxa"/>
                  </w:tcMar>
                  <w:vAlign w:val="center"/>
                </w:tcPr>
                <w:p w14:paraId="44217D6F">
                  <w:pPr>
                    <w:jc w:val="center"/>
                    <w:rPr>
                      <w:bCs/>
                      <w:snapToGrid w:val="0"/>
                      <w:color w:val="auto"/>
                      <w:kern w:val="0"/>
                      <w:szCs w:val="21"/>
                    </w:rPr>
                  </w:pPr>
                </w:p>
              </w:tc>
              <w:tc>
                <w:tcPr>
                  <w:tcW w:w="701" w:type="pct"/>
                  <w:tcBorders>
                    <w:top w:val="single" w:color="auto" w:sz="6" w:space="0"/>
                    <w:bottom w:val="single" w:color="auto" w:sz="6" w:space="0"/>
                  </w:tcBorders>
                  <w:shd w:val="clear" w:color="auto" w:fill="auto"/>
                  <w:noWrap w:val="0"/>
                  <w:tcMar>
                    <w:top w:w="15" w:type="dxa"/>
                    <w:left w:w="15" w:type="dxa"/>
                    <w:bottom w:w="0" w:type="dxa"/>
                    <w:right w:w="15" w:type="dxa"/>
                  </w:tcMar>
                  <w:vAlign w:val="center"/>
                </w:tcPr>
                <w:p w14:paraId="240EED22">
                  <w:pPr>
                    <w:jc w:val="center"/>
                    <w:rPr>
                      <w:rFonts w:ascii="Times New Roman" w:hAnsi="Times New Roman" w:eastAsia="宋体" w:cs="Times New Roman"/>
                      <w:bCs/>
                      <w:snapToGrid w:val="0"/>
                      <w:color w:val="auto"/>
                      <w:kern w:val="0"/>
                      <w:sz w:val="21"/>
                      <w:szCs w:val="21"/>
                      <w:lang w:val="en-US" w:eastAsia="zh-CN" w:bidi="ar-SA"/>
                    </w:rPr>
                  </w:pPr>
                  <w:r>
                    <w:rPr>
                      <w:bCs/>
                      <w:snapToGrid w:val="0"/>
                      <w:color w:val="auto"/>
                      <w:kern w:val="0"/>
                      <w:szCs w:val="21"/>
                    </w:rPr>
                    <w:t>夜间</w:t>
                  </w:r>
                </w:p>
              </w:tc>
              <w:tc>
                <w:tcPr>
                  <w:tcW w:w="3427" w:type="pct"/>
                  <w:gridSpan w:val="4"/>
                  <w:tcBorders>
                    <w:top w:val="single" w:color="auto" w:sz="6" w:space="0"/>
                    <w:bottom w:val="single" w:color="auto" w:sz="6" w:space="0"/>
                  </w:tcBorders>
                  <w:shd w:val="clear" w:color="auto" w:fill="auto"/>
                  <w:noWrap w:val="0"/>
                  <w:tcMar>
                    <w:top w:w="15" w:type="dxa"/>
                    <w:left w:w="15" w:type="dxa"/>
                    <w:bottom w:w="0" w:type="dxa"/>
                    <w:right w:w="15" w:type="dxa"/>
                  </w:tcMar>
                  <w:vAlign w:val="center"/>
                </w:tcPr>
                <w:p w14:paraId="0BF67BC5">
                  <w:pPr>
                    <w:jc w:val="center"/>
                    <w:rPr>
                      <w:rFonts w:hint="eastAsia" w:ascii="Times New Roman" w:hAnsi="Times New Roman" w:eastAsia="宋体" w:cs="Times New Roman"/>
                      <w:bCs/>
                      <w:snapToGrid w:val="0"/>
                      <w:color w:val="auto"/>
                      <w:kern w:val="0"/>
                      <w:sz w:val="21"/>
                      <w:szCs w:val="21"/>
                      <w:lang w:val="en-US" w:eastAsia="zh-CN" w:bidi="ar-SA"/>
                    </w:rPr>
                  </w:pPr>
                  <w:r>
                    <w:rPr>
                      <w:rFonts w:hint="eastAsia"/>
                      <w:snapToGrid w:val="0"/>
                      <w:color w:val="auto"/>
                      <w:kern w:val="0"/>
                      <w:szCs w:val="21"/>
                      <w:lang w:val="en-US" w:eastAsia="zh-CN"/>
                    </w:rPr>
                    <w:t>55</w:t>
                  </w:r>
                </w:p>
              </w:tc>
            </w:tr>
            <w:tr w14:paraId="14AA99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vMerge w:val="restart"/>
                  <w:noWrap w:val="0"/>
                  <w:tcMar>
                    <w:top w:w="15" w:type="dxa"/>
                    <w:left w:w="15" w:type="dxa"/>
                    <w:bottom w:w="0" w:type="dxa"/>
                    <w:right w:w="15" w:type="dxa"/>
                  </w:tcMar>
                  <w:vAlign w:val="center"/>
                </w:tcPr>
                <w:p w14:paraId="38940D1B">
                  <w:pPr>
                    <w:jc w:val="center"/>
                    <w:rPr>
                      <w:rFonts w:hint="default" w:eastAsia="宋体"/>
                      <w:bCs/>
                      <w:snapToGrid w:val="0"/>
                      <w:color w:val="auto"/>
                      <w:kern w:val="0"/>
                      <w:szCs w:val="21"/>
                      <w:lang w:val="en-US" w:eastAsia="zh-CN"/>
                    </w:rPr>
                  </w:pPr>
                  <w:r>
                    <w:rPr>
                      <w:rFonts w:hint="eastAsia"/>
                      <w:bCs/>
                      <w:snapToGrid w:val="0"/>
                      <w:color w:val="auto"/>
                      <w:kern w:val="0"/>
                      <w:szCs w:val="21"/>
                      <w:lang w:val="en-US" w:eastAsia="zh-CN"/>
                    </w:rPr>
                    <w:t>是否达标</w:t>
                  </w:r>
                </w:p>
              </w:tc>
              <w:tc>
                <w:tcPr>
                  <w:tcW w:w="701" w:type="pct"/>
                  <w:tcBorders>
                    <w:top w:val="single" w:color="auto" w:sz="6" w:space="0"/>
                    <w:bottom w:val="single" w:color="auto" w:sz="6" w:space="0"/>
                  </w:tcBorders>
                  <w:noWrap w:val="0"/>
                  <w:tcMar>
                    <w:top w:w="15" w:type="dxa"/>
                    <w:left w:w="15" w:type="dxa"/>
                    <w:bottom w:w="0" w:type="dxa"/>
                    <w:right w:w="15" w:type="dxa"/>
                  </w:tcMar>
                  <w:vAlign w:val="center"/>
                </w:tcPr>
                <w:p w14:paraId="49FFA3AC">
                  <w:pPr>
                    <w:jc w:val="center"/>
                    <w:rPr>
                      <w:rFonts w:ascii="Times New Roman" w:hAnsi="Times New Roman" w:eastAsia="宋体" w:cs="Times New Roman"/>
                      <w:bCs/>
                      <w:snapToGrid w:val="0"/>
                      <w:color w:val="auto"/>
                      <w:kern w:val="0"/>
                      <w:sz w:val="21"/>
                      <w:szCs w:val="21"/>
                      <w:lang w:val="en-US" w:eastAsia="zh-CN" w:bidi="ar-SA"/>
                    </w:rPr>
                  </w:pPr>
                  <w:r>
                    <w:rPr>
                      <w:bCs/>
                      <w:snapToGrid w:val="0"/>
                      <w:color w:val="auto"/>
                      <w:kern w:val="0"/>
                      <w:szCs w:val="21"/>
                    </w:rPr>
                    <w:t>昼间</w:t>
                  </w:r>
                </w:p>
              </w:tc>
              <w:tc>
                <w:tcPr>
                  <w:tcW w:w="3427" w:type="pct"/>
                  <w:gridSpan w:val="4"/>
                  <w:tcBorders>
                    <w:top w:val="single" w:color="auto" w:sz="6" w:space="0"/>
                    <w:bottom w:val="single" w:color="auto" w:sz="6" w:space="0"/>
                  </w:tcBorders>
                  <w:noWrap w:val="0"/>
                  <w:tcMar>
                    <w:top w:w="15" w:type="dxa"/>
                    <w:left w:w="15" w:type="dxa"/>
                    <w:bottom w:w="0" w:type="dxa"/>
                    <w:right w:w="15" w:type="dxa"/>
                  </w:tcMar>
                  <w:vAlign w:val="center"/>
                </w:tcPr>
                <w:p w14:paraId="5A367DED">
                  <w:pPr>
                    <w:jc w:val="center"/>
                    <w:rPr>
                      <w:rFonts w:hint="eastAsia" w:eastAsia="宋体"/>
                      <w:bCs/>
                      <w:snapToGrid w:val="0"/>
                      <w:color w:val="auto"/>
                      <w:kern w:val="0"/>
                      <w:szCs w:val="21"/>
                      <w:lang w:val="en-US" w:eastAsia="zh-CN"/>
                    </w:rPr>
                  </w:pPr>
                  <w:r>
                    <w:rPr>
                      <w:rFonts w:hint="eastAsia"/>
                      <w:bCs/>
                      <w:snapToGrid w:val="0"/>
                      <w:color w:val="auto"/>
                      <w:kern w:val="0"/>
                      <w:szCs w:val="21"/>
                      <w:lang w:val="en-US" w:eastAsia="zh-CN"/>
                    </w:rPr>
                    <w:t>达标</w:t>
                  </w:r>
                </w:p>
              </w:tc>
            </w:tr>
            <w:tr w14:paraId="3AB47F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1" w:type="pct"/>
                  <w:vMerge w:val="continue"/>
                  <w:tcBorders>
                    <w:bottom w:val="single" w:color="auto" w:sz="6" w:space="0"/>
                  </w:tcBorders>
                  <w:noWrap w:val="0"/>
                  <w:tcMar>
                    <w:top w:w="15" w:type="dxa"/>
                    <w:left w:w="15" w:type="dxa"/>
                    <w:bottom w:w="0" w:type="dxa"/>
                    <w:right w:w="15" w:type="dxa"/>
                  </w:tcMar>
                  <w:vAlign w:val="center"/>
                </w:tcPr>
                <w:p w14:paraId="7E78F027">
                  <w:pPr>
                    <w:jc w:val="center"/>
                    <w:rPr>
                      <w:bCs/>
                      <w:snapToGrid w:val="0"/>
                      <w:color w:val="auto"/>
                      <w:kern w:val="0"/>
                      <w:szCs w:val="21"/>
                    </w:rPr>
                  </w:pPr>
                </w:p>
              </w:tc>
              <w:tc>
                <w:tcPr>
                  <w:tcW w:w="701" w:type="pct"/>
                  <w:tcBorders>
                    <w:top w:val="single" w:color="auto" w:sz="6" w:space="0"/>
                    <w:bottom w:val="single" w:color="auto" w:sz="6" w:space="0"/>
                  </w:tcBorders>
                  <w:noWrap w:val="0"/>
                  <w:tcMar>
                    <w:top w:w="15" w:type="dxa"/>
                    <w:left w:w="15" w:type="dxa"/>
                    <w:bottom w:w="0" w:type="dxa"/>
                    <w:right w:w="15" w:type="dxa"/>
                  </w:tcMar>
                  <w:vAlign w:val="center"/>
                </w:tcPr>
                <w:p w14:paraId="3043D1B2">
                  <w:pPr>
                    <w:jc w:val="center"/>
                    <w:rPr>
                      <w:rFonts w:ascii="Times New Roman" w:hAnsi="Times New Roman" w:eastAsia="宋体" w:cs="Times New Roman"/>
                      <w:bCs/>
                      <w:snapToGrid w:val="0"/>
                      <w:color w:val="auto"/>
                      <w:kern w:val="0"/>
                      <w:sz w:val="21"/>
                      <w:szCs w:val="21"/>
                      <w:lang w:val="en-US" w:eastAsia="zh-CN" w:bidi="ar-SA"/>
                    </w:rPr>
                  </w:pPr>
                  <w:r>
                    <w:rPr>
                      <w:bCs/>
                      <w:snapToGrid w:val="0"/>
                      <w:color w:val="auto"/>
                      <w:kern w:val="0"/>
                      <w:szCs w:val="21"/>
                    </w:rPr>
                    <w:t>夜间</w:t>
                  </w:r>
                </w:p>
              </w:tc>
              <w:tc>
                <w:tcPr>
                  <w:tcW w:w="3427" w:type="pct"/>
                  <w:gridSpan w:val="4"/>
                  <w:tcBorders>
                    <w:top w:val="single" w:color="auto" w:sz="6" w:space="0"/>
                    <w:bottom w:val="single" w:color="auto" w:sz="6" w:space="0"/>
                  </w:tcBorders>
                  <w:noWrap w:val="0"/>
                  <w:tcMar>
                    <w:top w:w="15" w:type="dxa"/>
                    <w:left w:w="15" w:type="dxa"/>
                    <w:bottom w:w="0" w:type="dxa"/>
                    <w:right w:w="15" w:type="dxa"/>
                  </w:tcMar>
                  <w:vAlign w:val="center"/>
                </w:tcPr>
                <w:p w14:paraId="039AE1F6">
                  <w:pPr>
                    <w:jc w:val="center"/>
                    <w:rPr>
                      <w:rFonts w:hint="default" w:eastAsia="宋体"/>
                      <w:bCs/>
                      <w:snapToGrid w:val="0"/>
                      <w:color w:val="auto"/>
                      <w:kern w:val="0"/>
                      <w:szCs w:val="21"/>
                      <w:lang w:val="en-US" w:eastAsia="zh-CN"/>
                    </w:rPr>
                  </w:pPr>
                  <w:r>
                    <w:rPr>
                      <w:rFonts w:hint="eastAsia"/>
                      <w:bCs/>
                      <w:snapToGrid w:val="0"/>
                      <w:color w:val="auto"/>
                      <w:kern w:val="0"/>
                      <w:szCs w:val="21"/>
                      <w:lang w:val="en-US" w:eastAsia="zh-CN"/>
                    </w:rPr>
                    <w:t>夜间不生产</w:t>
                  </w:r>
                </w:p>
              </w:tc>
            </w:tr>
          </w:tbl>
          <w:p w14:paraId="3FF584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eastAsia="宋体" w:cs="Times New Roman"/>
                <w:color w:val="auto"/>
                <w:kern w:val="2"/>
                <w:sz w:val="24"/>
                <w:szCs w:val="24"/>
                <w:lang w:val="en-US" w:eastAsia="zh-CN" w:bidi="ar-SA"/>
              </w:rPr>
              <w:t>从表</w:t>
            </w:r>
            <w:r>
              <w:rPr>
                <w:rFonts w:hint="eastAsia" w:ascii="Times New Roman" w:hAnsi="Times New Roman" w:cs="Times New Roman"/>
                <w:color w:val="auto"/>
                <w:kern w:val="2"/>
                <w:sz w:val="24"/>
                <w:szCs w:val="24"/>
                <w:lang w:val="en-US" w:eastAsia="zh-CN" w:bidi="ar-SA"/>
              </w:rPr>
              <w:t>中</w:t>
            </w:r>
            <w:r>
              <w:rPr>
                <w:rFonts w:hint="eastAsia" w:ascii="Times New Roman" w:hAnsi="Times New Roman" w:eastAsia="宋体" w:cs="Times New Roman"/>
                <w:color w:val="auto"/>
                <w:kern w:val="2"/>
                <w:sz w:val="24"/>
                <w:szCs w:val="24"/>
                <w:lang w:val="en-US" w:eastAsia="zh-CN" w:bidi="ar-SA"/>
              </w:rPr>
              <w:t>厂界</w:t>
            </w:r>
            <w:r>
              <w:rPr>
                <w:rFonts w:hint="default" w:ascii="Times New Roman" w:hAnsi="Times New Roman" w:eastAsia="宋体" w:cs="Times New Roman"/>
                <w:color w:val="auto"/>
                <w:kern w:val="2"/>
                <w:sz w:val="24"/>
                <w:szCs w:val="24"/>
                <w:lang w:val="en-US" w:eastAsia="zh-CN" w:bidi="ar-SA"/>
              </w:rPr>
              <w:t>噪声预测结果可知，</w:t>
            </w:r>
            <w:r>
              <w:rPr>
                <w:rFonts w:hint="default"/>
                <w:color w:val="auto"/>
                <w:sz w:val="24"/>
                <w:szCs w:val="24"/>
                <w:highlight w:val="none"/>
              </w:rPr>
              <w:t>本项目各种机械噪声经距离衰减后，生产噪声对厂房厂界的噪声贡献值在</w:t>
            </w:r>
            <w:r>
              <w:rPr>
                <w:rFonts w:hint="eastAsia"/>
                <w:color w:val="auto"/>
                <w:sz w:val="24"/>
                <w:szCs w:val="24"/>
                <w:highlight w:val="none"/>
                <w:lang w:val="en-US" w:eastAsia="zh-CN"/>
              </w:rPr>
              <w:t>23.7-44.8</w:t>
            </w:r>
            <w:r>
              <w:rPr>
                <w:rFonts w:hint="default"/>
                <w:color w:val="auto"/>
                <w:sz w:val="24"/>
                <w:szCs w:val="24"/>
                <w:highlight w:val="none"/>
              </w:rPr>
              <w:t>dB(A)之间</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Times New Roman" w:cs="Times New Roman"/>
                <w:color w:val="auto"/>
                <w:sz w:val="24"/>
                <w:szCs w:val="24"/>
                <w:lang w:val="zh-CN"/>
              </w:rPr>
              <w:t>运营期</w:t>
            </w:r>
            <w:r>
              <w:rPr>
                <w:rFonts w:hint="eastAsia" w:eastAsia="宋体" w:cs="Times New Roman"/>
                <w:color w:val="auto"/>
                <w:sz w:val="24"/>
                <w:szCs w:val="24"/>
                <w:lang w:val="en-US" w:eastAsia="zh-CN"/>
              </w:rPr>
              <w:t>厂界东侧噪声</w:t>
            </w:r>
            <w:r>
              <w:rPr>
                <w:rFonts w:hint="default" w:ascii="Times New Roman" w:hAnsi="Times New Roman" w:eastAsia="Times New Roman" w:cs="Times New Roman"/>
                <w:color w:val="auto"/>
                <w:sz w:val="24"/>
                <w:szCs w:val="24"/>
                <w:lang w:val="zh-CN"/>
              </w:rPr>
              <w:t>执行《工业企业厂界环境噪声排放标准》（GB12348-2008）中的</w:t>
            </w:r>
            <w:r>
              <w:rPr>
                <w:rFonts w:hint="eastAsia" w:ascii="Times New Roman" w:hAnsi="Times New Roman" w:eastAsia="Times New Roman" w:cs="Times New Roman"/>
                <w:color w:val="auto"/>
                <w:sz w:val="24"/>
                <w:szCs w:val="24"/>
                <w:lang w:val="en-US" w:eastAsia="zh-CN"/>
              </w:rPr>
              <w:t>4</w:t>
            </w:r>
            <w:r>
              <w:rPr>
                <w:rFonts w:hint="default" w:ascii="Times New Roman" w:hAnsi="Times New Roman" w:eastAsia="宋体" w:cs="Times New Roman"/>
                <w:color w:val="auto"/>
                <w:sz w:val="24"/>
                <w:szCs w:val="24"/>
              </w:rPr>
              <w:t>类区标准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其余三侧</w:t>
            </w:r>
            <w:r>
              <w:rPr>
                <w:rFonts w:hint="default" w:ascii="Times New Roman" w:hAnsi="Times New Roman" w:eastAsia="Times New Roman" w:cs="Times New Roman"/>
                <w:color w:val="auto"/>
                <w:sz w:val="24"/>
                <w:szCs w:val="24"/>
                <w:lang w:val="zh-CN"/>
              </w:rPr>
              <w:t>执行</w:t>
            </w:r>
            <w:r>
              <w:rPr>
                <w:rFonts w:hint="eastAsia" w:ascii="Times New Roman" w:hAnsi="Times New Roman" w:eastAsia="Times New Roman" w:cs="Times New Roman"/>
                <w:color w:val="auto"/>
                <w:sz w:val="24"/>
                <w:szCs w:val="24"/>
                <w:lang w:val="en-US" w:eastAsia="zh-CN"/>
              </w:rPr>
              <w:t>3</w:t>
            </w:r>
            <w:r>
              <w:rPr>
                <w:rFonts w:hint="default" w:ascii="Times New Roman" w:hAnsi="Times New Roman" w:eastAsia="宋体" w:cs="Times New Roman"/>
                <w:color w:val="auto"/>
                <w:sz w:val="24"/>
                <w:szCs w:val="24"/>
              </w:rPr>
              <w:t>类区标准</w:t>
            </w:r>
            <w:r>
              <w:rPr>
                <w:rFonts w:hint="eastAsia" w:cs="Times New Roman"/>
                <w:color w:val="auto"/>
                <w:sz w:val="24"/>
                <w:szCs w:val="24"/>
                <w:lang w:eastAsia="zh-CN"/>
              </w:rPr>
              <w:t>。</w:t>
            </w:r>
          </w:p>
          <w:p w14:paraId="2BEA7E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rPr>
            </w:pPr>
            <w:r>
              <w:rPr>
                <w:rFonts w:hint="default"/>
                <w:color w:val="auto"/>
                <w:sz w:val="24"/>
                <w:szCs w:val="24"/>
                <w:highlight w:val="none"/>
              </w:rPr>
              <w:t>此外，为确保本项目场界噪声达标排放及减轻对项目周边居住区的影响，本次评价建议建设单位采取以下措施降低噪声：</w:t>
            </w:r>
          </w:p>
          <w:p w14:paraId="14E716CD">
            <w:pPr>
              <w:pStyle w:val="46"/>
              <w:bidi w:val="0"/>
              <w:rPr>
                <w:rFonts w:hint="default"/>
                <w:color w:val="auto"/>
                <w:sz w:val="24"/>
                <w:szCs w:val="24"/>
                <w:highlight w:val="none"/>
              </w:rPr>
            </w:pPr>
            <w:r>
              <w:rPr>
                <w:rFonts w:hint="default"/>
                <w:color w:val="auto"/>
                <w:sz w:val="24"/>
                <w:szCs w:val="24"/>
                <w:highlight w:val="none"/>
              </w:rPr>
              <w:fldChar w:fldCharType="begin"/>
            </w:r>
            <w:r>
              <w:rPr>
                <w:rFonts w:hint="default"/>
                <w:color w:val="auto"/>
                <w:sz w:val="24"/>
                <w:szCs w:val="24"/>
                <w:highlight w:val="none"/>
              </w:rPr>
              <w:instrText xml:space="preserve"> = 1 \* GB3 </w:instrText>
            </w:r>
            <w:r>
              <w:rPr>
                <w:rFonts w:hint="default"/>
                <w:color w:val="auto"/>
                <w:sz w:val="24"/>
                <w:szCs w:val="24"/>
                <w:highlight w:val="none"/>
              </w:rPr>
              <w:fldChar w:fldCharType="separate"/>
            </w:r>
            <w:r>
              <w:rPr>
                <w:rFonts w:hint="default"/>
                <w:color w:val="auto"/>
                <w:sz w:val="24"/>
                <w:szCs w:val="24"/>
                <w:highlight w:val="none"/>
              </w:rPr>
              <w:t>①</w:t>
            </w:r>
            <w:r>
              <w:rPr>
                <w:rFonts w:hint="default"/>
                <w:color w:val="auto"/>
                <w:sz w:val="24"/>
                <w:szCs w:val="24"/>
                <w:highlight w:val="none"/>
              </w:rPr>
              <w:fldChar w:fldCharType="end"/>
            </w:r>
            <w:r>
              <w:rPr>
                <w:rFonts w:hint="default"/>
                <w:color w:val="auto"/>
                <w:sz w:val="24"/>
                <w:szCs w:val="24"/>
                <w:highlight w:val="none"/>
              </w:rPr>
              <w:t>从声源上控制，选择低噪声和符合国家噪声标准的设备；</w:t>
            </w:r>
          </w:p>
          <w:p w14:paraId="629AB707">
            <w:pPr>
              <w:pStyle w:val="46"/>
              <w:bidi w:val="0"/>
              <w:rPr>
                <w:rFonts w:hint="default"/>
                <w:color w:val="auto"/>
                <w:sz w:val="24"/>
                <w:szCs w:val="24"/>
                <w:highlight w:val="none"/>
              </w:rPr>
            </w:pPr>
            <w:r>
              <w:rPr>
                <w:rFonts w:hint="default"/>
                <w:color w:val="auto"/>
                <w:sz w:val="24"/>
                <w:szCs w:val="24"/>
                <w:highlight w:val="none"/>
              </w:rPr>
              <w:fldChar w:fldCharType="begin"/>
            </w:r>
            <w:r>
              <w:rPr>
                <w:rFonts w:hint="default"/>
                <w:color w:val="auto"/>
                <w:sz w:val="24"/>
                <w:szCs w:val="24"/>
                <w:highlight w:val="none"/>
              </w:rPr>
              <w:instrText xml:space="preserve"> = 2 \* GB3 </w:instrText>
            </w:r>
            <w:r>
              <w:rPr>
                <w:rFonts w:hint="default"/>
                <w:color w:val="auto"/>
                <w:sz w:val="24"/>
                <w:szCs w:val="24"/>
                <w:highlight w:val="none"/>
              </w:rPr>
              <w:fldChar w:fldCharType="separate"/>
            </w:r>
            <w:r>
              <w:rPr>
                <w:rFonts w:hint="default"/>
                <w:color w:val="auto"/>
                <w:sz w:val="24"/>
                <w:szCs w:val="24"/>
                <w:highlight w:val="none"/>
              </w:rPr>
              <w:t>②</w:t>
            </w:r>
            <w:r>
              <w:rPr>
                <w:rFonts w:hint="default"/>
                <w:color w:val="auto"/>
                <w:sz w:val="24"/>
                <w:szCs w:val="24"/>
                <w:highlight w:val="none"/>
              </w:rPr>
              <w:fldChar w:fldCharType="end"/>
            </w:r>
            <w:r>
              <w:rPr>
                <w:rFonts w:hint="default"/>
                <w:color w:val="auto"/>
                <w:sz w:val="24"/>
                <w:szCs w:val="24"/>
                <w:highlight w:val="none"/>
              </w:rPr>
              <w:t>合理布局本项目高噪声的设备，将生产设备全部布置于车间内部，同时将厂房进行封闭，减少对外界的影响；</w:t>
            </w:r>
          </w:p>
          <w:p w14:paraId="785CF42B">
            <w:pPr>
              <w:pStyle w:val="46"/>
              <w:bidi w:val="0"/>
              <w:rPr>
                <w:rFonts w:hint="default"/>
                <w:color w:val="auto"/>
                <w:sz w:val="24"/>
                <w:szCs w:val="24"/>
                <w:highlight w:val="none"/>
              </w:rPr>
            </w:pPr>
            <w:r>
              <w:rPr>
                <w:rFonts w:hint="default"/>
                <w:color w:val="auto"/>
                <w:sz w:val="24"/>
                <w:szCs w:val="24"/>
                <w:highlight w:val="none"/>
              </w:rPr>
              <w:fldChar w:fldCharType="begin"/>
            </w:r>
            <w:r>
              <w:rPr>
                <w:rFonts w:hint="default"/>
                <w:color w:val="auto"/>
                <w:sz w:val="24"/>
                <w:szCs w:val="24"/>
                <w:highlight w:val="none"/>
              </w:rPr>
              <w:instrText xml:space="preserve"> = 3 \* GB3 </w:instrText>
            </w:r>
            <w:r>
              <w:rPr>
                <w:rFonts w:hint="default"/>
                <w:color w:val="auto"/>
                <w:sz w:val="24"/>
                <w:szCs w:val="24"/>
                <w:highlight w:val="none"/>
              </w:rPr>
              <w:fldChar w:fldCharType="separate"/>
            </w:r>
            <w:r>
              <w:rPr>
                <w:rFonts w:hint="default"/>
                <w:color w:val="auto"/>
                <w:sz w:val="24"/>
                <w:szCs w:val="24"/>
                <w:highlight w:val="none"/>
              </w:rPr>
              <w:t>③</w:t>
            </w:r>
            <w:r>
              <w:rPr>
                <w:rFonts w:hint="default"/>
                <w:color w:val="auto"/>
                <w:sz w:val="24"/>
                <w:szCs w:val="24"/>
                <w:highlight w:val="none"/>
              </w:rPr>
              <w:fldChar w:fldCharType="end"/>
            </w:r>
            <w:r>
              <w:rPr>
                <w:rFonts w:hint="default"/>
                <w:color w:val="auto"/>
                <w:sz w:val="24"/>
                <w:szCs w:val="24"/>
                <w:highlight w:val="none"/>
              </w:rPr>
              <w:t>加强对高噪声设备维护，确保设备处于良好的运转状态，杜绝因设备不正常运转时产生的高噪声现象；</w:t>
            </w:r>
          </w:p>
          <w:p w14:paraId="5367D345">
            <w:pPr>
              <w:pStyle w:val="46"/>
              <w:bidi w:val="0"/>
              <w:rPr>
                <w:rFonts w:hint="default"/>
                <w:color w:val="auto"/>
                <w:sz w:val="24"/>
                <w:szCs w:val="24"/>
                <w:highlight w:val="none"/>
              </w:rPr>
            </w:pPr>
            <w:r>
              <w:rPr>
                <w:rFonts w:hint="default"/>
                <w:color w:val="auto"/>
                <w:sz w:val="24"/>
                <w:szCs w:val="24"/>
                <w:highlight w:val="none"/>
              </w:rPr>
              <w:fldChar w:fldCharType="begin"/>
            </w:r>
            <w:r>
              <w:rPr>
                <w:rFonts w:hint="default"/>
                <w:color w:val="auto"/>
                <w:sz w:val="24"/>
                <w:szCs w:val="24"/>
                <w:highlight w:val="none"/>
              </w:rPr>
              <w:instrText xml:space="preserve"> = 4 \* GB3 </w:instrText>
            </w:r>
            <w:r>
              <w:rPr>
                <w:rFonts w:hint="default"/>
                <w:color w:val="auto"/>
                <w:sz w:val="24"/>
                <w:szCs w:val="24"/>
                <w:highlight w:val="none"/>
              </w:rPr>
              <w:fldChar w:fldCharType="separate"/>
            </w:r>
            <w:r>
              <w:rPr>
                <w:rFonts w:hint="default"/>
                <w:color w:val="auto"/>
                <w:sz w:val="24"/>
                <w:szCs w:val="24"/>
                <w:highlight w:val="none"/>
              </w:rPr>
              <w:t>④</w:t>
            </w:r>
            <w:r>
              <w:rPr>
                <w:rFonts w:hint="default"/>
                <w:color w:val="auto"/>
                <w:sz w:val="24"/>
                <w:szCs w:val="24"/>
                <w:highlight w:val="none"/>
              </w:rPr>
              <w:fldChar w:fldCharType="end"/>
            </w:r>
            <w:r>
              <w:rPr>
                <w:rFonts w:hint="default"/>
                <w:color w:val="auto"/>
                <w:sz w:val="24"/>
                <w:szCs w:val="24"/>
                <w:highlight w:val="none"/>
              </w:rPr>
              <w:t>在设备和基础之间加弹簧和弹性材料制作的减振器或减振垫层以减少设备基础与墙体振动形成的噪声；</w:t>
            </w:r>
          </w:p>
          <w:p w14:paraId="15580AAD">
            <w:pPr>
              <w:pStyle w:val="46"/>
              <w:bidi w:val="0"/>
              <w:spacing w:line="384" w:lineRule="auto"/>
              <w:rPr>
                <w:rFonts w:hint="default"/>
                <w:color w:val="auto"/>
                <w:sz w:val="24"/>
                <w:szCs w:val="24"/>
                <w:highlight w:val="none"/>
              </w:rPr>
            </w:pPr>
            <w:r>
              <w:rPr>
                <w:rFonts w:hint="default"/>
                <w:color w:val="auto"/>
                <w:sz w:val="24"/>
                <w:szCs w:val="24"/>
                <w:highlight w:val="none"/>
              </w:rPr>
              <w:fldChar w:fldCharType="begin"/>
            </w:r>
            <w:r>
              <w:rPr>
                <w:rFonts w:hint="default"/>
                <w:color w:val="auto"/>
                <w:sz w:val="24"/>
                <w:szCs w:val="24"/>
                <w:highlight w:val="none"/>
              </w:rPr>
              <w:instrText xml:space="preserve"> = 5 \* GB3 </w:instrText>
            </w:r>
            <w:r>
              <w:rPr>
                <w:rFonts w:hint="default"/>
                <w:color w:val="auto"/>
                <w:sz w:val="24"/>
                <w:szCs w:val="24"/>
                <w:highlight w:val="none"/>
              </w:rPr>
              <w:fldChar w:fldCharType="separate"/>
            </w:r>
            <w:r>
              <w:rPr>
                <w:rFonts w:hint="default"/>
                <w:color w:val="auto"/>
                <w:sz w:val="24"/>
                <w:szCs w:val="24"/>
                <w:highlight w:val="none"/>
              </w:rPr>
              <w:t>⑤</w:t>
            </w:r>
            <w:r>
              <w:rPr>
                <w:rFonts w:hint="default"/>
                <w:color w:val="auto"/>
                <w:sz w:val="24"/>
                <w:szCs w:val="24"/>
                <w:highlight w:val="none"/>
              </w:rPr>
              <w:fldChar w:fldCharType="end"/>
            </w:r>
            <w:r>
              <w:rPr>
                <w:rFonts w:hint="default"/>
                <w:color w:val="auto"/>
                <w:sz w:val="24"/>
                <w:szCs w:val="24"/>
                <w:highlight w:val="none"/>
              </w:rPr>
              <w:t>修建隔声罩或隔声间，将高噪声设备置于隔声罩或隔声间内，使操作者与声援隔离开来，使用薄金属板做机械设备的罩面或隔声罩，需在其表面喷涂一层内摩擦阻力大的粘弹性材料来减振防噪；</w:t>
            </w:r>
          </w:p>
          <w:p w14:paraId="6207B1D0">
            <w:pPr>
              <w:pStyle w:val="46"/>
              <w:bidi w:val="0"/>
              <w:spacing w:line="384" w:lineRule="auto"/>
              <w:rPr>
                <w:rFonts w:hint="default"/>
                <w:color w:val="auto"/>
                <w:sz w:val="24"/>
                <w:szCs w:val="24"/>
                <w:highlight w:val="none"/>
                <w:lang w:val="en-US" w:eastAsia="zh-CN"/>
              </w:rPr>
            </w:pPr>
            <w:r>
              <w:rPr>
                <w:rFonts w:hint="default"/>
                <w:color w:val="auto"/>
                <w:sz w:val="24"/>
                <w:szCs w:val="24"/>
                <w:highlight w:val="none"/>
              </w:rPr>
              <w:fldChar w:fldCharType="begin"/>
            </w:r>
            <w:r>
              <w:rPr>
                <w:rFonts w:hint="default"/>
                <w:color w:val="auto"/>
                <w:sz w:val="24"/>
                <w:szCs w:val="24"/>
                <w:highlight w:val="none"/>
              </w:rPr>
              <w:instrText xml:space="preserve"> = 6 \* GB3 </w:instrText>
            </w:r>
            <w:r>
              <w:rPr>
                <w:rFonts w:hint="default"/>
                <w:color w:val="auto"/>
                <w:sz w:val="24"/>
                <w:szCs w:val="24"/>
                <w:highlight w:val="none"/>
              </w:rPr>
              <w:fldChar w:fldCharType="separate"/>
            </w:r>
            <w:r>
              <w:rPr>
                <w:rFonts w:hint="default"/>
                <w:color w:val="auto"/>
                <w:sz w:val="24"/>
                <w:szCs w:val="24"/>
                <w:highlight w:val="none"/>
              </w:rPr>
              <w:t>⑥</w:t>
            </w:r>
            <w:r>
              <w:rPr>
                <w:rFonts w:hint="default"/>
                <w:color w:val="auto"/>
                <w:sz w:val="24"/>
                <w:szCs w:val="24"/>
                <w:highlight w:val="none"/>
              </w:rPr>
              <w:fldChar w:fldCharType="end"/>
            </w:r>
            <w:r>
              <w:rPr>
                <w:rFonts w:hint="eastAsia"/>
                <w:color w:val="auto"/>
                <w:sz w:val="24"/>
                <w:szCs w:val="24"/>
                <w:highlight w:val="none"/>
                <w:lang w:val="en-US" w:eastAsia="zh-CN"/>
              </w:rPr>
              <w:t>建设厂界围墙和声屏障，加强车间厂房门窗隔声，如有破损及时更换，生产时关闭门窗，或加大绿化面积来减弱噪声传播。</w:t>
            </w:r>
          </w:p>
          <w:p w14:paraId="133BC306">
            <w:pPr>
              <w:pStyle w:val="46"/>
              <w:bidi w:val="0"/>
              <w:spacing w:line="384" w:lineRule="auto"/>
              <w:rPr>
                <w:rFonts w:hint="default"/>
                <w:color w:val="auto"/>
              </w:rPr>
            </w:pPr>
            <w:r>
              <w:rPr>
                <w:rFonts w:hint="eastAsia"/>
                <w:color w:val="auto"/>
                <w:sz w:val="24"/>
                <w:szCs w:val="24"/>
                <w:highlight w:val="none"/>
              </w:rPr>
              <w:t>⑦</w:t>
            </w:r>
            <w:r>
              <w:rPr>
                <w:rFonts w:hint="eastAsia"/>
                <w:color w:val="auto"/>
                <w:sz w:val="24"/>
                <w:szCs w:val="24"/>
                <w:highlight w:val="none"/>
                <w:lang w:val="en-US" w:eastAsia="zh-CN"/>
              </w:rPr>
              <w:t>建设单位</w:t>
            </w:r>
            <w:r>
              <w:rPr>
                <w:rFonts w:hint="default"/>
                <w:color w:val="auto"/>
                <w:sz w:val="24"/>
                <w:szCs w:val="24"/>
                <w:highlight w:val="none"/>
              </w:rPr>
              <w:t>从噪声源及噪声传播途径等方面降低了项目运行噪声对厂界环境噪声的影响，同时项目方应和建设所在地周边单位加强沟通，在生产营运过程中注意收集和回馈所在地周边单位对生产所反应信息，及时的改进和加强项目在运行中的管理制度和生产制度，最大程度上减小对周边环境的噪声污染影响。</w:t>
            </w:r>
          </w:p>
          <w:p w14:paraId="42EA1FE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3、噪声污染源监测计划</w:t>
            </w:r>
          </w:p>
          <w:p w14:paraId="73E4E6A9">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根据《排污许可证申请与核发技术规范 工业噪声》</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highlight w:val="none"/>
                <w:lang w:val="en-US" w:eastAsia="zh-CN"/>
              </w:rPr>
              <w:t>HJ</w:t>
            </w:r>
            <w:r>
              <w:rPr>
                <w:rFonts w:hint="eastAsia" w:ascii="Times New Roman" w:hAnsi="Times New Roman" w:eastAsia="宋体" w:cs="Times New Roman"/>
                <w:color w:val="auto"/>
                <w:sz w:val="24"/>
                <w:highlight w:val="none"/>
                <w:lang w:val="en-US" w:eastAsia="zh-CN"/>
              </w:rPr>
              <w:t xml:space="preserve"> 1301</w:t>
            </w:r>
            <w:r>
              <w:rPr>
                <w:rFonts w:hint="default" w:ascii="Times New Roman" w:hAnsi="Times New Roman" w:eastAsia="宋体" w:cs="Times New Roman"/>
                <w:color w:val="auto"/>
                <w:sz w:val="24"/>
                <w:highlight w:val="none"/>
                <w:lang w:val="en-US" w:eastAsia="zh-CN"/>
              </w:rPr>
              <w:t>-20</w:t>
            </w:r>
            <w:r>
              <w:rPr>
                <w:rFonts w:hint="eastAsia" w:ascii="Times New Roman" w:hAnsi="Times New Roman" w:eastAsia="宋体" w:cs="Times New Roman"/>
                <w:color w:val="auto"/>
                <w:sz w:val="24"/>
                <w:highlight w:val="none"/>
                <w:lang w:val="en-US" w:eastAsia="zh-CN"/>
              </w:rPr>
              <w:t>23</w:t>
            </w:r>
            <w:r>
              <w:rPr>
                <w:rFonts w:hint="eastAsia" w:cs="Times New Roman"/>
                <w:color w:val="auto"/>
                <w:kern w:val="2"/>
                <w:sz w:val="24"/>
                <w:szCs w:val="24"/>
                <w:highlight w:val="none"/>
                <w:lang w:val="en-US" w:eastAsia="zh-CN" w:bidi="ar-SA"/>
              </w:rPr>
              <w:t>)和</w:t>
            </w:r>
            <w:r>
              <w:rPr>
                <w:rFonts w:ascii="宋体" w:hAnsi="宋体" w:eastAsia="宋体" w:cs="宋体"/>
                <w:color w:val="auto"/>
                <w:sz w:val="24"/>
                <w:szCs w:val="24"/>
              </w:rPr>
              <w:t>《</w:t>
            </w:r>
            <w:r>
              <w:rPr>
                <w:rFonts w:hint="eastAsia" w:ascii="Times New Roman" w:hAnsi="Times New Roman" w:eastAsia="宋体" w:cs="Times New Roman"/>
                <w:color w:val="auto"/>
                <w:sz w:val="24"/>
                <w:highlight w:val="none"/>
                <w:lang w:val="en-US" w:eastAsia="zh-CN"/>
              </w:rPr>
              <w:t>排污单位自行监测技术指南 食品制造</w:t>
            </w:r>
            <w:r>
              <w:rPr>
                <w:rFonts w:ascii="宋体" w:hAnsi="宋体" w:eastAsia="宋体" w:cs="宋体"/>
                <w:color w:val="auto"/>
                <w:spacing w:val="1"/>
                <w:sz w:val="24"/>
                <w:szCs w:val="24"/>
              </w:rPr>
              <w:t>》</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highlight w:val="none"/>
                <w:lang w:val="en-US" w:eastAsia="zh-CN"/>
              </w:rPr>
              <w:t>HJ 1084-2020</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kern w:val="2"/>
                <w:sz w:val="24"/>
                <w:szCs w:val="24"/>
                <w:highlight w:val="none"/>
                <w:lang w:val="en-US" w:eastAsia="zh-CN" w:bidi="ar-SA"/>
              </w:rPr>
              <w:t>中相关规定，制定本项目环境噪声自行监测计划，具体见下表：</w:t>
            </w:r>
          </w:p>
          <w:p w14:paraId="04E7F4A1">
            <w:pPr>
              <w:widowControl w:val="0"/>
              <w:bidi w:val="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表4-</w:t>
            </w:r>
            <w:r>
              <w:rPr>
                <w:rFonts w:hint="eastAsia" w:cs="Times New Roman"/>
                <w:b/>
                <w:color w:val="auto"/>
                <w:kern w:val="2"/>
                <w:sz w:val="21"/>
                <w:szCs w:val="24"/>
                <w:lang w:val="en-US" w:eastAsia="zh-CN" w:bidi="ar-SA"/>
              </w:rPr>
              <w:t xml:space="preserve">28  </w:t>
            </w:r>
            <w:r>
              <w:rPr>
                <w:rFonts w:hint="default" w:ascii="Times New Roman" w:hAnsi="Times New Roman" w:eastAsia="宋体" w:cs="Times New Roman"/>
                <w:b/>
                <w:color w:val="auto"/>
                <w:kern w:val="2"/>
                <w:sz w:val="21"/>
                <w:szCs w:val="24"/>
                <w:lang w:val="en-US" w:eastAsia="zh-CN" w:bidi="ar-SA"/>
              </w:rPr>
              <w:t>环境噪声</w:t>
            </w:r>
            <w:r>
              <w:rPr>
                <w:rFonts w:hint="eastAsia" w:cs="Times New Roman"/>
                <w:b/>
                <w:color w:val="auto"/>
                <w:kern w:val="2"/>
                <w:sz w:val="21"/>
                <w:szCs w:val="24"/>
                <w:lang w:val="en-US" w:eastAsia="zh-CN" w:bidi="ar-SA"/>
              </w:rPr>
              <w:t>自行监测要求</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2019"/>
              <w:gridCol w:w="1346"/>
              <w:gridCol w:w="3338"/>
            </w:tblGrid>
            <w:tr w14:paraId="34175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906" w:type="pct"/>
                  <w:tcBorders>
                    <w:tl2br w:val="nil"/>
                    <w:tr2bl w:val="nil"/>
                  </w:tcBorders>
                  <w:noWrap w:val="0"/>
                  <w:vAlign w:val="center"/>
                </w:tcPr>
                <w:p w14:paraId="768DED20">
                  <w:pPr>
                    <w:widowControl w:val="0"/>
                    <w:bidi w:val="0"/>
                    <w:snapToGrid/>
                    <w:spacing w:line="264" w:lineRule="auto"/>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监测项目</w:t>
                  </w:r>
                </w:p>
              </w:tc>
              <w:tc>
                <w:tcPr>
                  <w:tcW w:w="1233" w:type="pct"/>
                  <w:tcBorders>
                    <w:tl2br w:val="nil"/>
                    <w:tr2bl w:val="nil"/>
                  </w:tcBorders>
                  <w:noWrap w:val="0"/>
                  <w:vAlign w:val="center"/>
                </w:tcPr>
                <w:p w14:paraId="0FDBA80F">
                  <w:pPr>
                    <w:widowControl w:val="0"/>
                    <w:bidi w:val="0"/>
                    <w:snapToGrid/>
                    <w:spacing w:line="264" w:lineRule="auto"/>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监测指标</w:t>
                  </w:r>
                </w:p>
              </w:tc>
              <w:tc>
                <w:tcPr>
                  <w:tcW w:w="822" w:type="pct"/>
                  <w:tcBorders>
                    <w:tl2br w:val="nil"/>
                    <w:tr2bl w:val="nil"/>
                  </w:tcBorders>
                  <w:noWrap w:val="0"/>
                  <w:vAlign w:val="center"/>
                </w:tcPr>
                <w:p w14:paraId="1B5A4437">
                  <w:pPr>
                    <w:widowControl w:val="0"/>
                    <w:bidi w:val="0"/>
                    <w:snapToGrid/>
                    <w:spacing w:line="264" w:lineRule="auto"/>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监测频率</w:t>
                  </w:r>
                </w:p>
              </w:tc>
              <w:tc>
                <w:tcPr>
                  <w:tcW w:w="2038" w:type="pct"/>
                  <w:tcBorders>
                    <w:tl2br w:val="nil"/>
                    <w:tr2bl w:val="nil"/>
                  </w:tcBorders>
                  <w:noWrap w:val="0"/>
                  <w:vAlign w:val="center"/>
                </w:tcPr>
                <w:p w14:paraId="056E787F">
                  <w:pPr>
                    <w:widowControl w:val="0"/>
                    <w:bidi w:val="0"/>
                    <w:snapToGrid/>
                    <w:spacing w:line="264" w:lineRule="auto"/>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执行标准</w:t>
                  </w:r>
                </w:p>
              </w:tc>
            </w:tr>
            <w:tr w14:paraId="24898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 w:type="pct"/>
                  <w:tcBorders>
                    <w:tl2br w:val="nil"/>
                    <w:tr2bl w:val="nil"/>
                  </w:tcBorders>
                  <w:noWrap w:val="0"/>
                  <w:vAlign w:val="center"/>
                </w:tcPr>
                <w:p w14:paraId="726F998B">
                  <w:pPr>
                    <w:widowControl w:val="0"/>
                    <w:bidi w:val="0"/>
                    <w:snapToGrid/>
                    <w:spacing w:line="264" w:lineRule="auto"/>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厂界噪声</w:t>
                  </w:r>
                </w:p>
              </w:tc>
              <w:tc>
                <w:tcPr>
                  <w:tcW w:w="1233" w:type="pct"/>
                  <w:tcBorders>
                    <w:tl2br w:val="nil"/>
                    <w:tr2bl w:val="nil"/>
                  </w:tcBorders>
                  <w:noWrap w:val="0"/>
                  <w:vAlign w:val="center"/>
                </w:tcPr>
                <w:p w14:paraId="2F21FBCC">
                  <w:pPr>
                    <w:widowControl w:val="0"/>
                    <w:bidi w:val="0"/>
                    <w:snapToGrid/>
                    <w:spacing w:line="264" w:lineRule="auto"/>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等效连续A声级</w:t>
                  </w:r>
                </w:p>
              </w:tc>
              <w:tc>
                <w:tcPr>
                  <w:tcW w:w="822" w:type="pct"/>
                  <w:tcBorders>
                    <w:tl2br w:val="nil"/>
                    <w:tr2bl w:val="nil"/>
                  </w:tcBorders>
                  <w:noWrap w:val="0"/>
                  <w:vAlign w:val="center"/>
                </w:tcPr>
                <w:p w14:paraId="0EFF0412">
                  <w:pPr>
                    <w:widowControl w:val="0"/>
                    <w:bidi w:val="0"/>
                    <w:snapToGrid/>
                    <w:spacing w:line="264" w:lineRule="auto"/>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1次/季度</w:t>
                  </w:r>
                </w:p>
              </w:tc>
              <w:tc>
                <w:tcPr>
                  <w:tcW w:w="2038" w:type="pct"/>
                  <w:tcBorders>
                    <w:tl2br w:val="nil"/>
                    <w:tr2bl w:val="nil"/>
                  </w:tcBorders>
                  <w:noWrap w:val="0"/>
                  <w:vAlign w:val="center"/>
                </w:tcPr>
                <w:p w14:paraId="02A24444">
                  <w:pPr>
                    <w:widowControl w:val="0"/>
                    <w:bidi w:val="0"/>
                    <w:snapToGrid/>
                    <w:spacing w:line="264" w:lineRule="auto"/>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sz w:val="21"/>
                      <w:szCs w:val="21"/>
                      <w:lang w:val="en-US" w:eastAsia="zh-CN"/>
                    </w:rPr>
                    <w:t>厂界东侧噪声</w:t>
                  </w:r>
                  <w:r>
                    <w:rPr>
                      <w:rFonts w:hint="default" w:ascii="Times New Roman" w:hAnsi="Times New Roman" w:eastAsia="Times New Roman" w:cs="Times New Roman"/>
                      <w:sz w:val="21"/>
                      <w:szCs w:val="21"/>
                      <w:lang w:val="zh-CN"/>
                    </w:rPr>
                    <w:t>执行《工业企业厂界环境噪声排放标准》（GB12348-2008）中的</w:t>
                  </w:r>
                  <w:r>
                    <w:rPr>
                      <w:rFonts w:hint="eastAsia" w:ascii="Times New Roman" w:hAnsi="Times New Roman" w:eastAsia="Times New Roman" w:cs="Times New Roman"/>
                      <w:sz w:val="21"/>
                      <w:szCs w:val="21"/>
                      <w:lang w:val="en-US" w:eastAsia="zh-CN"/>
                    </w:rPr>
                    <w:t>4</w:t>
                  </w:r>
                  <w:r>
                    <w:rPr>
                      <w:rFonts w:hint="default" w:ascii="Times New Roman" w:hAnsi="Times New Roman" w:eastAsia="宋体" w:cs="Times New Roman"/>
                      <w:color w:val="auto"/>
                      <w:sz w:val="21"/>
                      <w:szCs w:val="21"/>
                    </w:rPr>
                    <w:t>类区标准</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其余三侧</w:t>
                  </w:r>
                  <w:r>
                    <w:rPr>
                      <w:rFonts w:hint="default" w:ascii="Times New Roman" w:hAnsi="Times New Roman" w:eastAsia="Times New Roman" w:cs="Times New Roman"/>
                      <w:sz w:val="21"/>
                      <w:szCs w:val="21"/>
                      <w:lang w:val="zh-CN"/>
                    </w:rPr>
                    <w:t>执行</w:t>
                  </w:r>
                  <w:r>
                    <w:rPr>
                      <w:rFonts w:hint="eastAsia" w:ascii="Times New Roman" w:hAnsi="Times New Roman" w:eastAsia="Times New Roman" w:cs="Times New Roman"/>
                      <w:sz w:val="21"/>
                      <w:szCs w:val="21"/>
                      <w:lang w:val="en-US" w:eastAsia="zh-CN"/>
                    </w:rPr>
                    <w:t>3</w:t>
                  </w:r>
                  <w:r>
                    <w:rPr>
                      <w:rFonts w:hint="default" w:ascii="Times New Roman" w:hAnsi="Times New Roman" w:eastAsia="宋体" w:cs="Times New Roman"/>
                      <w:color w:val="auto"/>
                      <w:sz w:val="21"/>
                      <w:szCs w:val="21"/>
                    </w:rPr>
                    <w:t>类区标准</w:t>
                  </w:r>
                  <w:r>
                    <w:rPr>
                      <w:rFonts w:hint="eastAsia" w:cs="Times New Roman"/>
                      <w:color w:val="auto"/>
                      <w:sz w:val="21"/>
                      <w:szCs w:val="21"/>
                      <w:lang w:eastAsia="zh-CN"/>
                    </w:rPr>
                    <w:t>。</w:t>
                  </w:r>
                </w:p>
              </w:tc>
            </w:tr>
          </w:tbl>
          <w:p w14:paraId="2F6092E1">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（四）</w:t>
            </w:r>
            <w:r>
              <w:rPr>
                <w:rFonts w:hint="default" w:ascii="Times New Roman" w:hAnsi="Times New Roman" w:eastAsia="宋体" w:cs="Times New Roman"/>
                <w:b/>
                <w:bCs w:val="0"/>
                <w:color w:val="auto"/>
                <w:sz w:val="24"/>
                <w:szCs w:val="24"/>
                <w:highlight w:val="none"/>
                <w:lang w:val="en-US" w:eastAsia="zh-CN"/>
              </w:rPr>
              <w:t>固体废物</w:t>
            </w:r>
          </w:p>
          <w:p w14:paraId="483DD239">
            <w:pPr>
              <w:pStyle w:val="12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1、固废源强</w:t>
            </w:r>
          </w:p>
          <w:p w14:paraId="5DD1564D">
            <w:pPr>
              <w:pStyle w:val="124"/>
              <w:bidi w:val="0"/>
              <w:rPr>
                <w:rFonts w:hint="default" w:ascii="Times New Roman" w:hAnsi="Times New Roman" w:cs="Times New Roman"/>
                <w:b/>
                <w:bCs/>
                <w:color w:val="auto"/>
                <w:lang w:val="en-US" w:eastAsia="zh-CN"/>
              </w:rPr>
            </w:pPr>
            <w:r>
              <w:rPr>
                <w:rFonts w:hint="eastAsia"/>
                <w:color w:val="auto"/>
                <w:szCs w:val="21"/>
              </w:rPr>
              <w:t>本项目运营期的固体废物主要为</w:t>
            </w:r>
            <w:r>
              <w:rPr>
                <w:rFonts w:hint="eastAsia"/>
                <w:bCs/>
                <w:color w:val="auto"/>
                <w:sz w:val="24"/>
                <w:lang w:val="en-US" w:eastAsia="zh-CN"/>
              </w:rPr>
              <w:t>生活垃圾，餐厨垃圾、废油脂、废包装材料、</w:t>
            </w:r>
            <w:r>
              <w:rPr>
                <w:rFonts w:hint="eastAsia"/>
                <w:bCs/>
                <w:color w:val="auto"/>
                <w:sz w:val="24"/>
                <w:szCs w:val="24"/>
                <w:highlight w:val="none"/>
              </w:rPr>
              <w:t>废滤芯和</w:t>
            </w:r>
            <w:r>
              <w:rPr>
                <w:rFonts w:hint="eastAsia" w:ascii="Times New Roman" w:hAnsi="Times New Roman" w:eastAsia="宋体" w:cs="Times New Roman"/>
                <w:color w:val="auto"/>
                <w:sz w:val="24"/>
                <w:szCs w:val="24"/>
                <w:vertAlign w:val="baseline"/>
                <w:lang w:val="en-US" w:eastAsia="zh-CN"/>
              </w:rPr>
              <w:t>废反渗透膜、</w:t>
            </w:r>
            <w:r>
              <w:rPr>
                <w:rFonts w:hint="eastAsia"/>
                <w:bCs/>
                <w:color w:val="auto"/>
                <w:highlight w:val="none"/>
                <w:lang w:val="en-US" w:eastAsia="zh-CN"/>
              </w:rPr>
              <w:t>锅炉软水废树脂、沉淀池污泥、</w:t>
            </w:r>
            <w:r>
              <w:rPr>
                <w:rFonts w:hint="eastAsia" w:ascii="Times New Roman" w:hAnsi="Times New Roman" w:eastAsia="宋体" w:cs="Times New Roman"/>
                <w:b w:val="0"/>
                <w:bCs w:val="0"/>
                <w:color w:val="auto"/>
                <w:sz w:val="24"/>
                <w:highlight w:val="none"/>
                <w:lang w:val="en-US" w:eastAsia="zh-CN"/>
              </w:rPr>
              <w:t>废机油</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废</w:t>
            </w:r>
            <w:r>
              <w:rPr>
                <w:rFonts w:hint="eastAsia" w:cs="Times New Roman"/>
                <w:b w:val="0"/>
                <w:bCs w:val="0"/>
                <w:color w:val="auto"/>
                <w:sz w:val="24"/>
                <w:highlight w:val="none"/>
                <w:lang w:val="en-US" w:eastAsia="zh-CN"/>
              </w:rPr>
              <w:t>含油</w:t>
            </w:r>
            <w:r>
              <w:rPr>
                <w:rFonts w:hint="eastAsia" w:ascii="Times New Roman" w:hAnsi="Times New Roman" w:eastAsia="宋体" w:cs="Times New Roman"/>
                <w:b w:val="0"/>
                <w:bCs w:val="0"/>
                <w:color w:val="auto"/>
                <w:sz w:val="24"/>
                <w:highlight w:val="none"/>
                <w:lang w:val="en-US" w:eastAsia="zh-CN"/>
              </w:rPr>
              <w:t>抹布、废</w:t>
            </w:r>
            <w:r>
              <w:rPr>
                <w:rFonts w:hint="eastAsia" w:cs="Times New Roman"/>
                <w:b w:val="0"/>
                <w:bCs w:val="0"/>
                <w:color w:val="auto"/>
                <w:sz w:val="24"/>
                <w:highlight w:val="none"/>
                <w:lang w:val="en-US" w:eastAsia="zh-CN"/>
              </w:rPr>
              <w:t>活性炭、</w:t>
            </w:r>
            <w:r>
              <w:rPr>
                <w:rFonts w:hint="eastAsia"/>
                <w:color w:val="auto"/>
                <w:szCs w:val="21"/>
                <w:lang w:val="en-US" w:eastAsia="zh-CN"/>
              </w:rPr>
              <w:t>废紫外线灯管</w:t>
            </w:r>
            <w:r>
              <w:rPr>
                <w:rFonts w:hint="eastAsia" w:ascii="Times New Roman" w:hAnsi="Times New Roman" w:eastAsia="宋体" w:cs="Times New Roman"/>
                <w:b w:val="0"/>
                <w:bCs w:val="0"/>
                <w:color w:val="auto"/>
                <w:sz w:val="24"/>
                <w:highlight w:val="none"/>
                <w:lang w:val="en-US" w:eastAsia="zh-CN"/>
              </w:rPr>
              <w:t>。</w:t>
            </w:r>
          </w:p>
          <w:p w14:paraId="06AD3C49">
            <w:pPr>
              <w:pStyle w:val="124"/>
              <w:numPr>
                <w:ilvl w:val="0"/>
                <w:numId w:val="0"/>
              </w:numPr>
              <w:bidi w:val="0"/>
              <w:ind w:left="0" w:leftChars="0" w:firstLine="482" w:firstLineChars="200"/>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（1）生活垃圾</w:t>
            </w:r>
          </w:p>
          <w:p w14:paraId="15A58073">
            <w:pPr>
              <w:pStyle w:val="124"/>
              <w:bidi w:val="0"/>
              <w:rPr>
                <w:rFonts w:hint="default" w:ascii="Times New Roman" w:hAnsi="Times New Roman" w:eastAsia="宋体" w:cs="Times New Roman"/>
                <w:b/>
                <w:bCs/>
                <w:color w:val="auto"/>
                <w:kern w:val="2"/>
                <w:sz w:val="24"/>
                <w:szCs w:val="24"/>
                <w:lang w:val="en-US" w:eastAsia="zh-CN" w:bidi="ar-SA"/>
              </w:rPr>
            </w:pPr>
            <w:r>
              <w:rPr>
                <w:rFonts w:hint="default"/>
                <w:color w:val="auto"/>
                <w:lang w:val="en-US" w:eastAsia="zh-CN"/>
              </w:rPr>
              <w:t>员工</w:t>
            </w:r>
            <w:r>
              <w:rPr>
                <w:rFonts w:hint="eastAsia"/>
                <w:color w:val="auto"/>
                <w:lang w:val="en-US" w:eastAsia="zh-CN"/>
              </w:rPr>
              <w:t>办公</w:t>
            </w:r>
            <w:r>
              <w:rPr>
                <w:rFonts w:hint="default"/>
                <w:color w:val="auto"/>
                <w:lang w:val="en-US" w:eastAsia="zh-CN"/>
              </w:rPr>
              <w:t>生活垃圾产生量按0.5kg/</w:t>
            </w:r>
            <w:bookmarkStart w:id="10" w:name="_GoBack"/>
            <w:bookmarkEnd w:id="10"/>
            <w:r>
              <w:rPr>
                <w:rFonts w:hint="default"/>
                <w:color w:val="auto"/>
                <w:lang w:val="en-US" w:eastAsia="zh-CN"/>
              </w:rPr>
              <w:t>人·d计，本项目员工</w:t>
            </w:r>
            <w:r>
              <w:rPr>
                <w:rFonts w:hint="eastAsia"/>
                <w:color w:val="auto"/>
                <w:lang w:val="en-US" w:eastAsia="zh-CN"/>
              </w:rPr>
              <w:t>350</w:t>
            </w:r>
            <w:r>
              <w:rPr>
                <w:rFonts w:hint="default"/>
                <w:color w:val="auto"/>
                <w:lang w:val="en-US" w:eastAsia="zh-CN"/>
              </w:rPr>
              <w:t>人，生活垃圾产生量为</w:t>
            </w:r>
            <w:r>
              <w:rPr>
                <w:rFonts w:hint="eastAsia"/>
                <w:color w:val="auto"/>
                <w:lang w:val="en-US" w:eastAsia="zh-CN"/>
              </w:rPr>
              <w:t>175kg/d（52.5</w:t>
            </w:r>
            <w:r>
              <w:rPr>
                <w:rFonts w:hint="default"/>
                <w:color w:val="auto"/>
                <w:lang w:val="en-US" w:eastAsia="zh-CN"/>
              </w:rPr>
              <w:t>t/a</w:t>
            </w:r>
            <w:r>
              <w:rPr>
                <w:rFonts w:hint="eastAsia"/>
                <w:color w:val="auto"/>
                <w:lang w:val="en-US" w:eastAsia="zh-CN"/>
              </w:rPr>
              <w:t>）</w:t>
            </w:r>
            <w:r>
              <w:rPr>
                <w:rFonts w:hint="default"/>
                <w:color w:val="auto"/>
                <w:lang w:val="en-US" w:eastAsia="zh-CN"/>
              </w:rPr>
              <w:t>，</w:t>
            </w:r>
            <w:r>
              <w:rPr>
                <w:rFonts w:hint="default"/>
                <w:color w:val="auto"/>
                <w:highlight w:val="none"/>
                <w:lang w:val="en-US" w:eastAsia="zh-CN"/>
              </w:rPr>
              <w:t>收集后</w:t>
            </w:r>
            <w:r>
              <w:rPr>
                <w:rFonts w:hint="eastAsia"/>
                <w:color w:val="auto"/>
                <w:sz w:val="24"/>
                <w:szCs w:val="24"/>
                <w:highlight w:val="none"/>
                <w:lang w:val="en-US" w:eastAsia="zh-CN"/>
              </w:rPr>
              <w:t>委托当地环卫部门统一清运处理。</w:t>
            </w:r>
          </w:p>
          <w:p w14:paraId="3FF4EFAE">
            <w:pPr>
              <w:pStyle w:val="124"/>
              <w:numPr>
                <w:ilvl w:val="0"/>
                <w:numId w:val="0"/>
              </w:numPr>
              <w:bidi w:val="0"/>
              <w:ind w:left="0" w:leftChars="0"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一般固体废物</w:t>
            </w:r>
          </w:p>
          <w:p w14:paraId="6A79CA6A">
            <w:pPr>
              <w:pStyle w:val="124"/>
              <w:numPr>
                <w:ilvl w:val="0"/>
                <w:numId w:val="0"/>
              </w:numPr>
              <w:bidi w:val="0"/>
              <w:ind w:left="0" w:leftChars="0" w:firstLine="480" w:firstLineChars="200"/>
              <w:rPr>
                <w:rFonts w:hint="eastAsia"/>
                <w:color w:val="auto"/>
                <w:sz w:val="24"/>
                <w:szCs w:val="24"/>
                <w:highlight w:val="none"/>
                <w:lang w:val="en-US" w:eastAsia="zh-CN"/>
              </w:rPr>
            </w:pPr>
            <w:r>
              <w:rPr>
                <w:rFonts w:hint="eastAsia" w:ascii="Times New Roman" w:hAnsi="Times New Roman" w:eastAsia="宋体" w:cs="Times New Roman"/>
                <w:b w:val="0"/>
                <w:bCs w:val="0"/>
                <w:color w:val="auto"/>
                <w:kern w:val="2"/>
                <w:sz w:val="24"/>
                <w:szCs w:val="24"/>
                <w:lang w:val="en-US" w:eastAsia="zh-CN" w:bidi="ar-SA"/>
              </w:rPr>
              <w:t>①</w:t>
            </w:r>
            <w:r>
              <w:rPr>
                <w:rFonts w:hint="eastAsia"/>
                <w:color w:val="auto"/>
                <w:sz w:val="24"/>
                <w:szCs w:val="24"/>
                <w:highlight w:val="none"/>
                <w:lang w:val="en-US" w:eastAsia="zh-CN"/>
              </w:rPr>
              <w:t>餐厨垃圾</w:t>
            </w:r>
          </w:p>
          <w:p w14:paraId="7C7F5798">
            <w:pPr>
              <w:pStyle w:val="124"/>
              <w:bidi w:val="0"/>
              <w:rPr>
                <w:rFonts w:hint="eastAsia"/>
                <w:color w:val="auto"/>
                <w:sz w:val="24"/>
                <w:szCs w:val="24"/>
                <w:highlight w:val="none"/>
                <w:lang w:val="en-US" w:eastAsia="zh-CN"/>
              </w:rPr>
            </w:pPr>
            <w:r>
              <w:rPr>
                <w:rFonts w:hint="eastAsia"/>
                <w:color w:val="auto"/>
                <w:sz w:val="24"/>
                <w:szCs w:val="24"/>
                <w:highlight w:val="none"/>
                <w:lang w:val="en-US" w:eastAsia="zh-CN"/>
              </w:rPr>
              <w:t xml:space="preserve">本项目产生的餐厨垃圾主要有择菜、洗菜过程中产生的废弃蔬菜、食材切分、烹饪过程中产生的废弃物以及食材分装时餐具清洗等产生的餐厨垃圾，包括蔬菜、肉类、蛋类。类比同类企业，餐厨垃圾产生量约为加工食材的 </w:t>
            </w:r>
            <w:r>
              <w:rPr>
                <w:rFonts w:hint="default"/>
                <w:color w:val="auto"/>
                <w:sz w:val="24"/>
                <w:szCs w:val="24"/>
                <w:highlight w:val="none"/>
                <w:lang w:val="en-US" w:eastAsia="zh-CN"/>
              </w:rPr>
              <w:t>0.1%</w:t>
            </w:r>
            <w:r>
              <w:rPr>
                <w:rFonts w:hint="eastAsia"/>
                <w:color w:val="auto"/>
                <w:sz w:val="24"/>
                <w:szCs w:val="24"/>
                <w:highlight w:val="none"/>
                <w:lang w:val="en-US" w:eastAsia="zh-CN"/>
              </w:rPr>
              <w:t>，本项目蔬菜、肉类、蛋类等食材用量共计</w:t>
            </w:r>
            <w:r>
              <w:rPr>
                <w:rFonts w:hint="default"/>
                <w:color w:val="auto"/>
                <w:sz w:val="24"/>
                <w:szCs w:val="24"/>
                <w:highlight w:val="none"/>
                <w:lang w:val="en-US" w:eastAsia="zh-CN"/>
              </w:rPr>
              <w:t>9</w:t>
            </w:r>
            <w:r>
              <w:rPr>
                <w:rFonts w:hint="eastAsia"/>
                <w:color w:val="auto"/>
                <w:sz w:val="24"/>
                <w:szCs w:val="24"/>
                <w:highlight w:val="none"/>
                <w:lang w:val="en-US" w:eastAsia="zh-CN"/>
              </w:rPr>
              <w:t>420</w:t>
            </w:r>
            <w:r>
              <w:rPr>
                <w:rFonts w:hint="default"/>
                <w:color w:val="auto"/>
                <w:sz w:val="24"/>
                <w:szCs w:val="24"/>
                <w:highlight w:val="none"/>
                <w:lang w:val="en-US" w:eastAsia="zh-CN"/>
              </w:rPr>
              <w:t>0t/a</w:t>
            </w:r>
            <w:r>
              <w:rPr>
                <w:rFonts w:hint="eastAsia"/>
                <w:color w:val="auto"/>
                <w:sz w:val="24"/>
                <w:szCs w:val="24"/>
                <w:highlight w:val="none"/>
                <w:lang w:val="en-US" w:eastAsia="zh-CN"/>
              </w:rPr>
              <w:t xml:space="preserve">，则本项目餐厨垃圾产生量为 </w:t>
            </w:r>
            <w:r>
              <w:rPr>
                <w:rFonts w:hint="default"/>
                <w:color w:val="auto"/>
                <w:sz w:val="24"/>
                <w:szCs w:val="24"/>
                <w:highlight w:val="none"/>
                <w:lang w:val="en-US" w:eastAsia="zh-CN"/>
              </w:rPr>
              <w:t>9</w:t>
            </w:r>
            <w:r>
              <w:rPr>
                <w:rFonts w:hint="eastAsia"/>
                <w:color w:val="auto"/>
                <w:sz w:val="24"/>
                <w:szCs w:val="24"/>
                <w:highlight w:val="none"/>
                <w:lang w:val="en-US" w:eastAsia="zh-CN"/>
              </w:rPr>
              <w:t>4.2</w:t>
            </w:r>
            <w:r>
              <w:rPr>
                <w:rFonts w:hint="default"/>
                <w:color w:val="auto"/>
                <w:sz w:val="24"/>
                <w:szCs w:val="24"/>
                <w:highlight w:val="none"/>
                <w:lang w:val="en-US" w:eastAsia="zh-CN"/>
              </w:rPr>
              <w:t>t/a</w:t>
            </w:r>
            <w:r>
              <w:rPr>
                <w:rFonts w:hint="eastAsia"/>
                <w:color w:val="auto"/>
                <w:sz w:val="24"/>
                <w:szCs w:val="24"/>
                <w:highlight w:val="none"/>
                <w:lang w:val="en-US" w:eastAsia="zh-CN"/>
              </w:rPr>
              <w:t>，采用专用容器收集、暂存，委托专业厨余垃圾回收公司每日清运处置。</w:t>
            </w:r>
          </w:p>
          <w:p w14:paraId="1A6CCD49">
            <w:pPr>
              <w:pStyle w:val="12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rPr>
              <w:t>②</w:t>
            </w:r>
            <w:r>
              <w:rPr>
                <w:rFonts w:hint="eastAsia" w:cs="Times New Roman"/>
                <w:color w:val="auto"/>
                <w:sz w:val="24"/>
                <w:szCs w:val="24"/>
                <w:highlight w:val="none"/>
                <w:lang w:val="en-US" w:eastAsia="zh-CN"/>
              </w:rPr>
              <w:t>废油脂</w:t>
            </w:r>
          </w:p>
          <w:p w14:paraId="42F2B47F">
            <w:pPr>
              <w:pStyle w:val="12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废油脂本项目废油脂主要是废水隔油处理以及</w:t>
            </w:r>
            <w:r>
              <w:rPr>
                <w:rFonts w:hint="eastAsia" w:cs="Times New Roman"/>
                <w:color w:val="auto"/>
                <w:sz w:val="24"/>
                <w:szCs w:val="24"/>
                <w:highlight w:val="none"/>
                <w:lang w:val="en-US" w:eastAsia="zh-CN"/>
              </w:rPr>
              <w:t>静电</w:t>
            </w:r>
            <w:r>
              <w:rPr>
                <w:rFonts w:hint="eastAsia" w:ascii="Times New Roman" w:hAnsi="Times New Roman" w:cs="Times New Roman"/>
                <w:color w:val="auto"/>
                <w:sz w:val="24"/>
                <w:szCs w:val="24"/>
                <w:highlight w:val="none"/>
                <w:lang w:val="en-US" w:eastAsia="zh-CN"/>
              </w:rPr>
              <w:t>油烟净化</w:t>
            </w:r>
            <w:r>
              <w:rPr>
                <w:rFonts w:hint="eastAsia" w:cs="Times New Roman"/>
                <w:color w:val="auto"/>
                <w:sz w:val="24"/>
                <w:szCs w:val="24"/>
                <w:highlight w:val="none"/>
                <w:lang w:val="en-US" w:eastAsia="zh-CN"/>
              </w:rPr>
              <w:t>装置</w:t>
            </w:r>
            <w:r>
              <w:rPr>
                <w:rFonts w:hint="eastAsia" w:ascii="Times New Roman" w:hAnsi="Times New Roman" w:cs="Times New Roman"/>
                <w:color w:val="auto"/>
                <w:sz w:val="24"/>
                <w:szCs w:val="24"/>
                <w:highlight w:val="none"/>
                <w:lang w:val="en-US" w:eastAsia="zh-CN"/>
              </w:rPr>
              <w:t>中存储的油脂，根据废水出油效率以及油烟产生量、油烟机的净化量，可以核算出，废油脂产生量约</w:t>
            </w:r>
            <w:r>
              <w:rPr>
                <w:rFonts w:hint="eastAsia" w:cs="Times New Roman"/>
                <w:color w:val="auto"/>
                <w:sz w:val="24"/>
                <w:szCs w:val="24"/>
                <w:highlight w:val="none"/>
                <w:lang w:val="en-US" w:eastAsia="zh-CN"/>
              </w:rPr>
              <w:t>13.22</w:t>
            </w:r>
            <w:r>
              <w:rPr>
                <w:rFonts w:hint="default" w:ascii="Times New Roman" w:hAnsi="Times New Roman"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，由专用容器</w:t>
            </w:r>
            <w:r>
              <w:rPr>
                <w:rFonts w:hint="eastAsia"/>
                <w:color w:val="auto"/>
                <w:sz w:val="24"/>
                <w:szCs w:val="24"/>
                <w:highlight w:val="none"/>
                <w:lang w:val="en-US" w:eastAsia="zh-CN"/>
              </w:rPr>
              <w:t>收集、</w:t>
            </w:r>
            <w:r>
              <w:rPr>
                <w:rFonts w:hint="eastAsia" w:ascii="Times New Roman" w:hAnsi="Times New Roman" w:cs="Times New Roman"/>
                <w:color w:val="auto"/>
                <w:sz w:val="24"/>
                <w:szCs w:val="24"/>
                <w:highlight w:val="none"/>
                <w:lang w:val="en-US" w:eastAsia="zh-CN"/>
              </w:rPr>
              <w:t>暂存，委托专业厨余垃圾回收公司每日清运处置。</w:t>
            </w:r>
          </w:p>
          <w:p w14:paraId="5C92FF65">
            <w:pPr>
              <w:pStyle w:val="12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color w:val="auto"/>
                <w:sz w:val="24"/>
                <w:szCs w:val="24"/>
                <w:highlight w:val="none"/>
              </w:rPr>
              <w:t>③</w:t>
            </w:r>
            <w:r>
              <w:rPr>
                <w:rFonts w:hint="eastAsia" w:cs="Times New Roman"/>
                <w:b w:val="0"/>
                <w:bCs w:val="0"/>
                <w:color w:val="auto"/>
                <w:sz w:val="24"/>
                <w:szCs w:val="24"/>
                <w:lang w:val="en-US" w:eastAsia="zh-CN"/>
              </w:rPr>
              <w:t>废包装材料</w:t>
            </w:r>
          </w:p>
          <w:p w14:paraId="048F7A3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项目</w:t>
            </w:r>
            <w:r>
              <w:rPr>
                <w:rFonts w:hint="eastAsia" w:ascii="Times New Roman" w:hAnsi="Times New Roman" w:eastAsia="宋体" w:cs="Times New Roman"/>
                <w:b w:val="0"/>
                <w:bCs w:val="0"/>
                <w:color w:val="auto"/>
                <w:spacing w:val="0"/>
                <w:sz w:val="24"/>
                <w:szCs w:val="24"/>
                <w:lang w:val="en-US" w:eastAsia="zh-CN"/>
              </w:rPr>
              <w:t>原辅材料和产品包装过程会产生废包装材料，主要为塑料包装袋、纸制品等，</w:t>
            </w:r>
            <w:r>
              <w:rPr>
                <w:rFonts w:hint="default" w:ascii="Times New Roman" w:hAnsi="Times New Roman" w:eastAsia="宋体" w:cs="Times New Roman"/>
                <w:b w:val="0"/>
                <w:bCs w:val="0"/>
                <w:color w:val="auto"/>
                <w:spacing w:val="0"/>
                <w:sz w:val="24"/>
                <w:szCs w:val="24"/>
              </w:rPr>
              <w:t>约为</w:t>
            </w:r>
            <w:r>
              <w:rPr>
                <w:rFonts w:hint="eastAsia" w:cs="Times New Roman"/>
                <w:b w:val="0"/>
                <w:bCs w:val="0"/>
                <w:color w:val="auto"/>
                <w:spacing w:val="0"/>
                <w:sz w:val="24"/>
                <w:szCs w:val="24"/>
                <w:lang w:val="en-US" w:eastAsia="zh-CN"/>
              </w:rPr>
              <w:t>1</w:t>
            </w:r>
            <w:r>
              <w:rPr>
                <w:rFonts w:hint="eastAsia" w:ascii="Times New Roman" w:hAnsi="Times New Roman" w:eastAsia="宋体" w:cs="Times New Roman"/>
                <w:b w:val="0"/>
                <w:bCs w:val="0"/>
                <w:color w:val="auto"/>
                <w:spacing w:val="0"/>
                <w:sz w:val="24"/>
                <w:szCs w:val="24"/>
                <w:lang w:val="en-US" w:eastAsia="zh-CN"/>
              </w:rPr>
              <w:t>t/a，</w:t>
            </w:r>
            <w:r>
              <w:rPr>
                <w:rFonts w:hint="eastAsia" w:cs="Times New Roman"/>
                <w:b w:val="0"/>
                <w:bCs w:val="0"/>
                <w:color w:val="auto"/>
                <w:spacing w:val="0"/>
                <w:sz w:val="24"/>
                <w:szCs w:val="24"/>
                <w:lang w:val="en-US" w:eastAsia="zh-CN"/>
              </w:rPr>
              <w:t>统一</w:t>
            </w:r>
            <w:r>
              <w:rPr>
                <w:rFonts w:hint="default" w:ascii="Times New Roman" w:hAnsi="Times New Roman" w:eastAsia="宋体" w:cs="Times New Roman"/>
                <w:b w:val="0"/>
                <w:bCs w:val="0"/>
                <w:color w:val="auto"/>
                <w:spacing w:val="0"/>
                <w:sz w:val="24"/>
                <w:szCs w:val="24"/>
              </w:rPr>
              <w:t>收集后</w:t>
            </w:r>
            <w:r>
              <w:rPr>
                <w:rFonts w:hint="eastAsia" w:cs="Times New Roman"/>
                <w:color w:val="auto"/>
                <w:sz w:val="24"/>
                <w:szCs w:val="24"/>
                <w:lang w:val="en-US" w:eastAsia="zh-CN"/>
              </w:rPr>
              <w:t>暂存于一般固废暂存间，</w:t>
            </w:r>
            <w:r>
              <w:rPr>
                <w:rFonts w:hint="eastAsia" w:ascii="宋体" w:hAnsi="宋体" w:eastAsia="宋体" w:cs="宋体"/>
                <w:color w:val="auto"/>
                <w:kern w:val="0"/>
                <w:sz w:val="24"/>
                <w:szCs w:val="24"/>
                <w:lang w:val="en-US" w:eastAsia="zh-CN" w:bidi="ar"/>
              </w:rPr>
              <w:t>后外售给物资回收公司综合利用</w:t>
            </w:r>
            <w:r>
              <w:rPr>
                <w:rFonts w:hint="eastAsia" w:ascii="Times New Roman" w:hAnsi="Times New Roman" w:eastAsia="宋体" w:cs="Times New Roman"/>
                <w:b w:val="0"/>
                <w:bCs w:val="0"/>
                <w:color w:val="auto"/>
                <w:spacing w:val="0"/>
                <w:sz w:val="24"/>
                <w:szCs w:val="24"/>
                <w:lang w:eastAsia="zh-CN"/>
              </w:rPr>
              <w:t>。</w:t>
            </w:r>
          </w:p>
          <w:p w14:paraId="13FBE341">
            <w:pPr>
              <w:pStyle w:val="124"/>
              <w:numPr>
                <w:ilvl w:val="0"/>
                <w:numId w:val="0"/>
              </w:numPr>
              <w:bidi w:val="0"/>
              <w:ind w:left="0" w:leftChars="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eastAsia"/>
                <w:color w:val="auto"/>
                <w:sz w:val="24"/>
                <w:szCs w:val="20"/>
                <w:highlight w:val="none"/>
              </w:rPr>
              <w:t>④</w:t>
            </w:r>
            <w:r>
              <w:rPr>
                <w:rFonts w:hint="eastAsia"/>
                <w:bCs/>
                <w:color w:val="auto"/>
                <w:sz w:val="24"/>
                <w:szCs w:val="24"/>
                <w:highlight w:val="none"/>
              </w:rPr>
              <w:t>废滤芯和</w:t>
            </w:r>
            <w:r>
              <w:rPr>
                <w:rFonts w:hint="eastAsia" w:ascii="Times New Roman" w:hAnsi="Times New Roman" w:eastAsia="宋体" w:cs="Times New Roman"/>
                <w:color w:val="auto"/>
                <w:sz w:val="24"/>
                <w:szCs w:val="24"/>
                <w:vertAlign w:val="baseline"/>
                <w:lang w:val="en-US" w:eastAsia="zh-CN"/>
              </w:rPr>
              <w:t>废反渗透膜</w:t>
            </w:r>
          </w:p>
          <w:p w14:paraId="3438D6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sz w:val="24"/>
                <w:szCs w:val="24"/>
                <w:highlight w:val="none"/>
                <w:lang w:val="en-US" w:eastAsia="zh-CN"/>
              </w:rPr>
              <w:t>项目纯水机纯水制备过程会产生</w:t>
            </w:r>
            <w:r>
              <w:rPr>
                <w:rFonts w:hint="eastAsia"/>
                <w:bCs/>
                <w:color w:val="auto"/>
                <w:sz w:val="24"/>
                <w:szCs w:val="24"/>
                <w:highlight w:val="none"/>
              </w:rPr>
              <w:t>废滤芯和</w:t>
            </w:r>
            <w:r>
              <w:rPr>
                <w:rFonts w:hint="eastAsia" w:ascii="Times New Roman" w:hAnsi="Times New Roman" w:eastAsia="宋体" w:cs="Times New Roman"/>
                <w:color w:val="auto"/>
                <w:sz w:val="24"/>
                <w:szCs w:val="24"/>
                <w:vertAlign w:val="baseline"/>
                <w:lang w:val="en-US" w:eastAsia="zh-CN"/>
              </w:rPr>
              <w:t>废反渗透膜，</w:t>
            </w:r>
            <w:r>
              <w:rPr>
                <w:rFonts w:hint="eastAsia" w:cs="Times New Roman"/>
                <w:b w:val="0"/>
                <w:bCs w:val="0"/>
                <w:color w:val="auto"/>
                <w:spacing w:val="0"/>
                <w:sz w:val="24"/>
                <w:szCs w:val="24"/>
                <w:lang w:val="en-US" w:eastAsia="zh-CN"/>
              </w:rPr>
              <w:t>约为0.05t/a，统一</w:t>
            </w:r>
            <w:r>
              <w:rPr>
                <w:rFonts w:hint="default" w:ascii="Times New Roman" w:hAnsi="Times New Roman" w:eastAsia="宋体" w:cs="Times New Roman"/>
                <w:b w:val="0"/>
                <w:bCs w:val="0"/>
                <w:color w:val="auto"/>
                <w:spacing w:val="0"/>
                <w:sz w:val="24"/>
                <w:szCs w:val="24"/>
              </w:rPr>
              <w:t>收集后</w:t>
            </w:r>
            <w:r>
              <w:rPr>
                <w:rFonts w:hint="eastAsia" w:cs="Times New Roman"/>
                <w:color w:val="auto"/>
                <w:sz w:val="24"/>
                <w:szCs w:val="24"/>
                <w:lang w:val="en-US" w:eastAsia="zh-CN"/>
              </w:rPr>
              <w:t>暂存于一般固废暂存间，</w:t>
            </w:r>
            <w:r>
              <w:rPr>
                <w:rFonts w:hint="eastAsia" w:ascii="宋体" w:hAnsi="宋体" w:eastAsia="宋体" w:cs="宋体"/>
                <w:color w:val="auto"/>
                <w:kern w:val="0"/>
                <w:sz w:val="24"/>
                <w:szCs w:val="24"/>
                <w:lang w:val="en-US" w:eastAsia="zh-CN" w:bidi="ar"/>
              </w:rPr>
              <w:t>后外售给物资回收公司综合利用</w:t>
            </w:r>
            <w:r>
              <w:rPr>
                <w:rFonts w:hint="eastAsia" w:ascii="Times New Roman" w:hAnsi="Times New Roman" w:eastAsia="宋体" w:cs="Times New Roman"/>
                <w:b w:val="0"/>
                <w:bCs w:val="0"/>
                <w:color w:val="auto"/>
                <w:spacing w:val="0"/>
                <w:sz w:val="24"/>
                <w:szCs w:val="24"/>
                <w:lang w:eastAsia="zh-CN"/>
              </w:rPr>
              <w:t>。</w:t>
            </w:r>
          </w:p>
          <w:p w14:paraId="3F0BF7F4">
            <w:pPr>
              <w:pStyle w:val="124"/>
              <w:numPr>
                <w:ilvl w:val="0"/>
                <w:numId w:val="0"/>
              </w:numPr>
              <w:bidi w:val="0"/>
              <w:ind w:left="0" w:leftChars="0" w:firstLine="480" w:firstLineChars="200"/>
              <w:rPr>
                <w:rFonts w:hint="eastAsia"/>
                <w:bCs/>
                <w:color w:val="auto"/>
                <w:highlight w:val="none"/>
                <w:lang w:val="en-US" w:eastAsia="zh-CN"/>
              </w:rPr>
            </w:pPr>
            <w:r>
              <w:rPr>
                <w:rFonts w:hint="eastAsia"/>
                <w:color w:val="auto"/>
                <w:sz w:val="24"/>
                <w:szCs w:val="24"/>
                <w:highlight w:val="none"/>
              </w:rPr>
              <w:t>⑤</w:t>
            </w:r>
            <w:r>
              <w:rPr>
                <w:rFonts w:hint="eastAsia"/>
                <w:bCs/>
                <w:color w:val="auto"/>
                <w:highlight w:val="none"/>
                <w:lang w:val="en-US" w:eastAsia="zh-CN"/>
              </w:rPr>
              <w:t>锅炉软水废树脂</w:t>
            </w:r>
          </w:p>
          <w:p w14:paraId="28361D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项目燃气锅炉需要用软水，软水设备制备软水过程中会产生废离子交换树脂，</w:t>
            </w:r>
            <w:r>
              <w:rPr>
                <w:rFonts w:hint="eastAsia" w:cs="Times New Roman"/>
                <w:b w:val="0"/>
                <w:bCs w:val="0"/>
                <w:color w:val="auto"/>
                <w:spacing w:val="0"/>
                <w:sz w:val="24"/>
                <w:szCs w:val="24"/>
                <w:lang w:val="en-US" w:eastAsia="zh-CN"/>
              </w:rPr>
              <w:t>约为0.05t/a，统一</w:t>
            </w:r>
            <w:r>
              <w:rPr>
                <w:rFonts w:hint="default" w:ascii="Times New Roman" w:hAnsi="Times New Roman" w:eastAsia="宋体" w:cs="Times New Roman"/>
                <w:b w:val="0"/>
                <w:bCs w:val="0"/>
                <w:color w:val="auto"/>
                <w:spacing w:val="0"/>
                <w:sz w:val="24"/>
                <w:szCs w:val="24"/>
              </w:rPr>
              <w:t>收集后</w:t>
            </w:r>
            <w:r>
              <w:rPr>
                <w:rFonts w:hint="eastAsia" w:cs="Times New Roman"/>
                <w:color w:val="auto"/>
                <w:sz w:val="24"/>
                <w:szCs w:val="24"/>
                <w:lang w:val="en-US" w:eastAsia="zh-CN"/>
              </w:rPr>
              <w:t>暂存于一般固废暂存间，</w:t>
            </w:r>
            <w:r>
              <w:rPr>
                <w:rFonts w:hint="eastAsia" w:ascii="宋体" w:hAnsi="宋体" w:eastAsia="宋体" w:cs="宋体"/>
                <w:color w:val="auto"/>
                <w:kern w:val="0"/>
                <w:sz w:val="24"/>
                <w:szCs w:val="24"/>
                <w:lang w:val="en-US" w:eastAsia="zh-CN" w:bidi="ar"/>
              </w:rPr>
              <w:t>后外售给物资回收公司综合利用</w:t>
            </w:r>
            <w:r>
              <w:rPr>
                <w:rFonts w:hint="eastAsia" w:ascii="Times New Roman" w:hAnsi="Times New Roman" w:eastAsia="宋体" w:cs="Times New Roman"/>
                <w:b w:val="0"/>
                <w:bCs w:val="0"/>
                <w:color w:val="auto"/>
                <w:spacing w:val="0"/>
                <w:sz w:val="24"/>
                <w:szCs w:val="24"/>
                <w:lang w:eastAsia="zh-CN"/>
              </w:rPr>
              <w:t>。</w:t>
            </w:r>
          </w:p>
          <w:p w14:paraId="21B6E550">
            <w:pPr>
              <w:pStyle w:val="124"/>
              <w:bidi w:val="0"/>
              <w:rPr>
                <w:rFonts w:hint="default" w:ascii="Times New Roman" w:hAnsi="Times New Roman" w:eastAsia="宋体" w:cs="Times New Roman"/>
                <w:b w:val="0"/>
                <w:bCs w:val="0"/>
                <w:color w:val="auto"/>
                <w:sz w:val="24"/>
                <w:szCs w:val="24"/>
                <w:highlight w:val="none"/>
                <w:lang w:val="en-US" w:eastAsia="zh-CN"/>
              </w:rPr>
            </w:pPr>
            <w:r>
              <w:rPr>
                <w:rFonts w:hint="eastAsia"/>
                <w:color w:val="auto"/>
                <w:sz w:val="24"/>
                <w:szCs w:val="24"/>
                <w:highlight w:val="none"/>
              </w:rPr>
              <w:t>⑥</w:t>
            </w:r>
            <w:r>
              <w:rPr>
                <w:rFonts w:hint="eastAsia"/>
                <w:color w:val="auto"/>
                <w:sz w:val="24"/>
                <w:szCs w:val="24"/>
                <w:highlight w:val="none"/>
                <w:lang w:val="en-US" w:eastAsia="zh-CN"/>
              </w:rPr>
              <w:t>沉淀池</w:t>
            </w:r>
            <w:r>
              <w:rPr>
                <w:rFonts w:hint="default" w:ascii="Times New Roman" w:hAnsi="Times New Roman" w:eastAsia="宋体" w:cs="Times New Roman"/>
                <w:b w:val="0"/>
                <w:bCs w:val="0"/>
                <w:color w:val="auto"/>
                <w:sz w:val="24"/>
                <w:szCs w:val="24"/>
                <w:highlight w:val="none"/>
                <w:lang w:val="en-US" w:eastAsia="zh-CN"/>
              </w:rPr>
              <w:t>污泥</w:t>
            </w:r>
          </w:p>
          <w:p w14:paraId="3621F5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项目污水处理站处理废水过程中会产生沉淀池污泥，从生产原料及生产过程中分析可得污泥中不含重金属离子，主要定性为一般固废，</w:t>
            </w:r>
            <w:r>
              <w:rPr>
                <w:rFonts w:hint="eastAsia" w:cs="Times New Roman"/>
                <w:color w:val="auto"/>
                <w:kern w:val="2"/>
                <w:sz w:val="24"/>
                <w:szCs w:val="24"/>
                <w:lang w:val="en-US" w:eastAsia="zh-CN" w:bidi="ar-SA"/>
              </w:rPr>
              <w:t>根</w:t>
            </w:r>
            <w:r>
              <w:rPr>
                <w:rFonts w:hint="eastAsia" w:ascii="Times New Roman" w:hAnsi="Times New Roman" w:eastAsia="宋体" w:cs="Times New Roman"/>
                <w:b w:val="0"/>
                <w:bCs w:val="0"/>
                <w:color w:val="000000"/>
                <w:spacing w:val="0"/>
                <w:sz w:val="24"/>
                <w:szCs w:val="24"/>
                <w:lang w:val="en-US" w:eastAsia="zh-CN"/>
              </w:rPr>
              <w:t>据</w:t>
            </w:r>
            <w:r>
              <w:rPr>
                <w:rFonts w:hint="eastAsia" w:cs="Times New Roman"/>
                <w:color w:val="auto"/>
                <w:kern w:val="2"/>
                <w:sz w:val="24"/>
                <w:szCs w:val="24"/>
                <w:lang w:val="en-US" w:eastAsia="zh-CN" w:bidi="ar-SA"/>
              </w:rPr>
              <w:t>建设单位</w:t>
            </w:r>
            <w:r>
              <w:rPr>
                <w:rFonts w:hint="eastAsia" w:ascii="Times New Roman" w:hAnsi="Times New Roman" w:eastAsia="宋体" w:cs="Times New Roman"/>
                <w:b w:val="0"/>
                <w:bCs w:val="0"/>
                <w:color w:val="000000"/>
                <w:spacing w:val="0"/>
                <w:sz w:val="24"/>
                <w:szCs w:val="24"/>
                <w:lang w:val="en-US" w:eastAsia="zh-CN"/>
              </w:rPr>
              <w:t>提供的资料，约为</w:t>
            </w:r>
            <w:r>
              <w:rPr>
                <w:rFonts w:hint="eastAsia"/>
                <w:color w:val="000000"/>
                <w:sz w:val="24"/>
                <w:szCs w:val="24"/>
                <w:lang w:val="en-US" w:eastAsia="zh-CN"/>
              </w:rPr>
              <w:t>399</w:t>
            </w:r>
            <w:r>
              <w:rPr>
                <w:rFonts w:hint="eastAsia" w:ascii="Times New Roman" w:hAnsi="Times New Roman" w:eastAsia="宋体" w:cs="Times New Roman"/>
                <w:b w:val="0"/>
                <w:bCs w:val="0"/>
                <w:color w:val="000000"/>
                <w:spacing w:val="0"/>
                <w:sz w:val="24"/>
                <w:szCs w:val="24"/>
                <w:lang w:val="en-US" w:eastAsia="zh-CN"/>
              </w:rPr>
              <w:t>t/a</w:t>
            </w:r>
            <w:r>
              <w:rPr>
                <w:rFonts w:hint="eastAsia" w:cs="Times New Roman"/>
                <w:b w:val="0"/>
                <w:bCs w:val="0"/>
                <w:color w:val="000000"/>
                <w:spacing w:val="0"/>
                <w:sz w:val="24"/>
                <w:szCs w:val="24"/>
                <w:lang w:val="en-US" w:eastAsia="zh-CN"/>
              </w:rPr>
              <w:t>，</w:t>
            </w:r>
            <w:r>
              <w:rPr>
                <w:rFonts w:hint="eastAsia"/>
                <w:color w:val="auto"/>
                <w:kern w:val="24"/>
                <w:sz w:val="24"/>
                <w:szCs w:val="24"/>
                <w:lang w:val="en-US" w:eastAsia="zh-CN"/>
              </w:rPr>
              <w:t>污泥经压滤处理后，每周用袋装暂存于</w:t>
            </w:r>
            <w:r>
              <w:rPr>
                <w:rFonts w:hint="eastAsia" w:cs="Times New Roman"/>
                <w:color w:val="auto"/>
                <w:sz w:val="24"/>
                <w:szCs w:val="24"/>
                <w:lang w:val="en-US" w:eastAsia="zh-CN"/>
              </w:rPr>
              <w:t>一般固废暂存间</w:t>
            </w:r>
            <w:r>
              <w:rPr>
                <w:rFonts w:hint="eastAsia"/>
                <w:color w:val="auto"/>
                <w:kern w:val="24"/>
                <w:sz w:val="24"/>
                <w:szCs w:val="24"/>
                <w:lang w:val="en-US" w:eastAsia="zh-CN"/>
              </w:rPr>
              <w:t>，</w:t>
            </w:r>
            <w:r>
              <w:rPr>
                <w:rFonts w:hint="eastAsia" w:cs="Times New Roman"/>
                <w:color w:val="auto"/>
                <w:sz w:val="24"/>
                <w:szCs w:val="24"/>
                <w:lang w:val="en-US" w:eastAsia="zh-CN"/>
              </w:rPr>
              <w:t>再</w:t>
            </w:r>
            <w:r>
              <w:rPr>
                <w:rFonts w:hint="eastAsia"/>
                <w:color w:val="auto"/>
                <w:kern w:val="24"/>
                <w:sz w:val="24"/>
                <w:szCs w:val="24"/>
                <w:lang w:val="en-US" w:eastAsia="zh-CN"/>
              </w:rPr>
              <w:t>交由有资质单位处理</w:t>
            </w:r>
            <w:r>
              <w:rPr>
                <w:rFonts w:hint="eastAsia" w:cs="Times New Roman"/>
                <w:b w:val="0"/>
                <w:bCs w:val="0"/>
                <w:color w:val="000000"/>
                <w:spacing w:val="0"/>
                <w:sz w:val="24"/>
                <w:szCs w:val="24"/>
                <w:lang w:val="en-US" w:eastAsia="zh-CN"/>
              </w:rPr>
              <w:t>。</w:t>
            </w:r>
          </w:p>
          <w:p w14:paraId="054CAC2C">
            <w:pPr>
              <w:pStyle w:val="124"/>
              <w:numPr>
                <w:ilvl w:val="0"/>
                <w:numId w:val="0"/>
              </w:numPr>
              <w:bidi w:val="0"/>
              <w:ind w:left="0" w:leftChars="0" w:firstLine="482" w:firstLineChars="200"/>
              <w:rPr>
                <w:rFonts w:hint="eastAsia" w:ascii="Times New Roman" w:hAnsi="Times New Roman" w:eastAsia="宋体" w:cs="Times New Roman"/>
                <w:b w:val="0"/>
                <w:bCs w:val="0"/>
                <w:color w:val="auto"/>
                <w:spacing w:val="0"/>
                <w:lang w:val="en-US" w:eastAsia="zh-CN"/>
              </w:rPr>
            </w:pPr>
            <w:r>
              <w:rPr>
                <w:rFonts w:hint="eastAsia"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）危险废物</w:t>
            </w:r>
          </w:p>
          <w:p w14:paraId="3DB6B31B">
            <w:pPr>
              <w:pStyle w:val="124"/>
              <w:numPr>
                <w:ilvl w:val="0"/>
                <w:numId w:val="0"/>
              </w:numPr>
              <w:bidi w:val="0"/>
              <w:ind w:left="0" w:leftChars="0" w:firstLine="480" w:firstLineChars="200"/>
              <w:rPr>
                <w:rFonts w:hint="default" w:ascii="Times New Roman" w:hAnsi="Times New Roman" w:eastAsia="宋体" w:cs="Times New Roman"/>
                <w:b/>
                <w:bCs/>
                <w:color w:val="000000"/>
                <w:lang w:val="en-US" w:eastAsia="zh-CN"/>
              </w:rPr>
            </w:pPr>
            <w:r>
              <w:rPr>
                <w:rFonts w:hint="eastAsia" w:ascii="Times New Roman" w:hAnsi="Times New Roman" w:eastAsia="宋体" w:cs="Times New Roman"/>
                <w:color w:val="auto"/>
                <w:kern w:val="2"/>
                <w:sz w:val="24"/>
                <w:szCs w:val="22"/>
                <w:lang w:val="en-US" w:eastAsia="zh-CN" w:bidi="ar-SA"/>
              </w:rPr>
              <w:t>①</w:t>
            </w:r>
            <w:r>
              <w:rPr>
                <w:rFonts w:hint="eastAsia" w:ascii="Times New Roman" w:hAnsi="Times New Roman" w:eastAsia="宋体" w:cs="Times New Roman"/>
                <w:b w:val="0"/>
                <w:bCs w:val="0"/>
                <w:color w:val="auto"/>
                <w:sz w:val="24"/>
                <w:highlight w:val="none"/>
                <w:lang w:val="en-US" w:eastAsia="zh-CN"/>
              </w:rPr>
              <w:t>废机油</w:t>
            </w:r>
            <w:r>
              <w:rPr>
                <w:rFonts w:hint="eastAsia" w:cs="Times New Roman"/>
                <w:b w:val="0"/>
                <w:bCs w:val="0"/>
                <w:color w:val="auto"/>
                <w:sz w:val="24"/>
                <w:highlight w:val="none"/>
                <w:lang w:val="en-US" w:eastAsia="zh-CN"/>
              </w:rPr>
              <w:t>、废含油抹布</w:t>
            </w:r>
          </w:p>
          <w:p w14:paraId="77689838">
            <w:pPr>
              <w:pStyle w:val="124"/>
              <w:bidi w:val="0"/>
              <w:rPr>
                <w:rFonts w:hint="eastAsia"/>
                <w:color w:val="auto"/>
                <w:szCs w:val="22"/>
              </w:rPr>
            </w:pPr>
            <w:r>
              <w:rPr>
                <w:rFonts w:hint="eastAsia"/>
                <w:color w:val="auto"/>
                <w:sz w:val="24"/>
                <w:szCs w:val="24"/>
                <w:highlight w:val="none"/>
                <w:lang w:val="en-US" w:eastAsia="zh-CN"/>
              </w:rPr>
              <w:t>项目设备使用过程中，机油会产生损耗，需定期补充，但机油使用时间过长，会发生变质，因此需要定期更换。</w:t>
            </w:r>
            <w:r>
              <w:rPr>
                <w:rFonts w:hint="default"/>
                <w:color w:val="auto"/>
                <w:lang w:val="en-US" w:eastAsia="zh-CN"/>
              </w:rPr>
              <w:t>项目用于生产设备上的机油一般每隔3个月更换一次</w:t>
            </w:r>
            <w:r>
              <w:rPr>
                <w:rFonts w:hint="eastAsia"/>
                <w:color w:val="auto"/>
                <w:sz w:val="24"/>
                <w:szCs w:val="24"/>
                <w:highlight w:val="none"/>
                <w:lang w:val="en-US" w:eastAsia="zh-CN"/>
              </w:rPr>
              <w:t>，每年定期更换的废机油产生量约为 0.1t/a，</w:t>
            </w:r>
            <w:r>
              <w:rPr>
                <w:rFonts w:hint="eastAsia" w:ascii="Times New Roman" w:hAnsi="Times New Roman" w:eastAsia="宋体" w:cs="Times New Roman"/>
                <w:color w:val="auto"/>
                <w:lang w:val="en-US" w:eastAsia="zh-CN"/>
              </w:rPr>
              <w:t>废含油抹布</w:t>
            </w:r>
            <w:r>
              <w:rPr>
                <w:rFonts w:hint="default" w:ascii="Times New Roman" w:hAnsi="Times New Roman" w:eastAsia="宋体" w:cs="Times New Roman"/>
                <w:color w:val="auto"/>
                <w:lang w:val="en-US" w:eastAsia="zh-CN"/>
              </w:rPr>
              <w:t>产生量约为0.</w:t>
            </w:r>
            <w:r>
              <w:rPr>
                <w:rFonts w:hint="eastAsia" w:ascii="Times New Roman" w:hAnsi="Times New Roman" w:eastAsia="宋体" w:cs="Times New Roman"/>
                <w:color w:val="auto"/>
                <w:lang w:val="en-US" w:eastAsia="zh-CN"/>
              </w:rPr>
              <w:t>05</w:t>
            </w:r>
            <w:r>
              <w:rPr>
                <w:rFonts w:hint="default" w:ascii="Times New Roman" w:hAnsi="Times New Roman" w:eastAsia="宋体" w:cs="Times New Roman"/>
                <w:color w:val="auto"/>
                <w:lang w:val="en-US" w:eastAsia="zh-CN"/>
              </w:rPr>
              <w:t>t/a</w:t>
            </w:r>
            <w:r>
              <w:rPr>
                <w:rFonts w:hint="eastAsia"/>
                <w:color w:val="auto"/>
                <w:sz w:val="24"/>
                <w:szCs w:val="24"/>
                <w:highlight w:val="none"/>
                <w:lang w:val="en-US" w:eastAsia="zh-CN"/>
              </w:rPr>
              <w:t>。</w:t>
            </w:r>
            <w:r>
              <w:rPr>
                <w:rFonts w:hint="default" w:ascii="Times New Roman" w:hAnsi="Times New Roman" w:eastAsia="宋体" w:cs="Times New Roman"/>
                <w:color w:val="auto"/>
                <w:lang w:val="en-US" w:eastAsia="zh-CN"/>
              </w:rPr>
              <w:t>根据《国家危险废物名录》（2021年版），废机油属危险废物，危废类别为HW08</w:t>
            </w:r>
            <w:r>
              <w:rPr>
                <w:rFonts w:hint="eastAsia" w:ascii="Times New Roman" w:hAnsi="Times New Roman" w:eastAsia="宋体" w:cs="Times New Roman"/>
                <w:color w:val="auto"/>
                <w:lang w:val="en-US" w:eastAsia="zh-CN"/>
              </w:rPr>
              <w:t xml:space="preserve"> </w:t>
            </w:r>
            <w:r>
              <w:rPr>
                <w:rFonts w:cs="宋体" w:asciiTheme="minorEastAsia" w:hAnsiTheme="minorEastAsia"/>
                <w:color w:val="auto"/>
                <w:kern w:val="0"/>
                <w:szCs w:val="21"/>
              </w:rPr>
              <w:t>废矿物油与含矿物油废物</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危废代码</w:t>
            </w:r>
            <w:r>
              <w:rPr>
                <w:rFonts w:hint="eastAsia" w:ascii="Times New Roman" w:hAnsi="Times New Roman" w:eastAsia="宋体" w:cs="Times New Roman"/>
                <w:color w:val="auto"/>
                <w:lang w:val="en-US" w:eastAsia="zh-CN"/>
              </w:rPr>
              <w:t>为“</w:t>
            </w:r>
            <w:r>
              <w:rPr>
                <w:rFonts w:hint="default" w:ascii="Times New Roman" w:hAnsi="Times New Roman" w:eastAsia="宋体" w:cs="Times New Roman"/>
                <w:color w:val="auto"/>
                <w:lang w:val="en-US" w:eastAsia="zh-CN"/>
              </w:rPr>
              <w:t>900-214-08</w:t>
            </w:r>
            <w:r>
              <w:rPr>
                <w:rFonts w:hint="eastAsia" w:ascii="Times New Roman" w:hAnsi="Times New Roman" w:eastAsia="宋体" w:cs="Times New Roman"/>
                <w:color w:val="auto"/>
                <w:lang w:val="en-US" w:eastAsia="zh-CN"/>
              </w:rPr>
              <w:t>”；废含油抹布也属于危险废物，危废类别为HW49 其他废物，危废代码为“900-041-49”。</w:t>
            </w:r>
            <w:r>
              <w:rPr>
                <w:rFonts w:hint="default"/>
                <w:color w:val="auto"/>
                <w:lang w:val="en-US" w:eastAsia="zh-CN"/>
              </w:rPr>
              <w:t>经统一收集后</w:t>
            </w:r>
            <w:r>
              <w:rPr>
                <w:rFonts w:hint="eastAsia"/>
                <w:color w:val="auto"/>
                <w:lang w:val="en-US" w:eastAsia="zh-CN"/>
              </w:rPr>
              <w:t>放入危废间暂存，并委托</w:t>
            </w:r>
            <w:r>
              <w:rPr>
                <w:rFonts w:hint="default"/>
                <w:color w:val="auto"/>
                <w:lang w:val="en-US" w:eastAsia="zh-CN"/>
              </w:rPr>
              <w:t>有资质的单位处置。</w:t>
            </w:r>
          </w:p>
          <w:p w14:paraId="0B68BEF3">
            <w:pPr>
              <w:pStyle w:val="124"/>
              <w:shd w:val="clear"/>
              <w:bidi w:val="0"/>
              <w:rPr>
                <w:rFonts w:hint="eastAsia" w:cs="Times New Roman"/>
                <w:color w:val="000000" w:themeColor="text1"/>
                <w:lang w:val="en-US" w:eastAsia="zh-CN"/>
                <w14:textFill>
                  <w14:solidFill>
                    <w14:schemeClr w14:val="tx1"/>
                  </w14:solidFill>
                </w14:textFill>
              </w:rPr>
            </w:pPr>
            <w:r>
              <w:rPr>
                <w:rFonts w:hint="eastAsia" w:ascii="Times New Roman" w:hAnsi="Times New Roman" w:cs="Times New Roman"/>
                <w:color w:val="auto"/>
                <w:sz w:val="24"/>
                <w:szCs w:val="24"/>
                <w:highlight w:val="none"/>
              </w:rPr>
              <w:t>②</w:t>
            </w:r>
            <w:r>
              <w:rPr>
                <w:rFonts w:hint="eastAsia" w:cs="Times New Roman"/>
                <w:color w:val="000000" w:themeColor="text1"/>
                <w:lang w:val="en-US" w:eastAsia="zh-CN"/>
                <w14:textFill>
                  <w14:solidFill>
                    <w14:schemeClr w14:val="tx1"/>
                  </w14:solidFill>
                </w14:textFill>
              </w:rPr>
              <w:t>废紫外线灯管</w:t>
            </w:r>
          </w:p>
          <w:p w14:paraId="2564CE0B">
            <w:pPr>
              <w:pStyle w:val="124"/>
              <w:shd w:val="clear"/>
              <w:bidi w:val="0"/>
              <w:rPr>
                <w:rFonts w:hint="default"/>
                <w:color w:val="auto"/>
                <w:sz w:val="24"/>
                <w:szCs w:val="24"/>
                <w:lang w:val="en-US" w:eastAsia="zh-CN"/>
              </w:rPr>
            </w:pPr>
            <w:r>
              <w:rPr>
                <w:rFonts w:hint="eastAsia" w:ascii="Times New Roman" w:hAnsi="Times New Roman" w:eastAsia="宋体" w:cs="Times New Roman"/>
                <w:color w:val="000000" w:themeColor="text1"/>
                <w:lang w:val="en-US" w:eastAsia="zh-CN"/>
                <w14:textFill>
                  <w14:solidFill>
                    <w14:schemeClr w14:val="tx1"/>
                  </w14:solidFill>
                </w14:textFill>
              </w:rPr>
              <w:t>项目采用紫外线消毒设备对食品进行杀菌消毒，紫外线消毒设备中的紫外线灯管有使用寿命，</w:t>
            </w:r>
            <w:r>
              <w:rPr>
                <w:rFonts w:hint="eastAsia" w:cs="Times New Roman"/>
                <w:color w:val="auto"/>
                <w:kern w:val="2"/>
                <w:sz w:val="24"/>
                <w:szCs w:val="24"/>
                <w:lang w:val="en-US" w:eastAsia="zh-CN" w:bidi="ar-SA"/>
              </w:rPr>
              <w:t>根</w:t>
            </w:r>
            <w:r>
              <w:rPr>
                <w:rFonts w:hint="eastAsia" w:ascii="Times New Roman" w:hAnsi="Times New Roman" w:eastAsia="宋体" w:cs="Times New Roman"/>
                <w:b w:val="0"/>
                <w:bCs w:val="0"/>
                <w:color w:val="000000"/>
                <w:spacing w:val="0"/>
                <w:sz w:val="24"/>
                <w:szCs w:val="24"/>
                <w:lang w:val="en-US" w:eastAsia="zh-CN"/>
              </w:rPr>
              <w:t>据</w:t>
            </w:r>
            <w:r>
              <w:rPr>
                <w:rFonts w:hint="eastAsia" w:cs="Times New Roman"/>
                <w:color w:val="auto"/>
                <w:kern w:val="2"/>
                <w:sz w:val="24"/>
                <w:szCs w:val="24"/>
                <w:lang w:val="en-US" w:eastAsia="zh-CN" w:bidi="ar-SA"/>
              </w:rPr>
              <w:t>建设单位</w:t>
            </w:r>
            <w:r>
              <w:rPr>
                <w:rFonts w:hint="eastAsia" w:ascii="Times New Roman" w:hAnsi="Times New Roman" w:eastAsia="宋体" w:cs="Times New Roman"/>
                <w:b w:val="0"/>
                <w:bCs w:val="0"/>
                <w:color w:val="000000"/>
                <w:spacing w:val="0"/>
                <w:sz w:val="24"/>
                <w:szCs w:val="24"/>
                <w:lang w:val="en-US" w:eastAsia="zh-CN"/>
              </w:rPr>
              <w:t>提供的资料，约为</w:t>
            </w:r>
            <w:r>
              <w:rPr>
                <w:rFonts w:hint="eastAsia"/>
                <w:color w:val="000000"/>
                <w:sz w:val="24"/>
                <w:szCs w:val="24"/>
                <w:lang w:val="en-US" w:eastAsia="zh-CN"/>
              </w:rPr>
              <w:t>0.002</w:t>
            </w:r>
            <w:r>
              <w:rPr>
                <w:rFonts w:hint="eastAsia" w:ascii="Times New Roman" w:hAnsi="Times New Roman" w:eastAsia="宋体" w:cs="Times New Roman"/>
                <w:b w:val="0"/>
                <w:bCs w:val="0"/>
                <w:color w:val="000000"/>
                <w:spacing w:val="0"/>
                <w:sz w:val="24"/>
                <w:szCs w:val="24"/>
                <w:lang w:val="en-US" w:eastAsia="zh-CN"/>
              </w:rPr>
              <w:t>t/a</w:t>
            </w:r>
            <w:r>
              <w:rPr>
                <w:rFonts w:hint="eastAsia" w:cs="Times New Roman"/>
                <w:b w:val="0"/>
                <w:bCs w:val="0"/>
                <w:color w:val="000000"/>
                <w:spacing w:val="0"/>
                <w:sz w:val="24"/>
                <w:szCs w:val="24"/>
                <w:lang w:val="en-US" w:eastAsia="zh-CN"/>
              </w:rPr>
              <w:t>，</w:t>
            </w:r>
            <w:r>
              <w:rPr>
                <w:rFonts w:hint="eastAsia" w:ascii="Times New Roman" w:hAnsi="Times New Roman" w:eastAsia="宋体" w:cs="Times New Roman"/>
                <w:color w:val="000000" w:themeColor="text1"/>
                <w:lang w:val="en-US" w:eastAsia="zh-CN"/>
                <w14:textFill>
                  <w14:solidFill>
                    <w14:schemeClr w14:val="tx1"/>
                  </w14:solidFill>
                </w14:textFill>
              </w:rPr>
              <w:t>根据《国家危险废物名录（2021版）》，废紫外</w:t>
            </w:r>
            <w:r>
              <w:rPr>
                <w:rFonts w:hint="eastAsia" w:cs="Times New Roman"/>
                <w:color w:val="000000" w:themeColor="text1"/>
                <w:lang w:val="en-US" w:eastAsia="zh-CN"/>
                <w14:textFill>
                  <w14:solidFill>
                    <w14:schemeClr w14:val="tx1"/>
                  </w14:solidFill>
                </w14:textFill>
              </w:rPr>
              <w:t>线</w:t>
            </w:r>
            <w:r>
              <w:rPr>
                <w:rFonts w:hint="eastAsia" w:ascii="Times New Roman" w:hAnsi="Times New Roman" w:eastAsia="宋体" w:cs="Times New Roman"/>
                <w:color w:val="000000" w:themeColor="text1"/>
                <w:lang w:val="en-US" w:eastAsia="zh-CN"/>
                <w14:textFill>
                  <w14:solidFill>
                    <w14:schemeClr w14:val="tx1"/>
                  </w14:solidFill>
                </w14:textFill>
              </w:rPr>
              <w:t>灯</w:t>
            </w:r>
            <w:r>
              <w:rPr>
                <w:rFonts w:hint="eastAsia" w:cs="Times New Roman"/>
                <w:color w:val="000000" w:themeColor="text1"/>
                <w:lang w:val="en-US" w:eastAsia="zh-CN"/>
                <w14:textFill>
                  <w14:solidFill>
                    <w14:schemeClr w14:val="tx1"/>
                  </w14:solidFill>
                </w14:textFill>
              </w:rPr>
              <w:t>管</w:t>
            </w:r>
            <w:r>
              <w:rPr>
                <w:rFonts w:hint="eastAsia" w:ascii="Times New Roman" w:hAnsi="Times New Roman" w:eastAsia="宋体" w:cs="Times New Roman"/>
                <w:color w:val="000000" w:themeColor="text1"/>
                <w:lang w:val="en-US" w:eastAsia="zh-CN"/>
                <w14:textFill>
                  <w14:solidFill>
                    <w14:schemeClr w14:val="tx1"/>
                  </w14:solidFill>
                </w14:textFill>
              </w:rPr>
              <w:t>属于危险废物，</w:t>
            </w:r>
            <w:r>
              <w:rPr>
                <w:rFonts w:hint="default" w:ascii="Times New Roman" w:hAnsi="Times New Roman" w:eastAsia="宋体" w:cs="Times New Roman"/>
                <w:color w:val="auto"/>
                <w:lang w:val="en-US" w:eastAsia="zh-CN"/>
              </w:rPr>
              <w:t>危废类别为</w:t>
            </w:r>
            <w:r>
              <w:rPr>
                <w:rFonts w:hint="eastAsia" w:ascii="Times New Roman" w:hAnsi="Times New Roman" w:eastAsia="宋体" w:cs="Times New Roman"/>
                <w:color w:val="000000" w:themeColor="text1"/>
                <w:lang w:val="en-US" w:eastAsia="zh-CN"/>
                <w14:textFill>
                  <w14:solidFill>
                    <w14:schemeClr w14:val="tx1"/>
                  </w14:solidFill>
                </w14:textFill>
              </w:rPr>
              <w:t>HW29 含汞废物</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危废代码</w:t>
            </w:r>
            <w:r>
              <w:rPr>
                <w:rFonts w:hint="eastAsia" w:ascii="Times New Roman" w:hAnsi="Times New Roman" w:eastAsia="宋体" w:cs="Times New Roman"/>
                <w:color w:val="auto"/>
                <w:lang w:val="en-US" w:eastAsia="zh-CN"/>
              </w:rPr>
              <w:t>为“</w:t>
            </w:r>
            <w:r>
              <w:rPr>
                <w:rFonts w:hint="eastAsia" w:ascii="Times New Roman" w:hAnsi="Times New Roman" w:eastAsia="宋体" w:cs="Times New Roman"/>
                <w:color w:val="000000" w:themeColor="text1"/>
                <w:lang w:val="en-US" w:eastAsia="zh-CN"/>
                <w14:textFill>
                  <w14:solidFill>
                    <w14:schemeClr w14:val="tx1"/>
                  </w14:solidFill>
                </w14:textFill>
              </w:rPr>
              <w:t>900-023-29</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000000" w:themeColor="text1"/>
                <w:lang w:val="en-US" w:eastAsia="zh-CN"/>
                <w14:textFill>
                  <w14:solidFill>
                    <w14:schemeClr w14:val="tx1"/>
                  </w14:solidFill>
                </w14:textFill>
              </w:rPr>
              <w:t>收集后</w:t>
            </w:r>
            <w:r>
              <w:rPr>
                <w:rFonts w:hint="eastAsia"/>
                <w:color w:val="auto"/>
                <w:lang w:val="en-US" w:eastAsia="zh-CN"/>
              </w:rPr>
              <w:t>放入危废间暂存</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color w:val="auto"/>
                <w:lang w:val="en-US" w:eastAsia="zh-CN"/>
              </w:rPr>
              <w:t>并委托</w:t>
            </w:r>
            <w:r>
              <w:rPr>
                <w:rFonts w:hint="default"/>
                <w:color w:val="auto"/>
                <w:lang w:val="en-US" w:eastAsia="zh-CN"/>
              </w:rPr>
              <w:t>有资质的单位处置。</w:t>
            </w:r>
          </w:p>
          <w:p w14:paraId="5104EC0D">
            <w:pPr>
              <w:pStyle w:val="124"/>
              <w:bidi w:val="0"/>
              <w:rPr>
                <w:rFonts w:ascii="Times New Roman" w:hAnsi="Times New Roman" w:eastAsia="宋体"/>
                <w:color w:val="auto"/>
                <w:sz w:val="24"/>
                <w:highlight w:val="none"/>
              </w:rPr>
            </w:pPr>
            <w:r>
              <w:rPr>
                <w:rFonts w:hint="default"/>
                <w:color w:val="auto"/>
                <w:lang w:val="en-US" w:eastAsia="zh-CN"/>
              </w:rPr>
              <w:t>根据《固体废物鉴别标准 通则》(GB34330-2017)，</w:t>
            </w:r>
            <w:r>
              <w:rPr>
                <w:rFonts w:hint="eastAsia"/>
                <w:color w:val="auto"/>
                <w:lang w:val="en-US" w:eastAsia="zh-CN"/>
              </w:rPr>
              <w:t>本</w:t>
            </w:r>
            <w:r>
              <w:rPr>
                <w:rFonts w:hint="default"/>
                <w:color w:val="auto"/>
                <w:lang w:val="en-US" w:eastAsia="zh-CN"/>
              </w:rPr>
              <w:t>固体废物属性判定结果见表4-</w:t>
            </w:r>
            <w:r>
              <w:rPr>
                <w:rFonts w:hint="eastAsia"/>
                <w:color w:val="auto"/>
                <w:lang w:val="en-US" w:eastAsia="zh-CN"/>
              </w:rPr>
              <w:t>29</w:t>
            </w:r>
            <w:r>
              <w:rPr>
                <w:rFonts w:hint="default"/>
                <w:color w:val="auto"/>
                <w:lang w:val="en-US" w:eastAsia="zh-CN"/>
              </w:rPr>
              <w:t>。</w:t>
            </w:r>
          </w:p>
          <w:p w14:paraId="1E13679B">
            <w:pPr>
              <w:pStyle w:val="12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表4-</w:t>
            </w:r>
            <w:r>
              <w:rPr>
                <w:rFonts w:hint="eastAsia" w:cs="Times New Roman"/>
                <w:color w:val="auto"/>
                <w:lang w:val="en-US" w:eastAsia="zh-CN"/>
              </w:rPr>
              <w:t xml:space="preserve">29 </w:t>
            </w:r>
            <w:r>
              <w:rPr>
                <w:rFonts w:hint="default" w:ascii="Times New Roman" w:hAnsi="Times New Roman" w:eastAsia="宋体" w:cs="Times New Roman"/>
                <w:color w:val="auto"/>
                <w:lang w:val="en-US" w:eastAsia="zh-CN"/>
              </w:rPr>
              <w:t xml:space="preserve"> 固废属性判定表</w:t>
            </w:r>
          </w:p>
          <w:tbl>
            <w:tblPr>
              <w:tblStyle w:val="3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7"/>
              <w:gridCol w:w="1527"/>
              <w:gridCol w:w="1345"/>
              <w:gridCol w:w="1107"/>
              <w:gridCol w:w="2134"/>
              <w:gridCol w:w="870"/>
              <w:gridCol w:w="693"/>
            </w:tblGrid>
            <w:tr w14:paraId="5B5DA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9" w:type="pct"/>
                  <w:tcBorders>
                    <w:tl2br w:val="nil"/>
                    <w:tr2bl w:val="nil"/>
                  </w:tcBorders>
                  <w:noWrap w:val="0"/>
                  <w:vAlign w:val="center"/>
                </w:tcPr>
                <w:p w14:paraId="4E6FB2E0">
                  <w:pPr>
                    <w:pStyle w:val="126"/>
                    <w:bidi w:val="0"/>
                    <w:rPr>
                      <w:rFonts w:hint="default"/>
                      <w:color w:val="auto"/>
                      <w:lang w:val="en-US" w:eastAsia="zh-CN"/>
                    </w:rPr>
                  </w:pPr>
                  <w:r>
                    <w:rPr>
                      <w:rFonts w:hint="default"/>
                      <w:color w:val="auto"/>
                      <w:lang w:val="en-US" w:eastAsia="zh-CN"/>
                    </w:rPr>
                    <w:t>序号</w:t>
                  </w:r>
                </w:p>
              </w:tc>
              <w:tc>
                <w:tcPr>
                  <w:tcW w:w="933" w:type="pct"/>
                  <w:tcBorders>
                    <w:tl2br w:val="nil"/>
                    <w:tr2bl w:val="nil"/>
                  </w:tcBorders>
                  <w:noWrap w:val="0"/>
                  <w:vAlign w:val="center"/>
                </w:tcPr>
                <w:p w14:paraId="00E3B1BC">
                  <w:pPr>
                    <w:pStyle w:val="126"/>
                    <w:bidi w:val="0"/>
                    <w:rPr>
                      <w:rFonts w:hint="default"/>
                      <w:color w:val="auto"/>
                      <w:lang w:val="en-US" w:eastAsia="zh-CN"/>
                    </w:rPr>
                  </w:pPr>
                  <w:r>
                    <w:rPr>
                      <w:rFonts w:hint="default"/>
                      <w:color w:val="auto"/>
                      <w:lang w:val="en-US" w:eastAsia="zh-CN"/>
                    </w:rPr>
                    <w:t>固废名称</w:t>
                  </w:r>
                </w:p>
              </w:tc>
              <w:tc>
                <w:tcPr>
                  <w:tcW w:w="821" w:type="pct"/>
                  <w:tcBorders>
                    <w:tl2br w:val="nil"/>
                    <w:tr2bl w:val="nil"/>
                  </w:tcBorders>
                  <w:noWrap w:val="0"/>
                  <w:vAlign w:val="center"/>
                </w:tcPr>
                <w:p w14:paraId="67905BF9">
                  <w:pPr>
                    <w:pStyle w:val="126"/>
                    <w:bidi w:val="0"/>
                    <w:rPr>
                      <w:rFonts w:hint="default"/>
                      <w:color w:val="auto"/>
                      <w:lang w:val="en-US" w:eastAsia="zh-CN"/>
                    </w:rPr>
                  </w:pPr>
                  <w:r>
                    <w:rPr>
                      <w:rFonts w:hint="default"/>
                      <w:color w:val="auto"/>
                      <w:lang w:val="en-US" w:eastAsia="zh-CN"/>
                    </w:rPr>
                    <w:t>产生工序</w:t>
                  </w:r>
                </w:p>
              </w:tc>
              <w:tc>
                <w:tcPr>
                  <w:tcW w:w="676" w:type="pct"/>
                  <w:tcBorders>
                    <w:tl2br w:val="nil"/>
                    <w:tr2bl w:val="nil"/>
                  </w:tcBorders>
                  <w:noWrap w:val="0"/>
                  <w:vAlign w:val="center"/>
                </w:tcPr>
                <w:p w14:paraId="075BC9ED">
                  <w:pPr>
                    <w:pStyle w:val="126"/>
                    <w:bidi w:val="0"/>
                    <w:rPr>
                      <w:rFonts w:hint="default"/>
                      <w:color w:val="auto"/>
                      <w:lang w:val="en-US" w:eastAsia="zh-CN"/>
                    </w:rPr>
                  </w:pPr>
                  <w:r>
                    <w:rPr>
                      <w:rFonts w:hint="default"/>
                      <w:color w:val="auto"/>
                      <w:lang w:val="en-US" w:eastAsia="zh-CN"/>
                    </w:rPr>
                    <w:t>形态</w:t>
                  </w:r>
                </w:p>
              </w:tc>
              <w:tc>
                <w:tcPr>
                  <w:tcW w:w="1303" w:type="pct"/>
                  <w:tcBorders>
                    <w:tl2br w:val="nil"/>
                    <w:tr2bl w:val="nil"/>
                  </w:tcBorders>
                  <w:noWrap w:val="0"/>
                  <w:vAlign w:val="center"/>
                </w:tcPr>
                <w:p w14:paraId="064276BA">
                  <w:pPr>
                    <w:pStyle w:val="126"/>
                    <w:bidi w:val="0"/>
                    <w:rPr>
                      <w:rFonts w:hint="default"/>
                      <w:color w:val="auto"/>
                      <w:lang w:val="en-US" w:eastAsia="zh-CN"/>
                    </w:rPr>
                  </w:pPr>
                  <w:r>
                    <w:rPr>
                      <w:rFonts w:hint="default"/>
                      <w:color w:val="auto"/>
                      <w:lang w:val="en-US" w:eastAsia="zh-CN"/>
                    </w:rPr>
                    <w:t>主要成份</w:t>
                  </w:r>
                </w:p>
              </w:tc>
              <w:tc>
                <w:tcPr>
                  <w:tcW w:w="531" w:type="pct"/>
                  <w:tcBorders>
                    <w:tl2br w:val="nil"/>
                    <w:tr2bl w:val="nil"/>
                  </w:tcBorders>
                  <w:noWrap w:val="0"/>
                  <w:vAlign w:val="center"/>
                </w:tcPr>
                <w:p w14:paraId="3CDBF36D">
                  <w:pPr>
                    <w:pStyle w:val="126"/>
                    <w:bidi w:val="0"/>
                    <w:rPr>
                      <w:rFonts w:hint="default"/>
                      <w:color w:val="auto"/>
                      <w:lang w:val="en-US" w:eastAsia="zh-CN"/>
                    </w:rPr>
                  </w:pPr>
                  <w:r>
                    <w:rPr>
                      <w:rFonts w:hint="default"/>
                      <w:color w:val="auto"/>
                      <w:lang w:val="en-US" w:eastAsia="zh-CN"/>
                    </w:rPr>
                    <w:t>是否属于固体废物</w:t>
                  </w:r>
                </w:p>
              </w:tc>
              <w:tc>
                <w:tcPr>
                  <w:tcW w:w="423" w:type="pct"/>
                  <w:tcBorders>
                    <w:tl2br w:val="nil"/>
                    <w:tr2bl w:val="nil"/>
                  </w:tcBorders>
                  <w:noWrap w:val="0"/>
                  <w:vAlign w:val="center"/>
                </w:tcPr>
                <w:p w14:paraId="394B7566">
                  <w:pPr>
                    <w:pStyle w:val="126"/>
                    <w:bidi w:val="0"/>
                    <w:rPr>
                      <w:rFonts w:hint="default"/>
                      <w:color w:val="auto"/>
                      <w:lang w:val="en-US" w:eastAsia="zh-CN"/>
                    </w:rPr>
                  </w:pPr>
                  <w:r>
                    <w:rPr>
                      <w:rFonts w:hint="default"/>
                      <w:color w:val="auto"/>
                      <w:lang w:val="en-US" w:eastAsia="zh-CN"/>
                    </w:rPr>
                    <w:t>判断依据</w:t>
                  </w:r>
                </w:p>
              </w:tc>
            </w:tr>
            <w:tr w14:paraId="1B38F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9" w:type="pct"/>
                  <w:tcBorders>
                    <w:tl2br w:val="nil"/>
                    <w:tr2bl w:val="nil"/>
                  </w:tcBorders>
                  <w:noWrap w:val="0"/>
                  <w:vAlign w:val="center"/>
                </w:tcPr>
                <w:p w14:paraId="4E5B2E00">
                  <w:pPr>
                    <w:pStyle w:val="127"/>
                    <w:bidi w:val="0"/>
                    <w:rPr>
                      <w:rFonts w:hint="default"/>
                      <w:color w:val="auto"/>
                      <w:lang w:val="en-US" w:eastAsia="zh-CN"/>
                    </w:rPr>
                  </w:pPr>
                  <w:r>
                    <w:rPr>
                      <w:rFonts w:hint="default"/>
                      <w:color w:val="auto"/>
                      <w:lang w:val="en-US" w:eastAsia="zh-CN"/>
                    </w:rPr>
                    <w:t>1</w:t>
                  </w:r>
                </w:p>
              </w:tc>
              <w:tc>
                <w:tcPr>
                  <w:tcW w:w="933" w:type="pct"/>
                  <w:tcBorders>
                    <w:tl2br w:val="nil"/>
                    <w:tr2bl w:val="nil"/>
                  </w:tcBorders>
                  <w:noWrap w:val="0"/>
                  <w:vAlign w:val="center"/>
                </w:tcPr>
                <w:p w14:paraId="64F45CB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olor w:val="auto"/>
                      <w:lang w:val="en-US" w:eastAsia="zh-CN"/>
                    </w:rPr>
                  </w:pPr>
                  <w:r>
                    <w:rPr>
                      <w:rFonts w:hint="default" w:ascii="Times New Roman" w:hAnsi="Times New Roman" w:cs="Times New Roman"/>
                      <w:color w:val="auto"/>
                      <w:lang w:val="en-US" w:eastAsia="zh-CN"/>
                    </w:rPr>
                    <w:t>生活垃圾</w:t>
                  </w:r>
                </w:p>
              </w:tc>
              <w:tc>
                <w:tcPr>
                  <w:tcW w:w="1345" w:type="dxa"/>
                  <w:tcBorders>
                    <w:tl2br w:val="nil"/>
                    <w:tr2bl w:val="nil"/>
                  </w:tcBorders>
                  <w:noWrap w:val="0"/>
                  <w:vAlign w:val="center"/>
                </w:tcPr>
                <w:p w14:paraId="4454C66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olor w:val="auto"/>
                      <w:lang w:val="en-US" w:eastAsia="zh-CN"/>
                    </w:rPr>
                  </w:pPr>
                  <w:r>
                    <w:rPr>
                      <w:rFonts w:hint="eastAsia" w:cs="Times New Roman"/>
                      <w:color w:val="auto"/>
                      <w:lang w:val="en-US" w:eastAsia="zh-CN"/>
                    </w:rPr>
                    <w:t>员工</w:t>
                  </w:r>
                  <w:r>
                    <w:rPr>
                      <w:rFonts w:hint="default" w:ascii="Times New Roman" w:hAnsi="Times New Roman" w:cs="Times New Roman"/>
                      <w:color w:val="auto"/>
                    </w:rPr>
                    <w:t>日常生活</w:t>
                  </w:r>
                  <w:r>
                    <w:rPr>
                      <w:rFonts w:hint="default" w:ascii="Times New Roman" w:hAnsi="Times New Roman" w:cs="Times New Roman"/>
                      <w:color w:val="auto"/>
                      <w:lang w:val="en-US" w:eastAsia="zh-CN"/>
                    </w:rPr>
                    <w:t>产生</w:t>
                  </w:r>
                </w:p>
              </w:tc>
              <w:tc>
                <w:tcPr>
                  <w:tcW w:w="676" w:type="pct"/>
                  <w:tcBorders>
                    <w:tl2br w:val="nil"/>
                    <w:tr2bl w:val="nil"/>
                  </w:tcBorders>
                  <w:noWrap w:val="0"/>
                  <w:vAlign w:val="center"/>
                </w:tcPr>
                <w:p w14:paraId="1AD4AA6F">
                  <w:pPr>
                    <w:pStyle w:val="127"/>
                    <w:bidi w:val="0"/>
                    <w:ind w:left="19" w:leftChars="9" w:right="19" w:rightChars="9"/>
                    <w:rPr>
                      <w:rFonts w:hint="default"/>
                      <w:color w:val="auto"/>
                      <w:lang w:val="en-US" w:eastAsia="zh-CN"/>
                    </w:rPr>
                  </w:pPr>
                  <w:r>
                    <w:rPr>
                      <w:rFonts w:hint="eastAsia"/>
                      <w:color w:val="auto"/>
                      <w:lang w:val="en-US" w:eastAsia="zh-CN"/>
                    </w:rPr>
                    <w:t>固态</w:t>
                  </w:r>
                </w:p>
              </w:tc>
              <w:tc>
                <w:tcPr>
                  <w:tcW w:w="1303" w:type="pct"/>
                  <w:tcBorders>
                    <w:tl2br w:val="nil"/>
                    <w:tr2bl w:val="nil"/>
                  </w:tcBorders>
                  <w:noWrap w:val="0"/>
                  <w:vAlign w:val="center"/>
                </w:tcPr>
                <w:p w14:paraId="3170E694">
                  <w:pPr>
                    <w:pStyle w:val="127"/>
                    <w:bidi w:val="0"/>
                    <w:ind w:left="0" w:leftChars="0" w:right="0" w:rightChars="0"/>
                    <w:rPr>
                      <w:rFonts w:hint="default"/>
                      <w:color w:val="auto"/>
                      <w:lang w:val="en-US" w:eastAsia="zh-CN"/>
                    </w:rPr>
                  </w:pPr>
                  <w:r>
                    <w:rPr>
                      <w:rFonts w:hint="eastAsia" w:cs="Times New Roman"/>
                      <w:color w:val="auto"/>
                      <w:lang w:val="en-US" w:eastAsia="zh-CN"/>
                    </w:rPr>
                    <w:t>果皮纸屑</w:t>
                  </w:r>
                </w:p>
              </w:tc>
              <w:tc>
                <w:tcPr>
                  <w:tcW w:w="531" w:type="pct"/>
                  <w:tcBorders>
                    <w:tl2br w:val="nil"/>
                    <w:tr2bl w:val="nil"/>
                  </w:tcBorders>
                  <w:noWrap w:val="0"/>
                  <w:vAlign w:val="center"/>
                </w:tcPr>
                <w:p w14:paraId="1CFE7C48">
                  <w:pPr>
                    <w:pStyle w:val="127"/>
                    <w:bidi w:val="0"/>
                    <w:ind w:left="19" w:leftChars="9" w:right="19" w:rightChars="9"/>
                    <w:rPr>
                      <w:rFonts w:hint="default"/>
                      <w:color w:val="auto"/>
                      <w:lang w:val="en-US" w:eastAsia="zh-CN"/>
                    </w:rPr>
                  </w:pPr>
                  <w:r>
                    <w:rPr>
                      <w:rFonts w:hint="default"/>
                      <w:color w:val="auto"/>
                      <w:lang w:val="en-US" w:eastAsia="zh-CN"/>
                    </w:rPr>
                    <w:t>是</w:t>
                  </w:r>
                </w:p>
              </w:tc>
              <w:tc>
                <w:tcPr>
                  <w:tcW w:w="423" w:type="pct"/>
                  <w:tcBorders>
                    <w:tl2br w:val="nil"/>
                    <w:tr2bl w:val="nil"/>
                  </w:tcBorders>
                  <w:noWrap w:val="0"/>
                  <w:vAlign w:val="center"/>
                </w:tcPr>
                <w:p w14:paraId="747162E3">
                  <w:pPr>
                    <w:pStyle w:val="127"/>
                    <w:bidi w:val="0"/>
                    <w:ind w:left="19" w:leftChars="9" w:right="19" w:rightChars="9"/>
                    <w:rPr>
                      <w:rFonts w:hint="default"/>
                      <w:color w:val="auto"/>
                      <w:lang w:val="en-US" w:eastAsia="zh-CN"/>
                    </w:rPr>
                  </w:pPr>
                  <w:r>
                    <w:rPr>
                      <w:rFonts w:hint="default"/>
                      <w:color w:val="auto"/>
                      <w:lang w:val="en-US" w:eastAsia="zh-CN"/>
                    </w:rPr>
                    <w:t>4.</w:t>
                  </w:r>
                  <w:r>
                    <w:rPr>
                      <w:rFonts w:hint="eastAsia"/>
                      <w:color w:val="auto"/>
                      <w:lang w:val="en-US" w:eastAsia="zh-CN"/>
                    </w:rPr>
                    <w:t>1h</w:t>
                  </w:r>
                </w:p>
              </w:tc>
            </w:tr>
            <w:tr w14:paraId="54D46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9" w:type="pct"/>
                  <w:tcBorders>
                    <w:tl2br w:val="nil"/>
                    <w:tr2bl w:val="nil"/>
                  </w:tcBorders>
                  <w:shd w:val="clear" w:color="auto" w:fill="auto"/>
                  <w:noWrap w:val="0"/>
                  <w:vAlign w:val="center"/>
                </w:tcPr>
                <w:p w14:paraId="552EE73F">
                  <w:pPr>
                    <w:pStyle w:val="127"/>
                    <w:bidi w:val="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lang w:val="en-US" w:eastAsia="zh-CN"/>
                    </w:rPr>
                    <w:t>2</w:t>
                  </w:r>
                </w:p>
              </w:tc>
              <w:tc>
                <w:tcPr>
                  <w:tcW w:w="933" w:type="pct"/>
                  <w:tcBorders>
                    <w:tl2br w:val="nil"/>
                    <w:tr2bl w:val="nil"/>
                  </w:tcBorders>
                  <w:noWrap w:val="0"/>
                  <w:vAlign w:val="center"/>
                </w:tcPr>
                <w:p w14:paraId="71599AF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s="Times New Roman"/>
                      <w:color w:val="auto"/>
                      <w:lang w:val="en-US" w:eastAsia="zh-CN"/>
                    </w:rPr>
                    <w:t>餐厨垃圾</w:t>
                  </w:r>
                </w:p>
              </w:tc>
              <w:tc>
                <w:tcPr>
                  <w:tcW w:w="1345" w:type="dxa"/>
                  <w:tcBorders>
                    <w:tl2br w:val="nil"/>
                    <w:tr2bl w:val="nil"/>
                  </w:tcBorders>
                  <w:noWrap w:val="0"/>
                  <w:vAlign w:val="center"/>
                </w:tcPr>
                <w:p w14:paraId="6BEE15B0">
                  <w:pPr>
                    <w:keepNext w:val="0"/>
                    <w:keepLines w:val="0"/>
                    <w:widowControl/>
                    <w:suppressLineNumbers w:val="0"/>
                    <w:jc w:val="center"/>
                    <w:rPr>
                      <w:rFonts w:hint="eastAsia" w:cs="Times New Roman"/>
                      <w:color w:val="auto"/>
                      <w:lang w:val="en-US" w:eastAsia="zh-CN"/>
                    </w:rPr>
                  </w:pPr>
                  <w:r>
                    <w:rPr>
                      <w:rFonts w:hint="eastAsia" w:cs="Times New Roman"/>
                      <w:color w:val="auto"/>
                      <w:kern w:val="2"/>
                      <w:sz w:val="21"/>
                      <w:szCs w:val="21"/>
                      <w:lang w:val="en-US" w:eastAsia="zh-CN" w:bidi="ar-SA"/>
                    </w:rPr>
                    <w:t>食品制作</w:t>
                  </w:r>
                  <w:r>
                    <w:rPr>
                      <w:rFonts w:hint="eastAsia" w:ascii="Times New Roman" w:hAnsi="Times New Roman" w:eastAsia="宋体" w:cs="Times New Roman"/>
                      <w:color w:val="auto"/>
                      <w:kern w:val="2"/>
                      <w:sz w:val="21"/>
                      <w:szCs w:val="21"/>
                      <w:lang w:val="en-US" w:eastAsia="zh-CN" w:bidi="ar-SA"/>
                    </w:rPr>
                    <w:t>过程产生</w:t>
                  </w:r>
                </w:p>
              </w:tc>
              <w:tc>
                <w:tcPr>
                  <w:tcW w:w="676" w:type="pct"/>
                  <w:tcBorders>
                    <w:tl2br w:val="nil"/>
                    <w:tr2bl w:val="nil"/>
                  </w:tcBorders>
                  <w:noWrap w:val="0"/>
                  <w:vAlign w:val="center"/>
                </w:tcPr>
                <w:p w14:paraId="79AB7894">
                  <w:pPr>
                    <w:pStyle w:val="127"/>
                    <w:bidi w:val="0"/>
                    <w:ind w:left="19" w:leftChars="9" w:right="19" w:rightChars="9"/>
                    <w:rPr>
                      <w:rFonts w:hint="default"/>
                      <w:color w:val="auto"/>
                      <w:lang w:val="en-US" w:eastAsia="zh-CN"/>
                    </w:rPr>
                  </w:pPr>
                  <w:r>
                    <w:rPr>
                      <w:rFonts w:hint="eastAsia"/>
                      <w:color w:val="auto"/>
                      <w:lang w:val="en-US" w:eastAsia="zh-CN"/>
                    </w:rPr>
                    <w:t>半固态</w:t>
                  </w:r>
                </w:p>
              </w:tc>
              <w:tc>
                <w:tcPr>
                  <w:tcW w:w="1303" w:type="pct"/>
                  <w:tcBorders>
                    <w:tl2br w:val="nil"/>
                    <w:tr2bl w:val="nil"/>
                  </w:tcBorders>
                  <w:noWrap w:val="0"/>
                  <w:vAlign w:val="center"/>
                </w:tcPr>
                <w:p w14:paraId="2CB019F5">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淀粉、纤维素、脂</w:t>
                  </w:r>
                </w:p>
                <w:p w14:paraId="1B8C4D30">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肪、蛋白质等</w:t>
                  </w:r>
                </w:p>
              </w:tc>
              <w:tc>
                <w:tcPr>
                  <w:tcW w:w="531" w:type="pct"/>
                  <w:tcBorders>
                    <w:tl2br w:val="nil"/>
                    <w:tr2bl w:val="nil"/>
                  </w:tcBorders>
                  <w:noWrap w:val="0"/>
                  <w:vAlign w:val="center"/>
                </w:tcPr>
                <w:p w14:paraId="719E55A8">
                  <w:pPr>
                    <w:bidi w:val="0"/>
                    <w:ind w:left="19" w:leftChars="9" w:right="19" w:rightChars="9"/>
                    <w:jc w:val="center"/>
                    <w:rPr>
                      <w:rFonts w:hint="default"/>
                      <w:color w:val="auto"/>
                      <w:lang w:val="en-US" w:eastAsia="zh-CN"/>
                    </w:rPr>
                  </w:pPr>
                  <w:r>
                    <w:rPr>
                      <w:rFonts w:hint="default"/>
                      <w:color w:val="auto"/>
                      <w:lang w:val="en-US" w:eastAsia="zh-CN"/>
                    </w:rPr>
                    <w:t>是</w:t>
                  </w:r>
                </w:p>
              </w:tc>
              <w:tc>
                <w:tcPr>
                  <w:tcW w:w="423" w:type="pct"/>
                  <w:tcBorders>
                    <w:tl2br w:val="nil"/>
                    <w:tr2bl w:val="nil"/>
                  </w:tcBorders>
                  <w:noWrap w:val="0"/>
                  <w:vAlign w:val="center"/>
                </w:tcPr>
                <w:p w14:paraId="19F31D97">
                  <w:pPr>
                    <w:pStyle w:val="127"/>
                    <w:bidi w:val="0"/>
                    <w:ind w:left="19" w:leftChars="9" w:right="19" w:rightChars="9"/>
                    <w:rPr>
                      <w:rFonts w:hint="default"/>
                      <w:color w:val="auto"/>
                      <w:lang w:val="en-US" w:eastAsia="zh-CN"/>
                    </w:rPr>
                  </w:pPr>
                  <w:r>
                    <w:rPr>
                      <w:rFonts w:hint="default"/>
                      <w:color w:val="auto"/>
                      <w:lang w:val="en-US" w:eastAsia="zh-CN"/>
                    </w:rPr>
                    <w:t>4.</w:t>
                  </w:r>
                  <w:r>
                    <w:rPr>
                      <w:rFonts w:hint="eastAsia"/>
                      <w:color w:val="auto"/>
                      <w:lang w:val="en-US" w:eastAsia="zh-CN"/>
                    </w:rPr>
                    <w:t>1h</w:t>
                  </w:r>
                </w:p>
              </w:tc>
            </w:tr>
            <w:tr w14:paraId="3984B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9" w:type="pct"/>
                  <w:tcBorders>
                    <w:tl2br w:val="nil"/>
                    <w:tr2bl w:val="nil"/>
                  </w:tcBorders>
                  <w:shd w:val="clear" w:color="auto" w:fill="auto"/>
                  <w:noWrap w:val="0"/>
                  <w:vAlign w:val="center"/>
                </w:tcPr>
                <w:p w14:paraId="444EF9CE">
                  <w:pPr>
                    <w:pStyle w:val="127"/>
                    <w:bidi w:val="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3</w:t>
                  </w:r>
                </w:p>
              </w:tc>
              <w:tc>
                <w:tcPr>
                  <w:tcW w:w="933" w:type="pct"/>
                  <w:tcBorders>
                    <w:tl2br w:val="nil"/>
                    <w:tr2bl w:val="nil"/>
                  </w:tcBorders>
                  <w:noWrap w:val="0"/>
                  <w:vAlign w:val="center"/>
                </w:tcPr>
                <w:p w14:paraId="20C68540">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s="Times New Roman"/>
                      <w:color w:val="auto"/>
                      <w:lang w:val="en-US" w:eastAsia="zh-CN"/>
                    </w:rPr>
                    <w:t>废油脂</w:t>
                  </w:r>
                </w:p>
              </w:tc>
              <w:tc>
                <w:tcPr>
                  <w:tcW w:w="1345" w:type="dxa"/>
                  <w:tcBorders>
                    <w:tl2br w:val="nil"/>
                    <w:tr2bl w:val="nil"/>
                  </w:tcBorders>
                  <w:noWrap w:val="0"/>
                  <w:vAlign w:val="center"/>
                </w:tcPr>
                <w:p w14:paraId="00F1820B">
                  <w:pPr>
                    <w:keepNext w:val="0"/>
                    <w:keepLines w:val="0"/>
                    <w:widowControl/>
                    <w:suppressLineNumbers w:val="0"/>
                    <w:jc w:val="center"/>
                    <w:rPr>
                      <w:rFonts w:hint="eastAsia" w:cs="Times New Roman"/>
                      <w:color w:val="auto"/>
                      <w:lang w:val="en-US" w:eastAsia="zh-CN"/>
                    </w:rPr>
                  </w:pPr>
                  <w:r>
                    <w:rPr>
                      <w:rFonts w:hint="eastAsia" w:cs="Times New Roman"/>
                      <w:bCs/>
                      <w:color w:val="auto"/>
                      <w:szCs w:val="21"/>
                      <w:lang w:val="en-US" w:eastAsia="zh-CN"/>
                    </w:rPr>
                    <w:t>隔油池处理废水过程和油烟净化器处理废气过程产生</w:t>
                  </w:r>
                </w:p>
              </w:tc>
              <w:tc>
                <w:tcPr>
                  <w:tcW w:w="676" w:type="pct"/>
                  <w:tcBorders>
                    <w:tl2br w:val="nil"/>
                    <w:tr2bl w:val="nil"/>
                  </w:tcBorders>
                  <w:noWrap w:val="0"/>
                  <w:vAlign w:val="center"/>
                </w:tcPr>
                <w:p w14:paraId="48494F2B">
                  <w:pPr>
                    <w:pStyle w:val="127"/>
                    <w:bidi w:val="0"/>
                    <w:ind w:left="19" w:leftChars="9" w:right="19" w:rightChars="9"/>
                    <w:rPr>
                      <w:rFonts w:hint="default"/>
                      <w:color w:val="auto"/>
                      <w:lang w:val="en-US" w:eastAsia="zh-CN"/>
                    </w:rPr>
                  </w:pPr>
                  <w:r>
                    <w:rPr>
                      <w:rFonts w:hint="eastAsia"/>
                      <w:color w:val="auto"/>
                      <w:lang w:val="en-US" w:eastAsia="zh-CN"/>
                    </w:rPr>
                    <w:t>液态</w:t>
                  </w:r>
                </w:p>
              </w:tc>
              <w:tc>
                <w:tcPr>
                  <w:tcW w:w="1303" w:type="pct"/>
                  <w:tcBorders>
                    <w:tl2br w:val="nil"/>
                    <w:tr2bl w:val="nil"/>
                  </w:tcBorders>
                  <w:noWrap w:val="0"/>
                  <w:vAlign w:val="center"/>
                </w:tcPr>
                <w:p w14:paraId="0C7C2277">
                  <w:pPr>
                    <w:pStyle w:val="127"/>
                    <w:bidi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废动植物油</w:t>
                  </w:r>
                </w:p>
              </w:tc>
              <w:tc>
                <w:tcPr>
                  <w:tcW w:w="531" w:type="pct"/>
                  <w:tcBorders>
                    <w:tl2br w:val="nil"/>
                    <w:tr2bl w:val="nil"/>
                  </w:tcBorders>
                  <w:noWrap w:val="0"/>
                  <w:vAlign w:val="center"/>
                </w:tcPr>
                <w:p w14:paraId="7E884C9C">
                  <w:pPr>
                    <w:bidi w:val="0"/>
                    <w:ind w:left="19" w:leftChars="9" w:right="19" w:rightChars="9"/>
                    <w:jc w:val="center"/>
                    <w:rPr>
                      <w:rFonts w:hint="default"/>
                      <w:color w:val="auto"/>
                      <w:lang w:val="en-US" w:eastAsia="zh-CN"/>
                    </w:rPr>
                  </w:pPr>
                  <w:r>
                    <w:rPr>
                      <w:rFonts w:hint="default"/>
                      <w:color w:val="auto"/>
                      <w:lang w:val="en-US" w:eastAsia="zh-CN"/>
                    </w:rPr>
                    <w:t>是</w:t>
                  </w:r>
                </w:p>
              </w:tc>
              <w:tc>
                <w:tcPr>
                  <w:tcW w:w="423" w:type="pct"/>
                  <w:tcBorders>
                    <w:tl2br w:val="nil"/>
                    <w:tr2bl w:val="nil"/>
                  </w:tcBorders>
                  <w:noWrap w:val="0"/>
                  <w:vAlign w:val="center"/>
                </w:tcPr>
                <w:p w14:paraId="53E27891">
                  <w:pPr>
                    <w:pStyle w:val="127"/>
                    <w:bidi w:val="0"/>
                    <w:ind w:left="19" w:leftChars="9" w:right="19" w:rightChars="9"/>
                    <w:rPr>
                      <w:rFonts w:hint="default"/>
                      <w:color w:val="auto"/>
                      <w:lang w:val="en-US" w:eastAsia="zh-CN"/>
                    </w:rPr>
                  </w:pPr>
                  <w:r>
                    <w:rPr>
                      <w:rFonts w:hint="default"/>
                      <w:color w:val="auto"/>
                      <w:lang w:val="en-US" w:eastAsia="zh-CN"/>
                    </w:rPr>
                    <w:t>4.</w:t>
                  </w:r>
                  <w:r>
                    <w:rPr>
                      <w:rFonts w:hint="eastAsia"/>
                      <w:color w:val="auto"/>
                      <w:lang w:val="en-US" w:eastAsia="zh-CN"/>
                    </w:rPr>
                    <w:t>1h</w:t>
                  </w:r>
                </w:p>
              </w:tc>
            </w:tr>
            <w:tr w14:paraId="7CA51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9" w:type="pct"/>
                  <w:tcBorders>
                    <w:tl2br w:val="nil"/>
                    <w:tr2bl w:val="nil"/>
                  </w:tcBorders>
                  <w:noWrap w:val="0"/>
                  <w:vAlign w:val="center"/>
                </w:tcPr>
                <w:p w14:paraId="681384F2">
                  <w:pPr>
                    <w:pStyle w:val="127"/>
                    <w:bidi w:val="0"/>
                    <w:ind w:left="0" w:leftChars="0" w:right="0" w:rightChars="0"/>
                    <w:rPr>
                      <w:rFonts w:hint="default"/>
                      <w:color w:val="auto"/>
                      <w:lang w:val="en-US" w:eastAsia="zh-CN"/>
                    </w:rPr>
                  </w:pPr>
                  <w:r>
                    <w:rPr>
                      <w:rFonts w:hint="eastAsia"/>
                      <w:color w:val="auto"/>
                      <w:lang w:val="en-US" w:eastAsia="zh-CN"/>
                    </w:rPr>
                    <w:t>4</w:t>
                  </w:r>
                </w:p>
              </w:tc>
              <w:tc>
                <w:tcPr>
                  <w:tcW w:w="933" w:type="pct"/>
                  <w:tcBorders>
                    <w:tl2br w:val="nil"/>
                    <w:tr2bl w:val="nil"/>
                  </w:tcBorders>
                  <w:noWrap w:val="0"/>
                  <w:vAlign w:val="center"/>
                </w:tcPr>
                <w:p w14:paraId="28CEDECD">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color w:val="auto"/>
                      <w:lang w:val="en-US" w:eastAsia="zh-CN"/>
                    </w:rPr>
                  </w:pPr>
                  <w:r>
                    <w:rPr>
                      <w:rFonts w:hint="eastAsia" w:ascii="Times New Roman" w:hAnsi="Times New Roman" w:eastAsia="宋体" w:cs="Times New Roman"/>
                      <w:color w:val="auto"/>
                      <w:vertAlign w:val="baseline"/>
                      <w:lang w:val="en-US" w:eastAsia="zh-CN"/>
                    </w:rPr>
                    <w:t>废包装</w:t>
                  </w:r>
                  <w:r>
                    <w:rPr>
                      <w:rFonts w:hint="eastAsia" w:cs="Times New Roman"/>
                      <w:color w:val="auto"/>
                      <w:vertAlign w:val="baseline"/>
                      <w:lang w:val="en-US" w:eastAsia="zh-CN"/>
                    </w:rPr>
                    <w:t>材料</w:t>
                  </w:r>
                </w:p>
              </w:tc>
              <w:tc>
                <w:tcPr>
                  <w:tcW w:w="1345" w:type="dxa"/>
                  <w:tcBorders>
                    <w:tl2br w:val="nil"/>
                    <w:tr2bl w:val="nil"/>
                  </w:tcBorders>
                  <w:noWrap w:val="0"/>
                  <w:vAlign w:val="center"/>
                </w:tcPr>
                <w:p w14:paraId="54D9AD20">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olor w:val="auto"/>
                      <w:lang w:val="en-US" w:eastAsia="zh-CN"/>
                    </w:rPr>
                  </w:pPr>
                  <w:r>
                    <w:rPr>
                      <w:rFonts w:hint="eastAsia" w:ascii="Times New Roman" w:hAnsi="Times New Roman" w:eastAsia="宋体" w:cs="Times New Roman"/>
                      <w:color w:val="auto"/>
                      <w:kern w:val="2"/>
                      <w:sz w:val="21"/>
                      <w:szCs w:val="21"/>
                      <w:lang w:val="en-US" w:eastAsia="zh-CN" w:bidi="ar-SA"/>
                    </w:rPr>
                    <w:t>原料拆包和产品包装过程产生</w:t>
                  </w:r>
                </w:p>
              </w:tc>
              <w:tc>
                <w:tcPr>
                  <w:tcW w:w="676" w:type="pct"/>
                  <w:tcBorders>
                    <w:tl2br w:val="nil"/>
                    <w:tr2bl w:val="nil"/>
                  </w:tcBorders>
                  <w:noWrap w:val="0"/>
                  <w:vAlign w:val="center"/>
                </w:tcPr>
                <w:p w14:paraId="6AA5CD54">
                  <w:pPr>
                    <w:pStyle w:val="127"/>
                    <w:bidi w:val="0"/>
                    <w:ind w:left="19" w:leftChars="9" w:right="19" w:rightChars="9"/>
                    <w:rPr>
                      <w:rFonts w:hint="default"/>
                      <w:color w:val="auto"/>
                      <w:lang w:val="en-US" w:eastAsia="zh-CN"/>
                    </w:rPr>
                  </w:pPr>
                  <w:r>
                    <w:rPr>
                      <w:rFonts w:hint="eastAsia"/>
                      <w:color w:val="auto"/>
                      <w:lang w:val="en-US" w:eastAsia="zh-CN"/>
                    </w:rPr>
                    <w:t>固态</w:t>
                  </w:r>
                </w:p>
              </w:tc>
              <w:tc>
                <w:tcPr>
                  <w:tcW w:w="1303" w:type="pct"/>
                  <w:tcBorders>
                    <w:tl2br w:val="nil"/>
                    <w:tr2bl w:val="nil"/>
                  </w:tcBorders>
                  <w:noWrap w:val="0"/>
                  <w:vAlign w:val="center"/>
                </w:tcPr>
                <w:p w14:paraId="2EDA654D">
                  <w:pPr>
                    <w:jc w:val="center"/>
                    <w:rPr>
                      <w:rFonts w:hint="default" w:eastAsia="宋体"/>
                      <w:color w:val="auto"/>
                      <w:lang w:val="en-US" w:eastAsia="zh-CN"/>
                    </w:rPr>
                  </w:pPr>
                  <w:r>
                    <w:rPr>
                      <w:rFonts w:hint="eastAsia"/>
                      <w:color w:val="auto"/>
                      <w:lang w:val="en-US" w:eastAsia="zh-CN"/>
                    </w:rPr>
                    <w:t>废纸、废塑料</w:t>
                  </w:r>
                </w:p>
              </w:tc>
              <w:tc>
                <w:tcPr>
                  <w:tcW w:w="531" w:type="pct"/>
                  <w:tcBorders>
                    <w:tl2br w:val="nil"/>
                    <w:tr2bl w:val="nil"/>
                  </w:tcBorders>
                  <w:noWrap w:val="0"/>
                  <w:vAlign w:val="center"/>
                </w:tcPr>
                <w:p w14:paraId="3E36D243">
                  <w:pPr>
                    <w:pStyle w:val="127"/>
                    <w:bidi w:val="0"/>
                    <w:ind w:left="19" w:leftChars="9" w:right="19" w:rightChars="9"/>
                    <w:rPr>
                      <w:rFonts w:hint="default"/>
                      <w:color w:val="auto"/>
                      <w:lang w:val="en-US" w:eastAsia="zh-CN"/>
                    </w:rPr>
                  </w:pPr>
                  <w:r>
                    <w:rPr>
                      <w:rFonts w:hint="eastAsia"/>
                      <w:color w:val="auto"/>
                      <w:lang w:val="en-US" w:eastAsia="zh-CN"/>
                    </w:rPr>
                    <w:t>是</w:t>
                  </w:r>
                </w:p>
              </w:tc>
              <w:tc>
                <w:tcPr>
                  <w:tcW w:w="423" w:type="pct"/>
                  <w:tcBorders>
                    <w:tl2br w:val="nil"/>
                    <w:tr2bl w:val="nil"/>
                  </w:tcBorders>
                  <w:noWrap w:val="0"/>
                  <w:vAlign w:val="center"/>
                </w:tcPr>
                <w:p w14:paraId="167A686F">
                  <w:pPr>
                    <w:pStyle w:val="127"/>
                    <w:bidi w:val="0"/>
                    <w:ind w:left="19" w:leftChars="9" w:right="19" w:rightChars="9"/>
                    <w:rPr>
                      <w:rFonts w:hint="default"/>
                      <w:color w:val="auto"/>
                      <w:lang w:val="en-US" w:eastAsia="zh-CN"/>
                    </w:rPr>
                  </w:pPr>
                  <w:r>
                    <w:rPr>
                      <w:rFonts w:hint="default"/>
                      <w:color w:val="auto"/>
                      <w:lang w:val="en-US" w:eastAsia="zh-CN"/>
                    </w:rPr>
                    <w:t>4.</w:t>
                  </w:r>
                  <w:r>
                    <w:rPr>
                      <w:rFonts w:hint="eastAsia"/>
                      <w:color w:val="auto"/>
                      <w:lang w:val="en-US" w:eastAsia="zh-CN"/>
                    </w:rPr>
                    <w:t>1h</w:t>
                  </w:r>
                </w:p>
              </w:tc>
            </w:tr>
            <w:tr w14:paraId="18BAB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309" w:type="pct"/>
                  <w:tcBorders>
                    <w:tl2br w:val="nil"/>
                    <w:tr2bl w:val="nil"/>
                  </w:tcBorders>
                  <w:noWrap w:val="0"/>
                  <w:vAlign w:val="center"/>
                </w:tcPr>
                <w:p w14:paraId="473438AF">
                  <w:pPr>
                    <w:pStyle w:val="127"/>
                    <w:bidi w:val="0"/>
                    <w:ind w:left="0" w:leftChars="0" w:right="0" w:rightChars="0"/>
                    <w:rPr>
                      <w:rFonts w:hint="eastAsia"/>
                      <w:color w:val="auto"/>
                      <w:lang w:val="en-US" w:eastAsia="zh-CN"/>
                    </w:rPr>
                  </w:pPr>
                  <w:r>
                    <w:rPr>
                      <w:rFonts w:hint="eastAsia"/>
                      <w:color w:val="auto"/>
                      <w:lang w:val="en-US" w:eastAsia="zh-CN"/>
                    </w:rPr>
                    <w:t>5</w:t>
                  </w:r>
                </w:p>
              </w:tc>
              <w:tc>
                <w:tcPr>
                  <w:tcW w:w="933" w:type="pct"/>
                  <w:tcBorders>
                    <w:tl2br w:val="nil"/>
                    <w:tr2bl w:val="nil"/>
                  </w:tcBorders>
                  <w:noWrap w:val="0"/>
                  <w:vAlign w:val="center"/>
                </w:tcPr>
                <w:p w14:paraId="397615C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eastAsia="宋体" w:cs="Times New Roman"/>
                      <w:color w:val="auto"/>
                      <w:kern w:val="2"/>
                      <w:sz w:val="21"/>
                      <w:szCs w:val="21"/>
                      <w:lang w:val="en-US" w:eastAsia="zh-CN" w:bidi="ar-SA"/>
                    </w:rPr>
                  </w:pPr>
                  <w:r>
                    <w:rPr>
                      <w:rFonts w:hint="eastAsia"/>
                      <w:bCs/>
                      <w:color w:val="auto"/>
                      <w:highlight w:val="none"/>
                    </w:rPr>
                    <w:t>废滤芯和</w:t>
                  </w:r>
                  <w:r>
                    <w:rPr>
                      <w:rFonts w:hint="eastAsia" w:ascii="Times New Roman" w:hAnsi="Times New Roman" w:eastAsia="宋体" w:cs="Times New Roman"/>
                      <w:color w:val="auto"/>
                      <w:vertAlign w:val="baseline"/>
                      <w:lang w:val="en-US" w:eastAsia="zh-CN"/>
                    </w:rPr>
                    <w:t>废反渗透膜</w:t>
                  </w:r>
                </w:p>
              </w:tc>
              <w:tc>
                <w:tcPr>
                  <w:tcW w:w="1345" w:type="dxa"/>
                  <w:tcBorders>
                    <w:tl2br w:val="nil"/>
                    <w:tr2bl w:val="nil"/>
                  </w:tcBorders>
                  <w:noWrap w:val="0"/>
                  <w:vAlign w:val="center"/>
                </w:tcPr>
                <w:p w14:paraId="704194D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纯水机纯水制备过程产生</w:t>
                  </w:r>
                </w:p>
              </w:tc>
              <w:tc>
                <w:tcPr>
                  <w:tcW w:w="676" w:type="pct"/>
                  <w:tcBorders>
                    <w:tl2br w:val="nil"/>
                    <w:tr2bl w:val="nil"/>
                  </w:tcBorders>
                  <w:noWrap w:val="0"/>
                  <w:vAlign w:val="center"/>
                </w:tcPr>
                <w:p w14:paraId="603398C2">
                  <w:pPr>
                    <w:pStyle w:val="127"/>
                    <w:bidi w:val="0"/>
                    <w:ind w:left="19" w:leftChars="9" w:right="19" w:rightChars="9"/>
                    <w:rPr>
                      <w:rFonts w:hint="default"/>
                      <w:color w:val="auto"/>
                      <w:lang w:val="en-US" w:eastAsia="zh-CN"/>
                    </w:rPr>
                  </w:pPr>
                  <w:r>
                    <w:rPr>
                      <w:rFonts w:hint="eastAsia"/>
                      <w:color w:val="auto"/>
                      <w:lang w:val="en-US" w:eastAsia="zh-CN"/>
                    </w:rPr>
                    <w:t>固态</w:t>
                  </w:r>
                </w:p>
              </w:tc>
              <w:tc>
                <w:tcPr>
                  <w:tcW w:w="1303" w:type="pct"/>
                  <w:tcBorders>
                    <w:tl2br w:val="nil"/>
                    <w:tr2bl w:val="nil"/>
                  </w:tcBorders>
                  <w:noWrap w:val="0"/>
                  <w:vAlign w:val="center"/>
                </w:tcPr>
                <w:p w14:paraId="6E4E6E9F">
                  <w:pPr>
                    <w:jc w:val="center"/>
                    <w:rPr>
                      <w:rStyle w:val="130"/>
                      <w:rFonts w:hint="default"/>
                      <w:color w:val="auto"/>
                      <w:szCs w:val="21"/>
                      <w:lang w:val="en-US" w:eastAsia="zh-CN"/>
                    </w:rPr>
                  </w:pPr>
                  <w:r>
                    <w:rPr>
                      <w:rStyle w:val="130"/>
                      <w:rFonts w:hint="eastAsia"/>
                      <w:color w:val="auto"/>
                      <w:szCs w:val="21"/>
                      <w:lang w:val="en-US" w:eastAsia="zh-CN"/>
                    </w:rPr>
                    <w:t>废塑料</w:t>
                  </w:r>
                </w:p>
              </w:tc>
              <w:tc>
                <w:tcPr>
                  <w:tcW w:w="531" w:type="pct"/>
                  <w:tcBorders>
                    <w:tl2br w:val="nil"/>
                    <w:tr2bl w:val="nil"/>
                  </w:tcBorders>
                  <w:noWrap w:val="0"/>
                  <w:vAlign w:val="center"/>
                </w:tcPr>
                <w:p w14:paraId="1500A8DB">
                  <w:pPr>
                    <w:pStyle w:val="127"/>
                    <w:bidi w:val="0"/>
                    <w:ind w:left="19" w:leftChars="9" w:right="19" w:rightChars="9"/>
                    <w:rPr>
                      <w:rFonts w:hint="eastAsia"/>
                      <w:color w:val="auto"/>
                      <w:lang w:val="en-US" w:eastAsia="zh-CN"/>
                    </w:rPr>
                  </w:pPr>
                  <w:r>
                    <w:rPr>
                      <w:rFonts w:hint="eastAsia"/>
                      <w:color w:val="auto"/>
                      <w:lang w:val="en-US" w:eastAsia="zh-CN"/>
                    </w:rPr>
                    <w:t>是</w:t>
                  </w:r>
                </w:p>
              </w:tc>
              <w:tc>
                <w:tcPr>
                  <w:tcW w:w="423" w:type="pct"/>
                  <w:tcBorders>
                    <w:tl2br w:val="nil"/>
                    <w:tr2bl w:val="nil"/>
                  </w:tcBorders>
                  <w:noWrap w:val="0"/>
                  <w:vAlign w:val="center"/>
                </w:tcPr>
                <w:p w14:paraId="3F1D16A9">
                  <w:pPr>
                    <w:pStyle w:val="127"/>
                    <w:bidi w:val="0"/>
                    <w:ind w:left="19" w:leftChars="9" w:right="19" w:rightChars="9"/>
                    <w:rPr>
                      <w:rFonts w:hint="eastAsia"/>
                      <w:color w:val="auto"/>
                      <w:lang w:val="en-US" w:eastAsia="zh-CN"/>
                    </w:rPr>
                  </w:pPr>
                  <w:r>
                    <w:rPr>
                      <w:rFonts w:hint="default"/>
                      <w:color w:val="auto"/>
                      <w:lang w:val="en-US" w:eastAsia="zh-CN"/>
                    </w:rPr>
                    <w:t>4.</w:t>
                  </w:r>
                  <w:r>
                    <w:rPr>
                      <w:rFonts w:hint="eastAsia"/>
                      <w:color w:val="auto"/>
                      <w:lang w:val="en-US" w:eastAsia="zh-CN"/>
                    </w:rPr>
                    <w:t>1h</w:t>
                  </w:r>
                </w:p>
              </w:tc>
            </w:tr>
            <w:tr w14:paraId="2332B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309" w:type="pct"/>
                  <w:tcBorders>
                    <w:tl2br w:val="nil"/>
                    <w:tr2bl w:val="nil"/>
                  </w:tcBorders>
                  <w:noWrap w:val="0"/>
                  <w:vAlign w:val="center"/>
                </w:tcPr>
                <w:p w14:paraId="1B73733C">
                  <w:pPr>
                    <w:pStyle w:val="127"/>
                    <w:bidi w:val="0"/>
                    <w:ind w:left="0" w:leftChars="0" w:right="0" w:rightChars="0"/>
                    <w:rPr>
                      <w:rFonts w:hint="eastAsia"/>
                      <w:color w:val="auto"/>
                      <w:lang w:val="en-US" w:eastAsia="zh-CN"/>
                    </w:rPr>
                  </w:pPr>
                  <w:r>
                    <w:rPr>
                      <w:rFonts w:hint="eastAsia"/>
                      <w:color w:val="auto"/>
                      <w:lang w:val="en-US" w:eastAsia="zh-CN"/>
                    </w:rPr>
                    <w:t>6</w:t>
                  </w:r>
                </w:p>
              </w:tc>
              <w:tc>
                <w:tcPr>
                  <w:tcW w:w="933" w:type="pct"/>
                  <w:tcBorders>
                    <w:tl2br w:val="nil"/>
                    <w:tr2bl w:val="nil"/>
                  </w:tcBorders>
                  <w:noWrap w:val="0"/>
                  <w:vAlign w:val="center"/>
                </w:tcPr>
                <w:p w14:paraId="4D62AEA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eastAsia="宋体"/>
                      <w:bCs/>
                      <w:color w:val="auto"/>
                      <w:highlight w:val="none"/>
                      <w:lang w:val="en-US" w:eastAsia="zh-CN"/>
                    </w:rPr>
                  </w:pPr>
                  <w:r>
                    <w:rPr>
                      <w:rFonts w:hint="eastAsia"/>
                      <w:bCs/>
                      <w:color w:val="auto"/>
                      <w:highlight w:val="none"/>
                      <w:lang w:val="en-US" w:eastAsia="zh-CN"/>
                    </w:rPr>
                    <w:t>锅炉软水废树脂</w:t>
                  </w:r>
                </w:p>
              </w:tc>
              <w:tc>
                <w:tcPr>
                  <w:tcW w:w="1345" w:type="dxa"/>
                  <w:tcBorders>
                    <w:tl2br w:val="nil"/>
                    <w:tr2bl w:val="nil"/>
                  </w:tcBorders>
                  <w:noWrap w:val="0"/>
                  <w:vAlign w:val="center"/>
                </w:tcPr>
                <w:p w14:paraId="728FDE2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软水制备过程产生</w:t>
                  </w:r>
                </w:p>
              </w:tc>
              <w:tc>
                <w:tcPr>
                  <w:tcW w:w="676" w:type="pct"/>
                  <w:tcBorders>
                    <w:tl2br w:val="nil"/>
                    <w:tr2bl w:val="nil"/>
                  </w:tcBorders>
                  <w:noWrap w:val="0"/>
                  <w:vAlign w:val="center"/>
                </w:tcPr>
                <w:p w14:paraId="45944BCB">
                  <w:pPr>
                    <w:pStyle w:val="127"/>
                    <w:bidi w:val="0"/>
                    <w:ind w:left="19" w:leftChars="9" w:right="19" w:rightChars="9"/>
                    <w:rPr>
                      <w:rFonts w:hint="default"/>
                      <w:color w:val="auto"/>
                      <w:lang w:val="en-US" w:eastAsia="zh-CN"/>
                    </w:rPr>
                  </w:pPr>
                  <w:r>
                    <w:rPr>
                      <w:rFonts w:hint="eastAsia"/>
                      <w:color w:val="auto"/>
                      <w:lang w:val="en-US" w:eastAsia="zh-CN"/>
                    </w:rPr>
                    <w:t>固态</w:t>
                  </w:r>
                </w:p>
              </w:tc>
              <w:tc>
                <w:tcPr>
                  <w:tcW w:w="1303" w:type="pct"/>
                  <w:tcBorders>
                    <w:tl2br w:val="nil"/>
                    <w:tr2bl w:val="nil"/>
                  </w:tcBorders>
                  <w:noWrap w:val="0"/>
                  <w:vAlign w:val="center"/>
                </w:tcPr>
                <w:p w14:paraId="5F7A01EA">
                  <w:pPr>
                    <w:jc w:val="center"/>
                    <w:rPr>
                      <w:rStyle w:val="130"/>
                      <w:rFonts w:hint="default"/>
                      <w:color w:val="auto"/>
                      <w:szCs w:val="21"/>
                      <w:lang w:val="en-US" w:eastAsia="zh-CN"/>
                    </w:rPr>
                  </w:pPr>
                  <w:r>
                    <w:rPr>
                      <w:rStyle w:val="130"/>
                      <w:rFonts w:hint="eastAsia"/>
                      <w:color w:val="auto"/>
                      <w:szCs w:val="21"/>
                      <w:lang w:val="en-US" w:eastAsia="zh-CN"/>
                    </w:rPr>
                    <w:t>废塑料</w:t>
                  </w:r>
                </w:p>
              </w:tc>
              <w:tc>
                <w:tcPr>
                  <w:tcW w:w="531" w:type="pct"/>
                  <w:tcBorders>
                    <w:tl2br w:val="nil"/>
                    <w:tr2bl w:val="nil"/>
                  </w:tcBorders>
                  <w:noWrap w:val="0"/>
                  <w:vAlign w:val="center"/>
                </w:tcPr>
                <w:p w14:paraId="579D67C3">
                  <w:pPr>
                    <w:pStyle w:val="127"/>
                    <w:bidi w:val="0"/>
                    <w:ind w:left="19" w:leftChars="9" w:right="19" w:rightChars="9"/>
                    <w:rPr>
                      <w:rFonts w:hint="default"/>
                      <w:color w:val="auto"/>
                      <w:lang w:val="en-US" w:eastAsia="zh-CN"/>
                    </w:rPr>
                  </w:pPr>
                  <w:r>
                    <w:rPr>
                      <w:rFonts w:hint="eastAsia"/>
                      <w:color w:val="auto"/>
                      <w:lang w:val="en-US" w:eastAsia="zh-CN"/>
                    </w:rPr>
                    <w:t>是</w:t>
                  </w:r>
                </w:p>
              </w:tc>
              <w:tc>
                <w:tcPr>
                  <w:tcW w:w="423" w:type="pct"/>
                  <w:tcBorders>
                    <w:tl2br w:val="nil"/>
                    <w:tr2bl w:val="nil"/>
                  </w:tcBorders>
                  <w:noWrap w:val="0"/>
                  <w:vAlign w:val="center"/>
                </w:tcPr>
                <w:p w14:paraId="168048A0">
                  <w:pPr>
                    <w:pStyle w:val="127"/>
                    <w:bidi w:val="0"/>
                    <w:ind w:left="19" w:leftChars="9" w:right="19" w:rightChars="9"/>
                    <w:rPr>
                      <w:rFonts w:hint="default"/>
                      <w:color w:val="auto"/>
                      <w:lang w:val="en-US" w:eastAsia="zh-CN"/>
                    </w:rPr>
                  </w:pPr>
                  <w:r>
                    <w:rPr>
                      <w:rFonts w:hint="default"/>
                      <w:color w:val="auto"/>
                      <w:lang w:val="en-US" w:eastAsia="zh-CN"/>
                    </w:rPr>
                    <w:t>4.</w:t>
                  </w:r>
                  <w:r>
                    <w:rPr>
                      <w:rFonts w:hint="eastAsia"/>
                      <w:color w:val="auto"/>
                      <w:lang w:val="en-US" w:eastAsia="zh-CN"/>
                    </w:rPr>
                    <w:t>1h</w:t>
                  </w:r>
                </w:p>
              </w:tc>
            </w:tr>
            <w:tr w14:paraId="16991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309" w:type="pct"/>
                  <w:tcBorders>
                    <w:tl2br w:val="nil"/>
                    <w:tr2bl w:val="nil"/>
                  </w:tcBorders>
                  <w:noWrap w:val="0"/>
                  <w:vAlign w:val="center"/>
                </w:tcPr>
                <w:p w14:paraId="3C1CA091">
                  <w:pPr>
                    <w:pStyle w:val="127"/>
                    <w:bidi w:val="0"/>
                    <w:ind w:left="0" w:leftChars="0" w:right="0" w:rightChars="0"/>
                    <w:rPr>
                      <w:rFonts w:hint="default"/>
                      <w:color w:val="auto"/>
                      <w:lang w:val="en-US" w:eastAsia="zh-CN"/>
                    </w:rPr>
                  </w:pPr>
                  <w:r>
                    <w:rPr>
                      <w:rFonts w:hint="eastAsia"/>
                      <w:color w:val="auto"/>
                      <w:lang w:val="en-US" w:eastAsia="zh-CN"/>
                    </w:rPr>
                    <w:t>7</w:t>
                  </w:r>
                </w:p>
              </w:tc>
              <w:tc>
                <w:tcPr>
                  <w:tcW w:w="933" w:type="pct"/>
                  <w:tcBorders>
                    <w:tl2br w:val="nil"/>
                    <w:tr2bl w:val="nil"/>
                  </w:tcBorders>
                  <w:shd w:val="clear" w:color="auto" w:fill="auto"/>
                  <w:noWrap w:val="0"/>
                  <w:vAlign w:val="center"/>
                </w:tcPr>
                <w:p w14:paraId="3013377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vertAlign w:val="baseline"/>
                      <w:lang w:val="en-US" w:eastAsia="zh-CN"/>
                    </w:rPr>
                    <w:t>沉淀池污泥</w:t>
                  </w:r>
                </w:p>
              </w:tc>
              <w:tc>
                <w:tcPr>
                  <w:tcW w:w="1345" w:type="dxa"/>
                  <w:tcBorders>
                    <w:tl2br w:val="nil"/>
                    <w:tr2bl w:val="nil"/>
                  </w:tcBorders>
                  <w:shd w:val="clear" w:color="auto" w:fill="auto"/>
                  <w:noWrap w:val="0"/>
                  <w:vAlign w:val="center"/>
                </w:tcPr>
                <w:p w14:paraId="4BF7481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废水处理过程产生</w:t>
                  </w:r>
                </w:p>
              </w:tc>
              <w:tc>
                <w:tcPr>
                  <w:tcW w:w="676" w:type="pct"/>
                  <w:tcBorders>
                    <w:tl2br w:val="nil"/>
                    <w:tr2bl w:val="nil"/>
                  </w:tcBorders>
                  <w:shd w:val="clear" w:color="auto" w:fill="auto"/>
                  <w:noWrap w:val="0"/>
                  <w:vAlign w:val="center"/>
                </w:tcPr>
                <w:p w14:paraId="7779B059">
                  <w:pPr>
                    <w:bidi w:val="0"/>
                    <w:ind w:left="19" w:leftChars="9" w:right="19" w:rightChars="9"/>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半固态/泥状</w:t>
                  </w:r>
                </w:p>
              </w:tc>
              <w:tc>
                <w:tcPr>
                  <w:tcW w:w="1303" w:type="pct"/>
                  <w:tcBorders>
                    <w:tl2br w:val="nil"/>
                    <w:tr2bl w:val="nil"/>
                  </w:tcBorders>
                  <w:shd w:val="clear" w:color="auto" w:fill="auto"/>
                  <w:noWrap w:val="0"/>
                  <w:vAlign w:val="center"/>
                </w:tcPr>
                <w:p w14:paraId="1ECB1F71">
                  <w:pPr>
                    <w:jc w:val="center"/>
                    <w:rPr>
                      <w:rFonts w:hint="default" w:ascii="Times New Roman" w:hAnsi="Times New Roman" w:eastAsia="宋体" w:cs="Times New Roman"/>
                      <w:color w:val="auto"/>
                      <w:kern w:val="2"/>
                      <w:sz w:val="21"/>
                      <w:szCs w:val="21"/>
                      <w:lang w:val="en-US" w:eastAsia="zh-CN" w:bidi="ar-SA"/>
                    </w:rPr>
                  </w:pPr>
                  <w:r>
                    <w:rPr>
                      <w:rStyle w:val="130"/>
                      <w:rFonts w:hint="eastAsia"/>
                      <w:color w:val="000000"/>
                      <w:szCs w:val="21"/>
                      <w:lang w:val="en-US" w:eastAsia="zh-CN"/>
                    </w:rPr>
                    <w:t>有机物、无机物</w:t>
                  </w:r>
                </w:p>
              </w:tc>
              <w:tc>
                <w:tcPr>
                  <w:tcW w:w="531" w:type="pct"/>
                  <w:tcBorders>
                    <w:tl2br w:val="nil"/>
                    <w:tr2bl w:val="nil"/>
                  </w:tcBorders>
                  <w:shd w:val="clear" w:color="auto" w:fill="auto"/>
                  <w:noWrap w:val="0"/>
                  <w:vAlign w:val="center"/>
                </w:tcPr>
                <w:p w14:paraId="56601557">
                  <w:pPr>
                    <w:pStyle w:val="127"/>
                    <w:bidi w:val="0"/>
                    <w:ind w:left="19" w:leftChars="9" w:right="19" w:rightChars="9"/>
                    <w:rPr>
                      <w:rFonts w:hint="default" w:ascii="Times New Roman" w:hAnsi="Times New Roman" w:eastAsia="宋体" w:cs="Times New Roman"/>
                      <w:color w:val="auto"/>
                      <w:kern w:val="2"/>
                      <w:sz w:val="21"/>
                      <w:szCs w:val="21"/>
                      <w:lang w:val="en-US" w:eastAsia="zh-CN" w:bidi="ar-SA"/>
                    </w:rPr>
                  </w:pPr>
                  <w:r>
                    <w:rPr>
                      <w:rFonts w:hint="default"/>
                      <w:color w:val="auto"/>
                      <w:lang w:val="en-US" w:eastAsia="zh-CN"/>
                    </w:rPr>
                    <w:t>是</w:t>
                  </w:r>
                </w:p>
              </w:tc>
              <w:tc>
                <w:tcPr>
                  <w:tcW w:w="423" w:type="pct"/>
                  <w:tcBorders>
                    <w:tl2br w:val="nil"/>
                    <w:tr2bl w:val="nil"/>
                  </w:tcBorders>
                  <w:shd w:val="clear" w:color="auto" w:fill="auto"/>
                  <w:noWrap w:val="0"/>
                  <w:vAlign w:val="center"/>
                </w:tcPr>
                <w:p w14:paraId="26C87A7C">
                  <w:pPr>
                    <w:pStyle w:val="127"/>
                    <w:bidi w:val="0"/>
                    <w:ind w:left="19" w:leftChars="9" w:right="19" w:rightChars="9"/>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4.3e</w:t>
                  </w:r>
                </w:p>
              </w:tc>
            </w:tr>
            <w:tr w14:paraId="309AF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309" w:type="pct"/>
                  <w:tcBorders>
                    <w:tl2br w:val="nil"/>
                    <w:tr2bl w:val="nil"/>
                  </w:tcBorders>
                  <w:noWrap w:val="0"/>
                  <w:vAlign w:val="center"/>
                </w:tcPr>
                <w:p w14:paraId="35FCFBE0">
                  <w:pPr>
                    <w:pStyle w:val="127"/>
                    <w:bidi w:val="0"/>
                    <w:ind w:left="0" w:leftChars="0" w:right="0" w:rightChars="0"/>
                    <w:rPr>
                      <w:rFonts w:hint="default"/>
                      <w:color w:val="auto"/>
                      <w:lang w:val="en-US" w:eastAsia="zh-CN"/>
                    </w:rPr>
                  </w:pPr>
                  <w:r>
                    <w:rPr>
                      <w:rFonts w:hint="eastAsia"/>
                      <w:color w:val="auto"/>
                      <w:lang w:val="en-US" w:eastAsia="zh-CN"/>
                    </w:rPr>
                    <w:t>8</w:t>
                  </w:r>
                </w:p>
              </w:tc>
              <w:tc>
                <w:tcPr>
                  <w:tcW w:w="933" w:type="pct"/>
                  <w:tcBorders>
                    <w:tl2br w:val="nil"/>
                    <w:tr2bl w:val="nil"/>
                  </w:tcBorders>
                  <w:noWrap w:val="0"/>
                  <w:vAlign w:val="center"/>
                </w:tcPr>
                <w:p w14:paraId="71807E9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eastAsia="宋体" w:cs="Times New Roman"/>
                      <w:color w:val="auto"/>
                      <w:kern w:val="2"/>
                      <w:sz w:val="21"/>
                      <w:szCs w:val="21"/>
                      <w:lang w:val="en-US" w:eastAsia="zh-CN" w:bidi="ar-SA"/>
                    </w:rPr>
                  </w:pPr>
                  <w:r>
                    <w:rPr>
                      <w:rFonts w:hint="eastAsia"/>
                      <w:color w:val="auto"/>
                      <w:szCs w:val="21"/>
                    </w:rPr>
                    <w:t>废机油</w:t>
                  </w:r>
                </w:p>
              </w:tc>
              <w:tc>
                <w:tcPr>
                  <w:tcW w:w="1345" w:type="dxa"/>
                  <w:tcBorders>
                    <w:tl2br w:val="nil"/>
                    <w:tr2bl w:val="nil"/>
                  </w:tcBorders>
                  <w:noWrap w:val="0"/>
                  <w:vAlign w:val="center"/>
                </w:tcPr>
                <w:p w14:paraId="7357F692">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eastAsia="宋体" w:cs="Times New Roman"/>
                      <w:color w:val="auto"/>
                      <w:kern w:val="2"/>
                      <w:sz w:val="21"/>
                      <w:szCs w:val="21"/>
                      <w:lang w:val="en-US" w:eastAsia="zh-CN" w:bidi="ar-SA"/>
                    </w:rPr>
                  </w:pPr>
                  <w:r>
                    <w:rPr>
                      <w:rStyle w:val="130"/>
                      <w:rFonts w:hint="eastAsia"/>
                      <w:color w:val="auto"/>
                      <w:szCs w:val="21"/>
                    </w:rPr>
                    <w:t>设备维修</w:t>
                  </w:r>
                </w:p>
              </w:tc>
              <w:tc>
                <w:tcPr>
                  <w:tcW w:w="676" w:type="pct"/>
                  <w:tcBorders>
                    <w:tl2br w:val="nil"/>
                    <w:tr2bl w:val="nil"/>
                  </w:tcBorders>
                  <w:noWrap w:val="0"/>
                  <w:vAlign w:val="center"/>
                </w:tcPr>
                <w:p w14:paraId="55A0C239">
                  <w:pPr>
                    <w:bidi w:val="0"/>
                    <w:ind w:left="19" w:leftChars="9" w:right="19" w:rightChars="9"/>
                    <w:jc w:val="center"/>
                    <w:rPr>
                      <w:rFonts w:hint="default"/>
                      <w:color w:val="auto"/>
                      <w:lang w:val="en-US" w:eastAsia="zh-CN"/>
                    </w:rPr>
                  </w:pPr>
                  <w:r>
                    <w:rPr>
                      <w:rFonts w:hint="eastAsia"/>
                      <w:color w:val="auto"/>
                      <w:lang w:val="en-US" w:eastAsia="zh-CN"/>
                    </w:rPr>
                    <w:t>液态</w:t>
                  </w:r>
                </w:p>
              </w:tc>
              <w:tc>
                <w:tcPr>
                  <w:tcW w:w="1303" w:type="pct"/>
                  <w:tcBorders>
                    <w:tl2br w:val="nil"/>
                    <w:tr2bl w:val="nil"/>
                  </w:tcBorders>
                  <w:noWrap w:val="0"/>
                  <w:vAlign w:val="center"/>
                </w:tcPr>
                <w:p w14:paraId="7D3DA2FA">
                  <w:pPr>
                    <w:jc w:val="center"/>
                    <w:rPr>
                      <w:rFonts w:hint="eastAsia" w:eastAsia="宋体"/>
                      <w:color w:val="auto"/>
                      <w:lang w:val="en-US" w:eastAsia="zh-CN"/>
                    </w:rPr>
                  </w:pPr>
                  <w:r>
                    <w:rPr>
                      <w:rStyle w:val="130"/>
                      <w:rFonts w:hint="eastAsia"/>
                      <w:color w:val="auto"/>
                      <w:szCs w:val="21"/>
                      <w:lang w:val="en-US" w:eastAsia="zh-CN"/>
                    </w:rPr>
                    <w:t>机油</w:t>
                  </w:r>
                </w:p>
              </w:tc>
              <w:tc>
                <w:tcPr>
                  <w:tcW w:w="531" w:type="pct"/>
                  <w:tcBorders>
                    <w:tl2br w:val="nil"/>
                    <w:tr2bl w:val="nil"/>
                  </w:tcBorders>
                  <w:noWrap w:val="0"/>
                  <w:vAlign w:val="center"/>
                </w:tcPr>
                <w:p w14:paraId="25A658A1">
                  <w:pPr>
                    <w:pStyle w:val="127"/>
                    <w:bidi w:val="0"/>
                    <w:ind w:left="19" w:leftChars="9" w:right="19" w:rightChars="9"/>
                    <w:rPr>
                      <w:rFonts w:hint="default"/>
                      <w:color w:val="auto"/>
                      <w:lang w:val="en-US" w:eastAsia="zh-CN"/>
                    </w:rPr>
                  </w:pPr>
                  <w:r>
                    <w:rPr>
                      <w:rFonts w:hint="eastAsia"/>
                      <w:color w:val="auto"/>
                      <w:lang w:val="en-US" w:eastAsia="zh-CN"/>
                    </w:rPr>
                    <w:t>是</w:t>
                  </w:r>
                </w:p>
              </w:tc>
              <w:tc>
                <w:tcPr>
                  <w:tcW w:w="423" w:type="pct"/>
                  <w:tcBorders>
                    <w:tl2br w:val="nil"/>
                    <w:tr2bl w:val="nil"/>
                  </w:tcBorders>
                  <w:noWrap w:val="0"/>
                  <w:vAlign w:val="center"/>
                </w:tcPr>
                <w:p w14:paraId="715365AE">
                  <w:pPr>
                    <w:pStyle w:val="127"/>
                    <w:bidi w:val="0"/>
                    <w:ind w:left="19" w:leftChars="9" w:right="19" w:rightChars="9"/>
                    <w:rPr>
                      <w:rFonts w:hint="default"/>
                      <w:color w:val="auto"/>
                      <w:lang w:val="en-US" w:eastAsia="zh-CN"/>
                    </w:rPr>
                  </w:pPr>
                  <w:r>
                    <w:rPr>
                      <w:rFonts w:hint="eastAsia"/>
                      <w:color w:val="auto"/>
                      <w:lang w:val="en-US" w:eastAsia="zh-CN"/>
                    </w:rPr>
                    <w:t>4.1h</w:t>
                  </w:r>
                </w:p>
              </w:tc>
            </w:tr>
            <w:tr w14:paraId="036D3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309" w:type="pct"/>
                  <w:tcBorders>
                    <w:tl2br w:val="nil"/>
                    <w:tr2bl w:val="nil"/>
                  </w:tcBorders>
                  <w:noWrap w:val="0"/>
                  <w:vAlign w:val="center"/>
                </w:tcPr>
                <w:p w14:paraId="7531BACF">
                  <w:pPr>
                    <w:pStyle w:val="127"/>
                    <w:bidi w:val="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9</w:t>
                  </w:r>
                </w:p>
              </w:tc>
              <w:tc>
                <w:tcPr>
                  <w:tcW w:w="933" w:type="pct"/>
                  <w:tcBorders>
                    <w:tl2br w:val="nil"/>
                    <w:tr2bl w:val="nil"/>
                  </w:tcBorders>
                  <w:noWrap w:val="0"/>
                  <w:vAlign w:val="center"/>
                </w:tcPr>
                <w:p w14:paraId="22F1EDC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eastAsia"/>
                      <w:color w:val="auto"/>
                      <w:szCs w:val="21"/>
                    </w:rPr>
                  </w:pPr>
                  <w:r>
                    <w:rPr>
                      <w:rFonts w:hint="eastAsia"/>
                      <w:color w:val="auto"/>
                      <w:szCs w:val="21"/>
                    </w:rPr>
                    <w:t>废</w:t>
                  </w:r>
                  <w:r>
                    <w:rPr>
                      <w:rFonts w:hint="eastAsia"/>
                      <w:color w:val="auto"/>
                      <w:szCs w:val="21"/>
                      <w:lang w:val="en-US" w:eastAsia="zh-CN"/>
                    </w:rPr>
                    <w:t>含油</w:t>
                  </w:r>
                  <w:r>
                    <w:rPr>
                      <w:rFonts w:hint="eastAsia"/>
                      <w:color w:val="auto"/>
                      <w:szCs w:val="21"/>
                    </w:rPr>
                    <w:t>抹布</w:t>
                  </w:r>
                </w:p>
              </w:tc>
              <w:tc>
                <w:tcPr>
                  <w:tcW w:w="1345" w:type="dxa"/>
                  <w:tcBorders>
                    <w:tl2br w:val="nil"/>
                    <w:tr2bl w:val="nil"/>
                  </w:tcBorders>
                  <w:noWrap w:val="0"/>
                  <w:vAlign w:val="center"/>
                </w:tcPr>
                <w:p w14:paraId="7F27449E">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Style w:val="130"/>
                      <w:rFonts w:hint="eastAsia"/>
                      <w:color w:val="auto"/>
                      <w:szCs w:val="21"/>
                    </w:rPr>
                  </w:pPr>
                  <w:r>
                    <w:rPr>
                      <w:rStyle w:val="130"/>
                      <w:rFonts w:hint="eastAsia"/>
                      <w:color w:val="auto"/>
                      <w:szCs w:val="21"/>
                    </w:rPr>
                    <w:t>设备维修</w:t>
                  </w:r>
                </w:p>
              </w:tc>
              <w:tc>
                <w:tcPr>
                  <w:tcW w:w="676" w:type="pct"/>
                  <w:tcBorders>
                    <w:tl2br w:val="nil"/>
                    <w:tr2bl w:val="nil"/>
                  </w:tcBorders>
                  <w:noWrap w:val="0"/>
                  <w:vAlign w:val="center"/>
                </w:tcPr>
                <w:p w14:paraId="5E26EDCF">
                  <w:pPr>
                    <w:bidi w:val="0"/>
                    <w:ind w:left="19" w:leftChars="9" w:right="19" w:rightChars="9"/>
                    <w:jc w:val="center"/>
                    <w:rPr>
                      <w:rFonts w:hint="default"/>
                      <w:color w:val="auto"/>
                      <w:lang w:val="en-US" w:eastAsia="zh-CN"/>
                    </w:rPr>
                  </w:pPr>
                  <w:r>
                    <w:rPr>
                      <w:rFonts w:hint="eastAsia"/>
                      <w:color w:val="auto"/>
                      <w:lang w:val="en-US" w:eastAsia="zh-CN"/>
                    </w:rPr>
                    <w:t>固态</w:t>
                  </w:r>
                </w:p>
              </w:tc>
              <w:tc>
                <w:tcPr>
                  <w:tcW w:w="1303" w:type="pct"/>
                  <w:tcBorders>
                    <w:tl2br w:val="nil"/>
                    <w:tr2bl w:val="nil"/>
                  </w:tcBorders>
                  <w:noWrap w:val="0"/>
                  <w:vAlign w:val="center"/>
                </w:tcPr>
                <w:p w14:paraId="76B758E7">
                  <w:pPr>
                    <w:jc w:val="center"/>
                    <w:rPr>
                      <w:rStyle w:val="130"/>
                      <w:rFonts w:hint="eastAsia"/>
                      <w:color w:val="auto"/>
                      <w:szCs w:val="21"/>
                      <w:lang w:val="en-US" w:eastAsia="zh-CN"/>
                    </w:rPr>
                  </w:pPr>
                  <w:r>
                    <w:rPr>
                      <w:rStyle w:val="130"/>
                      <w:rFonts w:hint="eastAsia"/>
                      <w:color w:val="auto"/>
                      <w:szCs w:val="21"/>
                      <w:lang w:val="en-US" w:eastAsia="zh-CN"/>
                    </w:rPr>
                    <w:t>机油</w:t>
                  </w:r>
                </w:p>
              </w:tc>
              <w:tc>
                <w:tcPr>
                  <w:tcW w:w="531" w:type="pct"/>
                  <w:tcBorders>
                    <w:tl2br w:val="nil"/>
                    <w:tr2bl w:val="nil"/>
                  </w:tcBorders>
                  <w:noWrap w:val="0"/>
                  <w:vAlign w:val="center"/>
                </w:tcPr>
                <w:p w14:paraId="5B6292A3">
                  <w:pPr>
                    <w:pStyle w:val="127"/>
                    <w:bidi w:val="0"/>
                    <w:ind w:left="19" w:leftChars="9" w:right="19" w:rightChars="9"/>
                    <w:rPr>
                      <w:rFonts w:hint="eastAsia"/>
                      <w:color w:val="auto"/>
                      <w:lang w:val="en-US" w:eastAsia="zh-CN"/>
                    </w:rPr>
                  </w:pPr>
                  <w:r>
                    <w:rPr>
                      <w:rFonts w:hint="eastAsia"/>
                      <w:color w:val="auto"/>
                      <w:lang w:val="en-US" w:eastAsia="zh-CN"/>
                    </w:rPr>
                    <w:t>是</w:t>
                  </w:r>
                </w:p>
              </w:tc>
              <w:tc>
                <w:tcPr>
                  <w:tcW w:w="423" w:type="pct"/>
                  <w:tcBorders>
                    <w:tl2br w:val="nil"/>
                    <w:tr2bl w:val="nil"/>
                  </w:tcBorders>
                  <w:noWrap w:val="0"/>
                  <w:vAlign w:val="center"/>
                </w:tcPr>
                <w:p w14:paraId="1251E144">
                  <w:pPr>
                    <w:pStyle w:val="127"/>
                    <w:bidi w:val="0"/>
                    <w:ind w:left="19" w:leftChars="9" w:right="19" w:rightChars="9"/>
                    <w:rPr>
                      <w:rFonts w:hint="eastAsia"/>
                      <w:color w:val="auto"/>
                      <w:lang w:val="en-US" w:eastAsia="zh-CN"/>
                    </w:rPr>
                  </w:pPr>
                  <w:r>
                    <w:rPr>
                      <w:rFonts w:hint="eastAsia"/>
                      <w:color w:val="auto"/>
                      <w:lang w:val="en-US" w:eastAsia="zh-CN"/>
                    </w:rPr>
                    <w:t>4.1c</w:t>
                  </w:r>
                </w:p>
              </w:tc>
            </w:tr>
            <w:tr w14:paraId="01FC0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9" w:type="pct"/>
                  <w:tcBorders>
                    <w:tl2br w:val="nil"/>
                    <w:tr2bl w:val="nil"/>
                  </w:tcBorders>
                  <w:noWrap w:val="0"/>
                  <w:vAlign w:val="center"/>
                </w:tcPr>
                <w:p w14:paraId="05AF0AAD">
                  <w:pPr>
                    <w:pStyle w:val="127"/>
                    <w:bidi w:val="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10</w:t>
                  </w:r>
                </w:p>
              </w:tc>
              <w:tc>
                <w:tcPr>
                  <w:tcW w:w="933" w:type="pct"/>
                  <w:tcBorders>
                    <w:tl2br w:val="nil"/>
                    <w:tr2bl w:val="nil"/>
                  </w:tcBorders>
                  <w:noWrap w:val="0"/>
                  <w:vAlign w:val="center"/>
                </w:tcPr>
                <w:p w14:paraId="0D8A485D">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eastAsia="宋体" w:cs="Times New Roman"/>
                      <w:color w:val="auto"/>
                      <w:kern w:val="2"/>
                      <w:sz w:val="21"/>
                      <w:szCs w:val="21"/>
                      <w:lang w:val="en-US" w:eastAsia="zh-CN" w:bidi="ar-SA"/>
                    </w:rPr>
                  </w:pPr>
                  <w:r>
                    <w:rPr>
                      <w:rFonts w:hint="eastAsia"/>
                      <w:color w:val="auto"/>
                      <w:szCs w:val="21"/>
                      <w:lang w:val="en-US" w:eastAsia="zh-CN"/>
                    </w:rPr>
                    <w:t>废紫外线灯管</w:t>
                  </w:r>
                </w:p>
              </w:tc>
              <w:tc>
                <w:tcPr>
                  <w:tcW w:w="1345" w:type="dxa"/>
                  <w:tcBorders>
                    <w:tl2br w:val="nil"/>
                    <w:tr2bl w:val="nil"/>
                  </w:tcBorders>
                  <w:noWrap w:val="0"/>
                  <w:vAlign w:val="center"/>
                </w:tcPr>
                <w:p w14:paraId="2F9681A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紫外线消毒设备定期更换紫外线灯管时产生</w:t>
                  </w:r>
                </w:p>
              </w:tc>
              <w:tc>
                <w:tcPr>
                  <w:tcW w:w="676" w:type="pct"/>
                  <w:tcBorders>
                    <w:tl2br w:val="nil"/>
                    <w:tr2bl w:val="nil"/>
                  </w:tcBorders>
                  <w:noWrap w:val="0"/>
                  <w:vAlign w:val="center"/>
                </w:tcPr>
                <w:p w14:paraId="0E3EC6E3">
                  <w:pPr>
                    <w:bidi w:val="0"/>
                    <w:ind w:left="19" w:leftChars="9" w:right="19" w:rightChars="9"/>
                    <w:jc w:val="center"/>
                    <w:rPr>
                      <w:rFonts w:hint="default"/>
                      <w:color w:val="auto"/>
                      <w:lang w:val="en-US" w:eastAsia="zh-CN"/>
                    </w:rPr>
                  </w:pPr>
                  <w:r>
                    <w:rPr>
                      <w:rFonts w:hint="eastAsia"/>
                      <w:color w:val="auto"/>
                      <w:lang w:val="en-US" w:eastAsia="zh-CN"/>
                    </w:rPr>
                    <w:t>固态</w:t>
                  </w:r>
                </w:p>
              </w:tc>
              <w:tc>
                <w:tcPr>
                  <w:tcW w:w="1303" w:type="pct"/>
                  <w:tcBorders>
                    <w:tl2br w:val="nil"/>
                    <w:tr2bl w:val="nil"/>
                  </w:tcBorders>
                  <w:noWrap w:val="0"/>
                  <w:vAlign w:val="center"/>
                </w:tcPr>
                <w:p w14:paraId="32B47734">
                  <w:pPr>
                    <w:jc w:val="center"/>
                    <w:rPr>
                      <w:rFonts w:hint="default"/>
                      <w:color w:val="auto"/>
                      <w:lang w:val="en-US" w:eastAsia="zh-CN"/>
                    </w:rPr>
                  </w:pPr>
                  <w:r>
                    <w:rPr>
                      <w:rFonts w:hint="eastAsia" w:cs="Times New Roman"/>
                      <w:color w:val="000000" w:themeColor="text1"/>
                      <w:sz w:val="21"/>
                      <w:szCs w:val="21"/>
                      <w:lang w:val="en-US" w:eastAsia="zh-CN"/>
                      <w14:textFill>
                        <w14:solidFill>
                          <w14:schemeClr w14:val="tx1"/>
                        </w14:solidFill>
                      </w14:textFill>
                    </w:rPr>
                    <w:t>石英、汞</w:t>
                  </w:r>
                </w:p>
              </w:tc>
              <w:tc>
                <w:tcPr>
                  <w:tcW w:w="531" w:type="pct"/>
                  <w:tcBorders>
                    <w:tl2br w:val="nil"/>
                    <w:tr2bl w:val="nil"/>
                  </w:tcBorders>
                  <w:noWrap w:val="0"/>
                  <w:vAlign w:val="center"/>
                </w:tcPr>
                <w:p w14:paraId="426B4AD5">
                  <w:pPr>
                    <w:pStyle w:val="127"/>
                    <w:bidi w:val="0"/>
                    <w:ind w:left="19" w:leftChars="9" w:right="19" w:rightChars="9"/>
                    <w:rPr>
                      <w:rFonts w:hint="default"/>
                      <w:color w:val="auto"/>
                      <w:lang w:val="en-US" w:eastAsia="zh-CN"/>
                    </w:rPr>
                  </w:pPr>
                  <w:r>
                    <w:rPr>
                      <w:rFonts w:hint="eastAsia"/>
                      <w:color w:val="auto"/>
                      <w:lang w:val="en-US" w:eastAsia="zh-CN"/>
                    </w:rPr>
                    <w:t>是</w:t>
                  </w:r>
                </w:p>
              </w:tc>
              <w:tc>
                <w:tcPr>
                  <w:tcW w:w="423" w:type="pct"/>
                  <w:tcBorders>
                    <w:tl2br w:val="nil"/>
                    <w:tr2bl w:val="nil"/>
                  </w:tcBorders>
                  <w:noWrap w:val="0"/>
                  <w:vAlign w:val="center"/>
                </w:tcPr>
                <w:p w14:paraId="75425B0F">
                  <w:pPr>
                    <w:pStyle w:val="127"/>
                    <w:bidi w:val="0"/>
                    <w:ind w:left="19" w:leftChars="9" w:right="19" w:rightChars="9"/>
                    <w:rPr>
                      <w:rFonts w:hint="eastAsia"/>
                      <w:color w:val="auto"/>
                      <w:lang w:val="en-US" w:eastAsia="zh-CN"/>
                    </w:rPr>
                  </w:pPr>
                  <w:r>
                    <w:rPr>
                      <w:rFonts w:hint="eastAsia"/>
                      <w:color w:val="auto"/>
                      <w:lang w:val="en-US" w:eastAsia="zh-CN"/>
                    </w:rPr>
                    <w:t>4.1h</w:t>
                  </w:r>
                </w:p>
              </w:tc>
            </w:tr>
          </w:tbl>
          <w:p w14:paraId="6F9A9272">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根据《国家危险废物名录</w:t>
            </w:r>
            <w:r>
              <w:rPr>
                <w:rFonts w:hint="eastAsia" w:ascii="Times New Roman" w:hAnsi="Times New Roman" w:eastAsia="宋体" w:cs="Times New Roman"/>
                <w:color w:val="auto"/>
                <w:kern w:val="2"/>
                <w:sz w:val="24"/>
                <w:szCs w:val="24"/>
                <w:lang w:val="en-US" w:eastAsia="zh-CN" w:bidi="ar-SA"/>
              </w:rPr>
              <w:t>（2021年）</w:t>
            </w:r>
            <w:r>
              <w:rPr>
                <w:rFonts w:hint="default" w:ascii="Times New Roman" w:hAnsi="Times New Roman" w:eastAsia="宋体" w:cs="Times New Roman"/>
                <w:color w:val="auto"/>
                <w:kern w:val="2"/>
                <w:sz w:val="24"/>
                <w:szCs w:val="24"/>
                <w:lang w:val="en-US" w:eastAsia="zh-CN" w:bidi="ar-SA"/>
              </w:rPr>
              <w:t>》、《危险废物鉴别标准 通则》（GB5085.7-20</w:t>
            </w:r>
            <w:r>
              <w:rPr>
                <w:rFonts w:hint="eastAsia" w:ascii="Times New Roman" w:hAnsi="Times New Roman" w:eastAsia="宋体" w:cs="Times New Roman"/>
                <w:color w:val="auto"/>
                <w:kern w:val="2"/>
                <w:sz w:val="24"/>
                <w:szCs w:val="24"/>
                <w:lang w:val="en-US" w:eastAsia="zh-CN" w:bidi="ar-SA"/>
              </w:rPr>
              <w:t>19</w:t>
            </w:r>
            <w:r>
              <w:rPr>
                <w:rFonts w:hint="default" w:ascii="Times New Roman" w:hAnsi="Times New Roman" w:eastAsia="宋体" w:cs="Times New Roman"/>
                <w:color w:val="auto"/>
                <w:kern w:val="2"/>
                <w:sz w:val="24"/>
                <w:szCs w:val="24"/>
                <w:lang w:val="en-US" w:eastAsia="zh-CN" w:bidi="ar-SA"/>
              </w:rPr>
              <w:t>）以及《一般固体废物分类与代码》，本项目固体废物分析结果见表4-</w:t>
            </w:r>
            <w:r>
              <w:rPr>
                <w:rFonts w:hint="eastAsia" w:cs="Times New Roman"/>
                <w:color w:val="auto"/>
                <w:kern w:val="2"/>
                <w:sz w:val="24"/>
                <w:szCs w:val="24"/>
                <w:lang w:val="en-US" w:eastAsia="zh-CN" w:bidi="ar-SA"/>
              </w:rPr>
              <w:t>30</w:t>
            </w:r>
            <w:r>
              <w:rPr>
                <w:rFonts w:hint="default" w:ascii="Times New Roman" w:hAnsi="Times New Roman" w:eastAsia="宋体" w:cs="Times New Roman"/>
                <w:color w:val="auto"/>
                <w:kern w:val="2"/>
                <w:sz w:val="24"/>
                <w:szCs w:val="24"/>
                <w:lang w:val="en-US" w:eastAsia="zh-CN" w:bidi="ar-SA"/>
              </w:rPr>
              <w:t>。</w:t>
            </w:r>
          </w:p>
          <w:p w14:paraId="2A4C2542">
            <w:pPr>
              <w:pStyle w:val="12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表4-</w:t>
            </w:r>
            <w:r>
              <w:rPr>
                <w:rFonts w:hint="eastAsia" w:cs="Times New Roman"/>
                <w:color w:val="auto"/>
                <w:lang w:val="en-US" w:eastAsia="zh-CN"/>
              </w:rPr>
              <w:t xml:space="preserve">30 </w:t>
            </w:r>
            <w:r>
              <w:rPr>
                <w:rFonts w:hint="default" w:ascii="Times New Roman" w:hAnsi="Times New Roman" w:cs="Times New Roman"/>
                <w:color w:val="auto"/>
                <w:lang w:val="en-US" w:eastAsia="zh-CN"/>
              </w:rPr>
              <w:t xml:space="preserve"> 本项目固体废物分析结果汇总表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7"/>
              <w:gridCol w:w="1194"/>
              <w:gridCol w:w="1341"/>
              <w:gridCol w:w="1500"/>
              <w:gridCol w:w="1255"/>
              <w:gridCol w:w="1559"/>
              <w:gridCol w:w="911"/>
            </w:tblGrid>
            <w:tr w14:paraId="18F6C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0" w:type="pct"/>
                  <w:tcBorders>
                    <w:tl2br w:val="nil"/>
                    <w:tr2bl w:val="nil"/>
                  </w:tcBorders>
                  <w:noWrap w:val="0"/>
                  <w:tcMar>
                    <w:left w:w="0" w:type="dxa"/>
                    <w:right w:w="0" w:type="dxa"/>
                  </w:tcMar>
                  <w:vAlign w:val="center"/>
                </w:tcPr>
                <w:p w14:paraId="439141AB">
                  <w:pPr>
                    <w:pStyle w:val="126"/>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729" w:type="pct"/>
                  <w:tcBorders>
                    <w:tl2br w:val="nil"/>
                    <w:tr2bl w:val="nil"/>
                  </w:tcBorders>
                  <w:noWrap w:val="0"/>
                  <w:tcMar>
                    <w:left w:w="0" w:type="dxa"/>
                    <w:right w:w="0" w:type="dxa"/>
                  </w:tcMar>
                  <w:vAlign w:val="center"/>
                </w:tcPr>
                <w:p w14:paraId="52427092">
                  <w:pPr>
                    <w:pStyle w:val="126"/>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固废名称</w:t>
                  </w:r>
                </w:p>
              </w:tc>
              <w:tc>
                <w:tcPr>
                  <w:tcW w:w="818" w:type="pct"/>
                  <w:tcBorders>
                    <w:tl2br w:val="nil"/>
                    <w:tr2bl w:val="nil"/>
                  </w:tcBorders>
                  <w:noWrap w:val="0"/>
                  <w:tcMar>
                    <w:left w:w="0" w:type="dxa"/>
                    <w:right w:w="0" w:type="dxa"/>
                  </w:tcMar>
                  <w:vAlign w:val="center"/>
                </w:tcPr>
                <w:p w14:paraId="5A6996C0">
                  <w:pPr>
                    <w:pStyle w:val="126"/>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产生环节</w:t>
                  </w:r>
                </w:p>
              </w:tc>
              <w:tc>
                <w:tcPr>
                  <w:tcW w:w="916" w:type="pct"/>
                  <w:tcBorders>
                    <w:tl2br w:val="nil"/>
                    <w:tr2bl w:val="nil"/>
                  </w:tcBorders>
                  <w:noWrap w:val="0"/>
                  <w:tcMar>
                    <w:left w:w="0" w:type="dxa"/>
                    <w:right w:w="0" w:type="dxa"/>
                  </w:tcMar>
                  <w:vAlign w:val="center"/>
                </w:tcPr>
                <w:p w14:paraId="6C0A40C8">
                  <w:pPr>
                    <w:pStyle w:val="126"/>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w:t>
                  </w:r>
                  <w:r>
                    <w:rPr>
                      <w:rFonts w:hint="eastAsia" w:cs="Times New Roman"/>
                      <w:color w:val="auto"/>
                      <w:lang w:val="en-US" w:eastAsia="zh-CN"/>
                    </w:rPr>
                    <w:t>/</w:t>
                  </w:r>
                  <w:r>
                    <w:rPr>
                      <w:rFonts w:hint="default" w:ascii="Times New Roman" w:hAnsi="Times New Roman" w:cs="Times New Roman"/>
                      <w:color w:val="auto"/>
                      <w:lang w:val="en-US" w:eastAsia="zh-CN"/>
                    </w:rPr>
                    <w:t>有害成分</w:t>
                  </w:r>
                </w:p>
              </w:tc>
              <w:tc>
                <w:tcPr>
                  <w:tcW w:w="766" w:type="pct"/>
                  <w:tcBorders>
                    <w:tl2br w:val="nil"/>
                    <w:tr2bl w:val="nil"/>
                  </w:tcBorders>
                  <w:noWrap w:val="0"/>
                  <w:tcMar>
                    <w:left w:w="0" w:type="dxa"/>
                    <w:right w:w="0" w:type="dxa"/>
                  </w:tcMar>
                  <w:vAlign w:val="center"/>
                </w:tcPr>
                <w:p w14:paraId="35E30CB5">
                  <w:pPr>
                    <w:pStyle w:val="126"/>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属性</w:t>
                  </w:r>
                </w:p>
              </w:tc>
              <w:tc>
                <w:tcPr>
                  <w:tcW w:w="952" w:type="pct"/>
                  <w:tcBorders>
                    <w:tl2br w:val="nil"/>
                    <w:tr2bl w:val="nil"/>
                  </w:tcBorders>
                  <w:noWrap w:val="0"/>
                  <w:tcMar>
                    <w:left w:w="0" w:type="dxa"/>
                    <w:right w:w="0" w:type="dxa"/>
                  </w:tcMar>
                  <w:vAlign w:val="center"/>
                </w:tcPr>
                <w:p w14:paraId="130AF961">
                  <w:pPr>
                    <w:pStyle w:val="126"/>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废物代码</w:t>
                  </w:r>
                </w:p>
              </w:tc>
              <w:tc>
                <w:tcPr>
                  <w:tcW w:w="556" w:type="pct"/>
                  <w:tcBorders>
                    <w:tl2br w:val="nil"/>
                    <w:tr2bl w:val="nil"/>
                  </w:tcBorders>
                  <w:noWrap w:val="0"/>
                  <w:tcMar>
                    <w:left w:w="0" w:type="dxa"/>
                    <w:right w:w="0" w:type="dxa"/>
                  </w:tcMar>
                  <w:vAlign w:val="center"/>
                </w:tcPr>
                <w:p w14:paraId="1D21E01D">
                  <w:pPr>
                    <w:pStyle w:val="126"/>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产生及处置量(t/a)</w:t>
                  </w:r>
                </w:p>
              </w:tc>
            </w:tr>
            <w:tr w14:paraId="279D7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260" w:type="pct"/>
                  <w:tcBorders>
                    <w:tl2br w:val="nil"/>
                    <w:tr2bl w:val="nil"/>
                  </w:tcBorders>
                  <w:noWrap w:val="0"/>
                  <w:tcMar>
                    <w:left w:w="0" w:type="dxa"/>
                    <w:right w:w="0" w:type="dxa"/>
                  </w:tcMar>
                  <w:vAlign w:val="center"/>
                </w:tcPr>
                <w:p w14:paraId="2C91D00D">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729" w:type="pct"/>
                  <w:tcBorders>
                    <w:tl2br w:val="nil"/>
                    <w:tr2bl w:val="nil"/>
                  </w:tcBorders>
                  <w:shd w:val="clear" w:color="auto" w:fill="auto"/>
                  <w:noWrap w:val="0"/>
                  <w:tcMar>
                    <w:left w:w="0" w:type="dxa"/>
                    <w:right w:w="0" w:type="dxa"/>
                  </w:tcMar>
                  <w:vAlign w:val="center"/>
                </w:tcPr>
                <w:p w14:paraId="5B220D3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生活垃圾</w:t>
                  </w:r>
                </w:p>
              </w:tc>
              <w:tc>
                <w:tcPr>
                  <w:tcW w:w="818" w:type="pct"/>
                  <w:tcBorders>
                    <w:tl2br w:val="nil"/>
                    <w:tr2bl w:val="nil"/>
                  </w:tcBorders>
                  <w:shd w:val="clear" w:color="auto" w:fill="auto"/>
                  <w:noWrap w:val="0"/>
                  <w:tcMar>
                    <w:left w:w="0" w:type="dxa"/>
                    <w:right w:w="0" w:type="dxa"/>
                  </w:tcMar>
                  <w:vAlign w:val="center"/>
                </w:tcPr>
                <w:p w14:paraId="27448E9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员工</w:t>
                  </w:r>
                  <w:r>
                    <w:rPr>
                      <w:rFonts w:hint="default" w:ascii="Times New Roman" w:hAnsi="Times New Roman" w:cs="Times New Roman"/>
                      <w:color w:val="auto"/>
                    </w:rPr>
                    <w:t>日常生活</w:t>
                  </w:r>
                  <w:r>
                    <w:rPr>
                      <w:rFonts w:hint="default" w:ascii="Times New Roman" w:hAnsi="Times New Roman" w:cs="Times New Roman"/>
                      <w:color w:val="auto"/>
                      <w:lang w:val="en-US" w:eastAsia="zh-CN"/>
                    </w:rPr>
                    <w:t>产生</w:t>
                  </w:r>
                </w:p>
              </w:tc>
              <w:tc>
                <w:tcPr>
                  <w:tcW w:w="916" w:type="pct"/>
                  <w:tcBorders>
                    <w:tl2br w:val="nil"/>
                    <w:tr2bl w:val="nil"/>
                  </w:tcBorders>
                  <w:shd w:val="clear" w:color="auto" w:fill="auto"/>
                  <w:noWrap w:val="0"/>
                  <w:tcMar>
                    <w:left w:w="0" w:type="dxa"/>
                    <w:right w:w="0" w:type="dxa"/>
                  </w:tcMar>
                  <w:vAlign w:val="center"/>
                </w:tcPr>
                <w:p w14:paraId="29F0E1E9">
                  <w:pPr>
                    <w:pStyle w:val="127"/>
                    <w:bidi w:val="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果皮纸屑</w:t>
                  </w:r>
                </w:p>
              </w:tc>
              <w:tc>
                <w:tcPr>
                  <w:tcW w:w="766" w:type="pct"/>
                  <w:tcBorders>
                    <w:tl2br w:val="nil"/>
                    <w:tr2bl w:val="nil"/>
                  </w:tcBorders>
                  <w:noWrap w:val="0"/>
                  <w:tcMar>
                    <w:left w:w="0" w:type="dxa"/>
                    <w:right w:w="0" w:type="dxa"/>
                  </w:tcMar>
                  <w:vAlign w:val="center"/>
                </w:tcPr>
                <w:p w14:paraId="2793588B">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952" w:type="pct"/>
                  <w:tcBorders>
                    <w:tl2br w:val="nil"/>
                    <w:tr2bl w:val="nil"/>
                  </w:tcBorders>
                  <w:noWrap w:val="0"/>
                  <w:tcMar>
                    <w:left w:w="0" w:type="dxa"/>
                    <w:right w:w="0" w:type="dxa"/>
                  </w:tcMar>
                  <w:vAlign w:val="center"/>
                </w:tcPr>
                <w:p w14:paraId="04ACF4EB">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900-001-S61 </w:t>
                  </w:r>
                </w:p>
              </w:tc>
              <w:tc>
                <w:tcPr>
                  <w:tcW w:w="556" w:type="pct"/>
                  <w:tcBorders>
                    <w:tl2br w:val="nil"/>
                    <w:tr2bl w:val="nil"/>
                  </w:tcBorders>
                  <w:shd w:val="clear" w:color="auto" w:fill="auto"/>
                  <w:noWrap w:val="0"/>
                  <w:tcMar>
                    <w:left w:w="0" w:type="dxa"/>
                    <w:right w:w="0" w:type="dxa"/>
                  </w:tcMar>
                  <w:vAlign w:val="center"/>
                </w:tcPr>
                <w:p w14:paraId="32665889">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52.5</w:t>
                  </w:r>
                </w:p>
              </w:tc>
            </w:tr>
            <w:tr w14:paraId="64512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260" w:type="pct"/>
                  <w:tcBorders>
                    <w:tl2br w:val="nil"/>
                    <w:tr2bl w:val="nil"/>
                  </w:tcBorders>
                  <w:noWrap w:val="0"/>
                  <w:tcMar>
                    <w:left w:w="0" w:type="dxa"/>
                    <w:right w:w="0" w:type="dxa"/>
                  </w:tcMar>
                  <w:vAlign w:val="center"/>
                </w:tcPr>
                <w:p w14:paraId="69C1958E">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729" w:type="pct"/>
                  <w:tcBorders>
                    <w:tl2br w:val="nil"/>
                    <w:tr2bl w:val="nil"/>
                  </w:tcBorders>
                  <w:shd w:val="clear" w:color="auto" w:fill="auto"/>
                  <w:noWrap w:val="0"/>
                  <w:tcMar>
                    <w:left w:w="0" w:type="dxa"/>
                    <w:right w:w="0" w:type="dxa"/>
                  </w:tcMar>
                  <w:vAlign w:val="center"/>
                </w:tcPr>
                <w:p w14:paraId="672B55C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餐厨垃圾</w:t>
                  </w:r>
                </w:p>
              </w:tc>
              <w:tc>
                <w:tcPr>
                  <w:tcW w:w="818" w:type="pct"/>
                  <w:tcBorders>
                    <w:tl2br w:val="nil"/>
                    <w:tr2bl w:val="nil"/>
                  </w:tcBorders>
                  <w:shd w:val="clear" w:color="auto" w:fill="auto"/>
                  <w:noWrap w:val="0"/>
                  <w:tcMar>
                    <w:left w:w="0" w:type="dxa"/>
                    <w:right w:w="0" w:type="dxa"/>
                  </w:tcMar>
                  <w:vAlign w:val="center"/>
                </w:tcPr>
                <w:p w14:paraId="053F29E2">
                  <w:pPr>
                    <w:keepNext w:val="0"/>
                    <w:keepLines w:val="0"/>
                    <w:widowControl/>
                    <w:suppressLineNumbers w:val="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1"/>
                      <w:lang w:val="en-US" w:eastAsia="zh-CN" w:bidi="ar-SA"/>
                    </w:rPr>
                    <w:t>食品制作</w:t>
                  </w:r>
                  <w:r>
                    <w:rPr>
                      <w:rFonts w:hint="eastAsia" w:ascii="Times New Roman" w:hAnsi="Times New Roman" w:eastAsia="宋体" w:cs="Times New Roman"/>
                      <w:color w:val="auto"/>
                      <w:kern w:val="2"/>
                      <w:sz w:val="21"/>
                      <w:szCs w:val="21"/>
                      <w:lang w:val="en-US" w:eastAsia="zh-CN" w:bidi="ar-SA"/>
                    </w:rPr>
                    <w:t>过程产生</w:t>
                  </w:r>
                </w:p>
              </w:tc>
              <w:tc>
                <w:tcPr>
                  <w:tcW w:w="916" w:type="pct"/>
                  <w:tcBorders>
                    <w:tl2br w:val="nil"/>
                    <w:tr2bl w:val="nil"/>
                  </w:tcBorders>
                  <w:shd w:val="clear" w:color="auto" w:fill="auto"/>
                  <w:noWrap w:val="0"/>
                  <w:tcMar>
                    <w:left w:w="0" w:type="dxa"/>
                    <w:right w:w="0" w:type="dxa"/>
                  </w:tcMar>
                  <w:vAlign w:val="center"/>
                </w:tcPr>
                <w:p w14:paraId="134C14DC">
                  <w:pPr>
                    <w:keepNext w:val="0"/>
                    <w:keepLines w:val="0"/>
                    <w:widowControl/>
                    <w:suppressLineNumbers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淀粉、纤维素、脂肪、蛋白质等</w:t>
                  </w:r>
                </w:p>
              </w:tc>
              <w:tc>
                <w:tcPr>
                  <w:tcW w:w="766" w:type="pct"/>
                  <w:tcBorders>
                    <w:tl2br w:val="nil"/>
                    <w:tr2bl w:val="nil"/>
                  </w:tcBorders>
                  <w:noWrap w:val="0"/>
                  <w:tcMar>
                    <w:left w:w="0" w:type="dxa"/>
                    <w:right w:w="0" w:type="dxa"/>
                  </w:tcMar>
                  <w:vAlign w:val="center"/>
                </w:tcPr>
                <w:p w14:paraId="43DF757F">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952" w:type="pct"/>
                  <w:tcBorders>
                    <w:tl2br w:val="nil"/>
                    <w:tr2bl w:val="nil"/>
                  </w:tcBorders>
                  <w:noWrap w:val="0"/>
                  <w:tcMar>
                    <w:left w:w="0" w:type="dxa"/>
                    <w:right w:w="0" w:type="dxa"/>
                  </w:tcMar>
                  <w:vAlign w:val="center"/>
                </w:tcPr>
                <w:p w14:paraId="061040E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900-002-S61</w:t>
                  </w:r>
                </w:p>
              </w:tc>
              <w:tc>
                <w:tcPr>
                  <w:tcW w:w="556" w:type="pct"/>
                  <w:tcBorders>
                    <w:tl2br w:val="nil"/>
                    <w:tr2bl w:val="nil"/>
                  </w:tcBorders>
                  <w:shd w:val="clear" w:color="auto" w:fill="auto"/>
                  <w:noWrap w:val="0"/>
                  <w:tcMar>
                    <w:left w:w="0" w:type="dxa"/>
                    <w:right w:w="0" w:type="dxa"/>
                  </w:tcMar>
                  <w:vAlign w:val="center"/>
                </w:tcPr>
                <w:p w14:paraId="6A5D9AB1">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94.2</w:t>
                  </w:r>
                </w:p>
              </w:tc>
            </w:tr>
            <w:tr w14:paraId="71948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260" w:type="pct"/>
                  <w:tcBorders>
                    <w:tl2br w:val="nil"/>
                    <w:tr2bl w:val="nil"/>
                  </w:tcBorders>
                  <w:noWrap w:val="0"/>
                  <w:tcMar>
                    <w:left w:w="0" w:type="dxa"/>
                    <w:right w:w="0" w:type="dxa"/>
                  </w:tcMar>
                  <w:vAlign w:val="center"/>
                </w:tcPr>
                <w:p w14:paraId="057C792C">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3</w:t>
                  </w:r>
                </w:p>
              </w:tc>
              <w:tc>
                <w:tcPr>
                  <w:tcW w:w="729" w:type="pct"/>
                  <w:tcBorders>
                    <w:tl2br w:val="nil"/>
                    <w:tr2bl w:val="nil"/>
                  </w:tcBorders>
                  <w:shd w:val="clear" w:color="auto" w:fill="auto"/>
                  <w:noWrap w:val="0"/>
                  <w:tcMar>
                    <w:left w:w="0" w:type="dxa"/>
                    <w:right w:w="0" w:type="dxa"/>
                  </w:tcMar>
                  <w:vAlign w:val="center"/>
                </w:tcPr>
                <w:p w14:paraId="1D7793F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废油脂</w:t>
                  </w:r>
                </w:p>
              </w:tc>
              <w:tc>
                <w:tcPr>
                  <w:tcW w:w="818" w:type="pct"/>
                  <w:tcBorders>
                    <w:tl2br w:val="nil"/>
                    <w:tr2bl w:val="nil"/>
                  </w:tcBorders>
                  <w:shd w:val="clear" w:color="auto" w:fill="auto"/>
                  <w:noWrap w:val="0"/>
                  <w:tcMar>
                    <w:left w:w="0" w:type="dxa"/>
                    <w:right w:w="0" w:type="dxa"/>
                  </w:tcMar>
                  <w:vAlign w:val="center"/>
                </w:tcPr>
                <w:p w14:paraId="5DAC3B93">
                  <w:pPr>
                    <w:keepNext w:val="0"/>
                    <w:keepLines w:val="0"/>
                    <w:widowControl/>
                    <w:suppressLineNumbers w:val="0"/>
                    <w:jc w:val="center"/>
                    <w:rPr>
                      <w:rFonts w:hint="eastAsia" w:ascii="Times New Roman" w:hAnsi="Times New Roman" w:eastAsia="宋体" w:cs="Times New Roman"/>
                      <w:color w:val="auto"/>
                      <w:kern w:val="2"/>
                      <w:sz w:val="21"/>
                      <w:szCs w:val="24"/>
                      <w:lang w:val="en-US" w:eastAsia="zh-CN" w:bidi="ar-SA"/>
                    </w:rPr>
                  </w:pPr>
                  <w:r>
                    <w:rPr>
                      <w:rFonts w:hint="eastAsia" w:cs="Times New Roman"/>
                      <w:bCs/>
                      <w:color w:val="auto"/>
                      <w:szCs w:val="21"/>
                      <w:lang w:val="en-US" w:eastAsia="zh-CN"/>
                    </w:rPr>
                    <w:t>隔油池处理废水过程和油烟净化器处理废气过程产生</w:t>
                  </w:r>
                </w:p>
              </w:tc>
              <w:tc>
                <w:tcPr>
                  <w:tcW w:w="916" w:type="pct"/>
                  <w:tcBorders>
                    <w:tl2br w:val="nil"/>
                    <w:tr2bl w:val="nil"/>
                  </w:tcBorders>
                  <w:shd w:val="clear" w:color="auto" w:fill="auto"/>
                  <w:noWrap w:val="0"/>
                  <w:tcMar>
                    <w:left w:w="0" w:type="dxa"/>
                    <w:right w:w="0" w:type="dxa"/>
                  </w:tcMar>
                  <w:vAlign w:val="center"/>
                </w:tcPr>
                <w:p w14:paraId="47B52205">
                  <w:pPr>
                    <w:pStyle w:val="127"/>
                    <w:bidi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废动植物油</w:t>
                  </w:r>
                </w:p>
              </w:tc>
              <w:tc>
                <w:tcPr>
                  <w:tcW w:w="766" w:type="pct"/>
                  <w:tcBorders>
                    <w:tl2br w:val="nil"/>
                    <w:tr2bl w:val="nil"/>
                  </w:tcBorders>
                  <w:noWrap w:val="0"/>
                  <w:tcMar>
                    <w:left w:w="0" w:type="dxa"/>
                    <w:right w:w="0" w:type="dxa"/>
                  </w:tcMar>
                  <w:vAlign w:val="center"/>
                </w:tcPr>
                <w:p w14:paraId="22942471">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952" w:type="pct"/>
                  <w:tcBorders>
                    <w:tl2br w:val="nil"/>
                    <w:tr2bl w:val="nil"/>
                  </w:tcBorders>
                  <w:noWrap w:val="0"/>
                  <w:tcMar>
                    <w:left w:w="0" w:type="dxa"/>
                    <w:right w:w="0" w:type="dxa"/>
                  </w:tcMar>
                  <w:vAlign w:val="center"/>
                </w:tcPr>
                <w:p w14:paraId="6AA6C8E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900-099-S59</w:t>
                  </w:r>
                </w:p>
              </w:tc>
              <w:tc>
                <w:tcPr>
                  <w:tcW w:w="556" w:type="pct"/>
                  <w:tcBorders>
                    <w:tl2br w:val="nil"/>
                    <w:tr2bl w:val="nil"/>
                  </w:tcBorders>
                  <w:shd w:val="clear" w:color="auto" w:fill="auto"/>
                  <w:noWrap w:val="0"/>
                  <w:tcMar>
                    <w:left w:w="0" w:type="dxa"/>
                    <w:right w:w="0" w:type="dxa"/>
                  </w:tcMar>
                  <w:vAlign w:val="center"/>
                </w:tcPr>
                <w:p w14:paraId="0B58947E">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b w:val="0"/>
                      <w:bCs w:val="0"/>
                      <w:color w:val="auto"/>
                      <w:spacing w:val="0"/>
                      <w:kern w:val="2"/>
                      <w:sz w:val="21"/>
                      <w:szCs w:val="21"/>
                      <w:lang w:val="en-US" w:eastAsia="zh-CN" w:bidi="ar-SA"/>
                    </w:rPr>
                  </w:pPr>
                  <w:r>
                    <w:rPr>
                      <w:rFonts w:hint="eastAsia" w:cs="Times New Roman"/>
                      <w:b w:val="0"/>
                      <w:bCs w:val="0"/>
                      <w:color w:val="auto"/>
                      <w:spacing w:val="0"/>
                      <w:lang w:val="en-US" w:eastAsia="zh-CN"/>
                    </w:rPr>
                    <w:t>13.22</w:t>
                  </w:r>
                </w:p>
              </w:tc>
            </w:tr>
            <w:tr w14:paraId="22CC8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0" w:type="pct"/>
                  <w:tcBorders>
                    <w:tl2br w:val="nil"/>
                    <w:tr2bl w:val="nil"/>
                  </w:tcBorders>
                  <w:noWrap w:val="0"/>
                  <w:tcMar>
                    <w:left w:w="0" w:type="dxa"/>
                    <w:right w:w="0" w:type="dxa"/>
                  </w:tcMar>
                  <w:vAlign w:val="center"/>
                </w:tcPr>
                <w:p w14:paraId="1C478401">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4</w:t>
                  </w:r>
                </w:p>
              </w:tc>
              <w:tc>
                <w:tcPr>
                  <w:tcW w:w="729" w:type="pct"/>
                  <w:tcBorders>
                    <w:tl2br w:val="nil"/>
                    <w:tr2bl w:val="nil"/>
                  </w:tcBorders>
                  <w:shd w:val="clear" w:color="auto" w:fill="auto"/>
                  <w:noWrap w:val="0"/>
                  <w:tcMar>
                    <w:left w:w="0" w:type="dxa"/>
                    <w:right w:w="0" w:type="dxa"/>
                  </w:tcMar>
                  <w:vAlign w:val="center"/>
                </w:tcPr>
                <w:p w14:paraId="5B2FC4F7">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vertAlign w:val="baseline"/>
                      <w:lang w:val="en-US" w:eastAsia="zh-CN"/>
                    </w:rPr>
                    <w:t>废包装</w:t>
                  </w:r>
                  <w:r>
                    <w:rPr>
                      <w:rFonts w:hint="eastAsia" w:cs="Times New Roman"/>
                      <w:color w:val="auto"/>
                      <w:vertAlign w:val="baseline"/>
                      <w:lang w:val="en-US" w:eastAsia="zh-CN"/>
                    </w:rPr>
                    <w:t>材料</w:t>
                  </w:r>
                </w:p>
              </w:tc>
              <w:tc>
                <w:tcPr>
                  <w:tcW w:w="818" w:type="pct"/>
                  <w:tcBorders>
                    <w:tl2br w:val="nil"/>
                    <w:tr2bl w:val="nil"/>
                  </w:tcBorders>
                  <w:shd w:val="clear" w:color="auto" w:fill="auto"/>
                  <w:noWrap w:val="0"/>
                  <w:tcMar>
                    <w:left w:w="0" w:type="dxa"/>
                    <w:right w:w="0" w:type="dxa"/>
                  </w:tcMar>
                  <w:vAlign w:val="center"/>
                </w:tcPr>
                <w:p w14:paraId="5DFEE51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1"/>
                      <w:lang w:val="en-US" w:eastAsia="zh-CN" w:bidi="ar-SA"/>
                    </w:rPr>
                    <w:t>原料拆包和产品包装过程产生</w:t>
                  </w:r>
                </w:p>
              </w:tc>
              <w:tc>
                <w:tcPr>
                  <w:tcW w:w="916" w:type="pct"/>
                  <w:tcBorders>
                    <w:tl2br w:val="nil"/>
                    <w:tr2bl w:val="nil"/>
                  </w:tcBorders>
                  <w:shd w:val="clear" w:color="auto" w:fill="auto"/>
                  <w:noWrap w:val="0"/>
                  <w:tcMar>
                    <w:left w:w="0" w:type="dxa"/>
                    <w:right w:w="0" w:type="dxa"/>
                  </w:tcMar>
                  <w:vAlign w:val="center"/>
                </w:tcPr>
                <w:p w14:paraId="49CBDD07">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废纸、废塑料</w:t>
                  </w:r>
                </w:p>
              </w:tc>
              <w:tc>
                <w:tcPr>
                  <w:tcW w:w="766" w:type="pct"/>
                  <w:tcBorders>
                    <w:tl2br w:val="nil"/>
                    <w:tr2bl w:val="nil"/>
                  </w:tcBorders>
                  <w:noWrap w:val="0"/>
                  <w:tcMar>
                    <w:left w:w="0" w:type="dxa"/>
                    <w:right w:w="0" w:type="dxa"/>
                  </w:tcMar>
                  <w:vAlign w:val="center"/>
                </w:tcPr>
                <w:p w14:paraId="061D2D28">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952" w:type="pct"/>
                  <w:tcBorders>
                    <w:tl2br w:val="nil"/>
                    <w:tr2bl w:val="nil"/>
                  </w:tcBorders>
                  <w:noWrap w:val="0"/>
                  <w:tcMar>
                    <w:left w:w="0" w:type="dxa"/>
                    <w:right w:w="0" w:type="dxa"/>
                  </w:tcMar>
                  <w:vAlign w:val="center"/>
                </w:tcPr>
                <w:p w14:paraId="2C034F3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900-003-S17</w:t>
                  </w:r>
                </w:p>
              </w:tc>
              <w:tc>
                <w:tcPr>
                  <w:tcW w:w="556" w:type="pct"/>
                  <w:tcBorders>
                    <w:tl2br w:val="nil"/>
                    <w:tr2bl w:val="nil"/>
                  </w:tcBorders>
                  <w:shd w:val="clear" w:color="auto" w:fill="auto"/>
                  <w:noWrap w:val="0"/>
                  <w:tcMar>
                    <w:left w:w="0" w:type="dxa"/>
                    <w:right w:w="0" w:type="dxa"/>
                  </w:tcMar>
                  <w:vAlign w:val="center"/>
                </w:tcPr>
                <w:p w14:paraId="1A180FCC">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r>
            <w:tr w14:paraId="23E89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0" w:type="pct"/>
                  <w:tcBorders>
                    <w:tl2br w:val="nil"/>
                    <w:tr2bl w:val="nil"/>
                  </w:tcBorders>
                  <w:noWrap w:val="0"/>
                  <w:tcMar>
                    <w:left w:w="0" w:type="dxa"/>
                    <w:right w:w="0" w:type="dxa"/>
                  </w:tcMar>
                  <w:vAlign w:val="center"/>
                </w:tcPr>
                <w:p w14:paraId="3B0EF27B">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5</w:t>
                  </w:r>
                </w:p>
              </w:tc>
              <w:tc>
                <w:tcPr>
                  <w:tcW w:w="729" w:type="pct"/>
                  <w:tcBorders>
                    <w:tl2br w:val="nil"/>
                    <w:tr2bl w:val="nil"/>
                  </w:tcBorders>
                  <w:shd w:val="clear" w:color="auto" w:fill="auto"/>
                  <w:noWrap w:val="0"/>
                  <w:tcMar>
                    <w:left w:w="0" w:type="dxa"/>
                    <w:right w:w="0" w:type="dxa"/>
                  </w:tcMar>
                  <w:vAlign w:val="center"/>
                </w:tcPr>
                <w:p w14:paraId="7BE0242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bCs/>
                      <w:color w:val="auto"/>
                      <w:highlight w:val="none"/>
                    </w:rPr>
                    <w:t>废滤芯和</w:t>
                  </w:r>
                  <w:r>
                    <w:rPr>
                      <w:rFonts w:hint="eastAsia" w:ascii="Times New Roman" w:hAnsi="Times New Roman" w:eastAsia="宋体" w:cs="Times New Roman"/>
                      <w:color w:val="auto"/>
                      <w:vertAlign w:val="baseline"/>
                      <w:lang w:val="en-US" w:eastAsia="zh-CN"/>
                    </w:rPr>
                    <w:t>废反渗透膜</w:t>
                  </w:r>
                </w:p>
              </w:tc>
              <w:tc>
                <w:tcPr>
                  <w:tcW w:w="818" w:type="pct"/>
                  <w:tcBorders>
                    <w:tl2br w:val="nil"/>
                    <w:tr2bl w:val="nil"/>
                  </w:tcBorders>
                  <w:shd w:val="clear" w:color="auto" w:fill="auto"/>
                  <w:noWrap w:val="0"/>
                  <w:tcMar>
                    <w:left w:w="0" w:type="dxa"/>
                    <w:right w:w="0" w:type="dxa"/>
                  </w:tcMar>
                  <w:vAlign w:val="center"/>
                </w:tcPr>
                <w:p w14:paraId="08A6025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纯水机纯水制备过程产生</w:t>
                  </w:r>
                </w:p>
              </w:tc>
              <w:tc>
                <w:tcPr>
                  <w:tcW w:w="916" w:type="pct"/>
                  <w:tcBorders>
                    <w:tl2br w:val="nil"/>
                    <w:tr2bl w:val="nil"/>
                  </w:tcBorders>
                  <w:shd w:val="clear" w:color="auto" w:fill="auto"/>
                  <w:noWrap w:val="0"/>
                  <w:tcMar>
                    <w:left w:w="0" w:type="dxa"/>
                    <w:right w:w="0" w:type="dxa"/>
                  </w:tcMar>
                  <w:vAlign w:val="center"/>
                </w:tcPr>
                <w:p w14:paraId="0AEC3410">
                  <w:pPr>
                    <w:jc w:val="center"/>
                    <w:rPr>
                      <w:rFonts w:hint="eastAsia" w:ascii="Times New Roman" w:hAnsi="Times New Roman" w:eastAsia="宋体" w:cs="Times New Roman"/>
                      <w:color w:val="auto"/>
                      <w:kern w:val="2"/>
                      <w:sz w:val="21"/>
                      <w:szCs w:val="21"/>
                      <w:lang w:val="en-US" w:eastAsia="zh-CN" w:bidi="ar-SA"/>
                    </w:rPr>
                  </w:pPr>
                  <w:r>
                    <w:rPr>
                      <w:rStyle w:val="130"/>
                      <w:rFonts w:hint="eastAsia"/>
                      <w:color w:val="auto"/>
                      <w:szCs w:val="21"/>
                      <w:lang w:val="en-US" w:eastAsia="zh-CN"/>
                    </w:rPr>
                    <w:t>废塑料</w:t>
                  </w:r>
                </w:p>
              </w:tc>
              <w:tc>
                <w:tcPr>
                  <w:tcW w:w="766" w:type="pct"/>
                  <w:tcBorders>
                    <w:tl2br w:val="nil"/>
                    <w:tr2bl w:val="nil"/>
                  </w:tcBorders>
                  <w:shd w:val="clear" w:color="auto" w:fill="auto"/>
                  <w:noWrap w:val="0"/>
                  <w:tcMar>
                    <w:left w:w="0" w:type="dxa"/>
                    <w:right w:w="0" w:type="dxa"/>
                  </w:tcMar>
                  <w:vAlign w:val="center"/>
                </w:tcPr>
                <w:p w14:paraId="14B2630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一般固废</w:t>
                  </w:r>
                </w:p>
              </w:tc>
              <w:tc>
                <w:tcPr>
                  <w:tcW w:w="952" w:type="pct"/>
                  <w:tcBorders>
                    <w:tl2br w:val="nil"/>
                    <w:tr2bl w:val="nil"/>
                  </w:tcBorders>
                  <w:shd w:val="clear" w:color="auto" w:fill="auto"/>
                  <w:noWrap w:val="0"/>
                  <w:tcMar>
                    <w:left w:w="0" w:type="dxa"/>
                    <w:right w:w="0" w:type="dxa"/>
                  </w:tcMar>
                  <w:vAlign w:val="center"/>
                </w:tcPr>
                <w:p w14:paraId="24795FFB">
                  <w:pPr>
                    <w:bidi w:val="0"/>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900-009-S59</w:t>
                  </w:r>
                </w:p>
              </w:tc>
              <w:tc>
                <w:tcPr>
                  <w:tcW w:w="556" w:type="pct"/>
                  <w:tcBorders>
                    <w:tl2br w:val="nil"/>
                    <w:tr2bl w:val="nil"/>
                  </w:tcBorders>
                  <w:shd w:val="clear" w:color="auto" w:fill="auto"/>
                  <w:noWrap w:val="0"/>
                  <w:tcMar>
                    <w:left w:w="0" w:type="dxa"/>
                    <w:right w:w="0" w:type="dxa"/>
                  </w:tcMar>
                  <w:vAlign w:val="center"/>
                </w:tcPr>
                <w:p w14:paraId="5334CD89">
                  <w:pPr>
                    <w:pStyle w:val="127"/>
                    <w:bidi w:val="0"/>
                    <w:ind w:left="19" w:leftChars="9" w:right="19" w:rightChars="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0.05</w:t>
                  </w:r>
                </w:p>
              </w:tc>
            </w:tr>
            <w:tr w14:paraId="64696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0" w:type="pct"/>
                  <w:tcBorders>
                    <w:tl2br w:val="nil"/>
                    <w:tr2bl w:val="nil"/>
                  </w:tcBorders>
                  <w:noWrap w:val="0"/>
                  <w:tcMar>
                    <w:left w:w="0" w:type="dxa"/>
                    <w:right w:w="0" w:type="dxa"/>
                  </w:tcMar>
                  <w:vAlign w:val="center"/>
                </w:tcPr>
                <w:p w14:paraId="06977C5A">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6</w:t>
                  </w:r>
                </w:p>
              </w:tc>
              <w:tc>
                <w:tcPr>
                  <w:tcW w:w="729" w:type="pct"/>
                  <w:tcBorders>
                    <w:tl2br w:val="nil"/>
                    <w:tr2bl w:val="nil"/>
                  </w:tcBorders>
                  <w:shd w:val="clear" w:color="auto" w:fill="auto"/>
                  <w:noWrap w:val="0"/>
                  <w:tcMar>
                    <w:left w:w="0" w:type="dxa"/>
                    <w:right w:w="0" w:type="dxa"/>
                  </w:tcMar>
                  <w:vAlign w:val="center"/>
                </w:tcPr>
                <w:p w14:paraId="0C2CEF10">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highlight w:val="none"/>
                      <w:lang w:val="en-US" w:eastAsia="zh-CN"/>
                    </w:rPr>
                    <w:t>锅炉软水废树脂</w:t>
                  </w:r>
                </w:p>
              </w:tc>
              <w:tc>
                <w:tcPr>
                  <w:tcW w:w="818" w:type="pct"/>
                  <w:tcBorders>
                    <w:tl2br w:val="nil"/>
                    <w:tr2bl w:val="nil"/>
                  </w:tcBorders>
                  <w:shd w:val="clear" w:color="auto" w:fill="auto"/>
                  <w:noWrap w:val="0"/>
                  <w:tcMar>
                    <w:left w:w="0" w:type="dxa"/>
                    <w:right w:w="0" w:type="dxa"/>
                  </w:tcMar>
                  <w:vAlign w:val="center"/>
                </w:tcPr>
                <w:p w14:paraId="18B62F4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软水制备过程产生</w:t>
                  </w:r>
                </w:p>
              </w:tc>
              <w:tc>
                <w:tcPr>
                  <w:tcW w:w="916" w:type="pct"/>
                  <w:tcBorders>
                    <w:tl2br w:val="nil"/>
                    <w:tr2bl w:val="nil"/>
                  </w:tcBorders>
                  <w:shd w:val="clear" w:color="auto" w:fill="auto"/>
                  <w:noWrap w:val="0"/>
                  <w:tcMar>
                    <w:left w:w="0" w:type="dxa"/>
                    <w:right w:w="0" w:type="dxa"/>
                  </w:tcMar>
                  <w:vAlign w:val="center"/>
                </w:tcPr>
                <w:p w14:paraId="38B3A62F">
                  <w:pPr>
                    <w:jc w:val="center"/>
                    <w:rPr>
                      <w:rFonts w:hint="default" w:ascii="Times New Roman" w:hAnsi="Times New Roman" w:eastAsia="宋体" w:cs="Times New Roman"/>
                      <w:color w:val="auto"/>
                      <w:kern w:val="2"/>
                      <w:sz w:val="21"/>
                      <w:szCs w:val="21"/>
                      <w:lang w:val="en-US" w:eastAsia="zh-CN" w:bidi="ar-SA"/>
                    </w:rPr>
                  </w:pPr>
                  <w:r>
                    <w:rPr>
                      <w:rStyle w:val="130"/>
                      <w:rFonts w:hint="eastAsia"/>
                      <w:color w:val="auto"/>
                      <w:szCs w:val="21"/>
                      <w:lang w:val="en-US" w:eastAsia="zh-CN"/>
                    </w:rPr>
                    <w:t>废塑料</w:t>
                  </w:r>
                </w:p>
              </w:tc>
              <w:tc>
                <w:tcPr>
                  <w:tcW w:w="766" w:type="pct"/>
                  <w:tcBorders>
                    <w:tl2br w:val="nil"/>
                    <w:tr2bl w:val="nil"/>
                  </w:tcBorders>
                  <w:noWrap w:val="0"/>
                  <w:tcMar>
                    <w:left w:w="0" w:type="dxa"/>
                    <w:right w:w="0" w:type="dxa"/>
                  </w:tcMar>
                  <w:vAlign w:val="center"/>
                </w:tcPr>
                <w:p w14:paraId="225BDEA8">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952" w:type="pct"/>
                  <w:tcBorders>
                    <w:tl2br w:val="nil"/>
                    <w:tr2bl w:val="nil"/>
                  </w:tcBorders>
                  <w:noWrap w:val="0"/>
                  <w:tcMar>
                    <w:left w:w="0" w:type="dxa"/>
                    <w:right w:w="0" w:type="dxa"/>
                  </w:tcMar>
                  <w:vAlign w:val="center"/>
                </w:tcPr>
                <w:p w14:paraId="26E58550">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900-009-S59</w:t>
                  </w:r>
                </w:p>
              </w:tc>
              <w:tc>
                <w:tcPr>
                  <w:tcW w:w="556" w:type="pct"/>
                  <w:tcBorders>
                    <w:tl2br w:val="nil"/>
                    <w:tr2bl w:val="nil"/>
                  </w:tcBorders>
                  <w:shd w:val="clear" w:color="auto" w:fill="auto"/>
                  <w:noWrap w:val="0"/>
                  <w:tcMar>
                    <w:left w:w="0" w:type="dxa"/>
                    <w:right w:w="0" w:type="dxa"/>
                  </w:tcMar>
                  <w:vAlign w:val="center"/>
                </w:tcPr>
                <w:p w14:paraId="3C7D9CE3">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0.05</w:t>
                  </w:r>
                </w:p>
              </w:tc>
            </w:tr>
            <w:tr w14:paraId="78DAA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260" w:type="pct"/>
                  <w:tcBorders>
                    <w:tl2br w:val="nil"/>
                    <w:tr2bl w:val="nil"/>
                  </w:tcBorders>
                  <w:noWrap w:val="0"/>
                  <w:tcMar>
                    <w:left w:w="0" w:type="dxa"/>
                    <w:right w:w="0" w:type="dxa"/>
                  </w:tcMar>
                  <w:vAlign w:val="center"/>
                </w:tcPr>
                <w:p w14:paraId="4CEF2CD0">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7</w:t>
                  </w:r>
                </w:p>
              </w:tc>
              <w:tc>
                <w:tcPr>
                  <w:tcW w:w="729" w:type="pct"/>
                  <w:tcBorders>
                    <w:tl2br w:val="nil"/>
                    <w:tr2bl w:val="nil"/>
                  </w:tcBorders>
                  <w:shd w:val="clear" w:color="auto" w:fill="auto"/>
                  <w:noWrap w:val="0"/>
                  <w:tcMar>
                    <w:left w:w="0" w:type="dxa"/>
                    <w:right w:w="0" w:type="dxa"/>
                  </w:tcMar>
                  <w:vAlign w:val="center"/>
                </w:tcPr>
                <w:p w14:paraId="33C3418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vertAlign w:val="baseline"/>
                      <w:lang w:val="en-US" w:eastAsia="zh-CN"/>
                    </w:rPr>
                    <w:t>沉淀池污泥</w:t>
                  </w:r>
                </w:p>
              </w:tc>
              <w:tc>
                <w:tcPr>
                  <w:tcW w:w="818" w:type="pct"/>
                  <w:tcBorders>
                    <w:tl2br w:val="nil"/>
                    <w:tr2bl w:val="nil"/>
                  </w:tcBorders>
                  <w:shd w:val="clear" w:color="auto" w:fill="auto"/>
                  <w:noWrap w:val="0"/>
                  <w:tcMar>
                    <w:left w:w="0" w:type="dxa"/>
                    <w:right w:w="0" w:type="dxa"/>
                  </w:tcMar>
                  <w:vAlign w:val="center"/>
                </w:tcPr>
                <w:p w14:paraId="64804B3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废水处理过程产生</w:t>
                  </w:r>
                </w:p>
              </w:tc>
              <w:tc>
                <w:tcPr>
                  <w:tcW w:w="916" w:type="pct"/>
                  <w:tcBorders>
                    <w:tl2br w:val="nil"/>
                    <w:tr2bl w:val="nil"/>
                  </w:tcBorders>
                  <w:shd w:val="clear" w:color="auto" w:fill="auto"/>
                  <w:noWrap w:val="0"/>
                  <w:tcMar>
                    <w:left w:w="0" w:type="dxa"/>
                    <w:right w:w="0" w:type="dxa"/>
                  </w:tcMar>
                  <w:vAlign w:val="center"/>
                </w:tcPr>
                <w:p w14:paraId="4EBED599">
                  <w:pPr>
                    <w:jc w:val="center"/>
                    <w:rPr>
                      <w:rFonts w:hint="default" w:ascii="Times New Roman" w:hAnsi="Times New Roman" w:eastAsia="宋体" w:cs="Times New Roman"/>
                      <w:color w:val="auto"/>
                      <w:kern w:val="2"/>
                      <w:sz w:val="21"/>
                      <w:szCs w:val="21"/>
                      <w:lang w:val="en-US" w:eastAsia="zh-CN" w:bidi="ar-SA"/>
                    </w:rPr>
                  </w:pPr>
                  <w:r>
                    <w:rPr>
                      <w:rStyle w:val="130"/>
                      <w:rFonts w:hint="eastAsia"/>
                      <w:color w:val="000000"/>
                      <w:szCs w:val="21"/>
                      <w:lang w:val="en-US" w:eastAsia="zh-CN"/>
                    </w:rPr>
                    <w:t>有机物、无机物</w:t>
                  </w:r>
                </w:p>
              </w:tc>
              <w:tc>
                <w:tcPr>
                  <w:tcW w:w="766" w:type="pct"/>
                  <w:tcBorders>
                    <w:tl2br w:val="nil"/>
                    <w:tr2bl w:val="nil"/>
                  </w:tcBorders>
                  <w:noWrap w:val="0"/>
                  <w:tcMar>
                    <w:left w:w="0" w:type="dxa"/>
                    <w:right w:w="0" w:type="dxa"/>
                  </w:tcMar>
                  <w:vAlign w:val="center"/>
                </w:tcPr>
                <w:p w14:paraId="55E50E1C">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952" w:type="pct"/>
                  <w:tcBorders>
                    <w:tl2br w:val="nil"/>
                    <w:tr2bl w:val="nil"/>
                  </w:tcBorders>
                  <w:noWrap w:val="0"/>
                  <w:tcMar>
                    <w:left w:w="0" w:type="dxa"/>
                    <w:right w:w="0" w:type="dxa"/>
                  </w:tcMar>
                  <w:vAlign w:val="center"/>
                </w:tcPr>
                <w:p w14:paraId="0EF6F843">
                  <w:pPr>
                    <w:bidi w:val="0"/>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140-001-S07 </w:t>
                  </w:r>
                </w:p>
              </w:tc>
              <w:tc>
                <w:tcPr>
                  <w:tcW w:w="556" w:type="pct"/>
                  <w:tcBorders>
                    <w:tl2br w:val="nil"/>
                    <w:tr2bl w:val="nil"/>
                  </w:tcBorders>
                  <w:shd w:val="clear" w:color="auto" w:fill="auto"/>
                  <w:noWrap w:val="0"/>
                  <w:tcMar>
                    <w:left w:w="0" w:type="dxa"/>
                    <w:right w:w="0" w:type="dxa"/>
                  </w:tcMar>
                  <w:vAlign w:val="center"/>
                </w:tcPr>
                <w:p w14:paraId="77D619C8">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399</w:t>
                  </w:r>
                </w:p>
              </w:tc>
            </w:tr>
            <w:tr w14:paraId="5897F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260" w:type="pct"/>
                  <w:tcBorders>
                    <w:tl2br w:val="nil"/>
                    <w:tr2bl w:val="nil"/>
                  </w:tcBorders>
                  <w:noWrap w:val="0"/>
                  <w:tcMar>
                    <w:left w:w="0" w:type="dxa"/>
                    <w:right w:w="0" w:type="dxa"/>
                  </w:tcMar>
                  <w:vAlign w:val="center"/>
                </w:tcPr>
                <w:p w14:paraId="08157371">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8</w:t>
                  </w:r>
                </w:p>
              </w:tc>
              <w:tc>
                <w:tcPr>
                  <w:tcW w:w="729" w:type="pct"/>
                  <w:tcBorders>
                    <w:tl2br w:val="nil"/>
                    <w:tr2bl w:val="nil"/>
                  </w:tcBorders>
                  <w:shd w:val="clear" w:color="auto" w:fill="auto"/>
                  <w:noWrap w:val="0"/>
                  <w:tcMar>
                    <w:left w:w="0" w:type="dxa"/>
                    <w:right w:w="0" w:type="dxa"/>
                  </w:tcMar>
                  <w:vAlign w:val="center"/>
                </w:tcPr>
                <w:p w14:paraId="5500C8E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废机油</w:t>
                  </w:r>
                </w:p>
              </w:tc>
              <w:tc>
                <w:tcPr>
                  <w:tcW w:w="818" w:type="pct"/>
                  <w:tcBorders>
                    <w:tl2br w:val="nil"/>
                    <w:tr2bl w:val="nil"/>
                  </w:tcBorders>
                  <w:shd w:val="clear" w:color="auto" w:fill="auto"/>
                  <w:noWrap w:val="0"/>
                  <w:tcMar>
                    <w:left w:w="0" w:type="dxa"/>
                    <w:right w:w="0" w:type="dxa"/>
                  </w:tcMar>
                  <w:vAlign w:val="center"/>
                </w:tcPr>
                <w:p w14:paraId="0AF98674">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Style w:val="130"/>
                      <w:rFonts w:hint="eastAsia"/>
                      <w:color w:val="auto"/>
                      <w:szCs w:val="21"/>
                    </w:rPr>
                    <w:t>设备维修</w:t>
                  </w:r>
                </w:p>
              </w:tc>
              <w:tc>
                <w:tcPr>
                  <w:tcW w:w="916" w:type="pct"/>
                  <w:tcBorders>
                    <w:tl2br w:val="nil"/>
                    <w:tr2bl w:val="nil"/>
                  </w:tcBorders>
                  <w:shd w:val="clear" w:color="auto" w:fill="auto"/>
                  <w:noWrap w:val="0"/>
                  <w:tcMar>
                    <w:left w:w="0" w:type="dxa"/>
                    <w:right w:w="0" w:type="dxa"/>
                  </w:tcMar>
                  <w:vAlign w:val="center"/>
                </w:tcPr>
                <w:p w14:paraId="727404E7">
                  <w:pPr>
                    <w:jc w:val="center"/>
                    <w:rPr>
                      <w:rFonts w:hint="default" w:ascii="Times New Roman" w:hAnsi="Times New Roman" w:eastAsia="宋体" w:cs="Times New Roman"/>
                      <w:color w:val="auto"/>
                      <w:kern w:val="2"/>
                      <w:sz w:val="21"/>
                      <w:szCs w:val="24"/>
                      <w:lang w:val="en-US" w:eastAsia="zh-CN" w:bidi="ar-SA"/>
                    </w:rPr>
                  </w:pPr>
                  <w:r>
                    <w:rPr>
                      <w:rStyle w:val="130"/>
                      <w:rFonts w:hint="eastAsia"/>
                      <w:color w:val="auto"/>
                      <w:szCs w:val="21"/>
                      <w:lang w:val="en-US" w:eastAsia="zh-CN"/>
                    </w:rPr>
                    <w:t>机油</w:t>
                  </w:r>
                </w:p>
              </w:tc>
              <w:tc>
                <w:tcPr>
                  <w:tcW w:w="766" w:type="pct"/>
                  <w:tcBorders>
                    <w:tl2br w:val="nil"/>
                    <w:tr2bl w:val="nil"/>
                  </w:tcBorders>
                  <w:noWrap w:val="0"/>
                  <w:tcMar>
                    <w:left w:w="0" w:type="dxa"/>
                    <w:right w:w="0" w:type="dxa"/>
                  </w:tcMar>
                  <w:vAlign w:val="center"/>
                </w:tcPr>
                <w:p w14:paraId="55E0E388">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w:t>
                  </w:r>
                </w:p>
              </w:tc>
              <w:tc>
                <w:tcPr>
                  <w:tcW w:w="952" w:type="pct"/>
                  <w:tcBorders>
                    <w:tl2br w:val="nil"/>
                    <w:tr2bl w:val="nil"/>
                  </w:tcBorders>
                  <w:noWrap w:val="0"/>
                  <w:tcMar>
                    <w:left w:w="0" w:type="dxa"/>
                    <w:right w:w="0" w:type="dxa"/>
                  </w:tcMar>
                  <w:vAlign w:val="center"/>
                </w:tcPr>
                <w:p w14:paraId="55D059BF">
                  <w:pPr>
                    <w:bidi w:val="0"/>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w:t>
                  </w:r>
                </w:p>
                <w:p w14:paraId="1D00DC33">
                  <w:pPr>
                    <w:bidi w:val="0"/>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900-214-08</w:t>
                  </w:r>
                </w:p>
              </w:tc>
              <w:tc>
                <w:tcPr>
                  <w:tcW w:w="556" w:type="pct"/>
                  <w:tcBorders>
                    <w:tl2br w:val="nil"/>
                    <w:tr2bl w:val="nil"/>
                  </w:tcBorders>
                  <w:shd w:val="clear" w:color="auto" w:fill="auto"/>
                  <w:noWrap w:val="0"/>
                  <w:tcMar>
                    <w:left w:w="0" w:type="dxa"/>
                    <w:right w:w="0" w:type="dxa"/>
                  </w:tcMar>
                  <w:vAlign w:val="center"/>
                </w:tcPr>
                <w:p w14:paraId="434BC7D1">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0.1</w:t>
                  </w:r>
                </w:p>
              </w:tc>
            </w:tr>
            <w:tr w14:paraId="48141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260" w:type="pct"/>
                  <w:tcBorders>
                    <w:tl2br w:val="nil"/>
                    <w:tr2bl w:val="nil"/>
                  </w:tcBorders>
                  <w:noWrap w:val="0"/>
                  <w:tcMar>
                    <w:left w:w="0" w:type="dxa"/>
                    <w:right w:w="0" w:type="dxa"/>
                  </w:tcMar>
                  <w:vAlign w:val="center"/>
                </w:tcPr>
                <w:p w14:paraId="1114DAD6">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9</w:t>
                  </w:r>
                </w:p>
              </w:tc>
              <w:tc>
                <w:tcPr>
                  <w:tcW w:w="729" w:type="pct"/>
                  <w:tcBorders>
                    <w:tl2br w:val="nil"/>
                    <w:tr2bl w:val="nil"/>
                  </w:tcBorders>
                  <w:shd w:val="clear" w:color="auto" w:fill="auto"/>
                  <w:noWrap w:val="0"/>
                  <w:tcMar>
                    <w:left w:w="0" w:type="dxa"/>
                    <w:right w:w="0" w:type="dxa"/>
                  </w:tcMar>
                  <w:vAlign w:val="center"/>
                </w:tcPr>
                <w:p w14:paraId="7315E98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废</w:t>
                  </w:r>
                  <w:r>
                    <w:rPr>
                      <w:rFonts w:hint="eastAsia"/>
                      <w:color w:val="auto"/>
                      <w:szCs w:val="21"/>
                      <w:lang w:val="en-US" w:eastAsia="zh-CN"/>
                    </w:rPr>
                    <w:t>含油</w:t>
                  </w:r>
                  <w:r>
                    <w:rPr>
                      <w:rFonts w:hint="eastAsia"/>
                      <w:color w:val="auto"/>
                      <w:szCs w:val="21"/>
                    </w:rPr>
                    <w:t>抹布</w:t>
                  </w:r>
                </w:p>
              </w:tc>
              <w:tc>
                <w:tcPr>
                  <w:tcW w:w="1341" w:type="dxa"/>
                  <w:tcBorders>
                    <w:tl2br w:val="nil"/>
                    <w:tr2bl w:val="nil"/>
                  </w:tcBorders>
                  <w:shd w:val="clear" w:color="auto" w:fill="auto"/>
                  <w:noWrap w:val="0"/>
                  <w:tcMar>
                    <w:left w:w="0" w:type="dxa"/>
                    <w:right w:w="0" w:type="dxa"/>
                  </w:tcMar>
                  <w:vAlign w:val="center"/>
                </w:tcPr>
                <w:p w14:paraId="193F2C97">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Style w:val="130"/>
                      <w:rFonts w:hint="eastAsia"/>
                      <w:color w:val="auto"/>
                      <w:szCs w:val="21"/>
                    </w:rPr>
                    <w:t>设备维修</w:t>
                  </w:r>
                </w:p>
              </w:tc>
              <w:tc>
                <w:tcPr>
                  <w:tcW w:w="916" w:type="pct"/>
                  <w:tcBorders>
                    <w:tl2br w:val="nil"/>
                    <w:tr2bl w:val="nil"/>
                  </w:tcBorders>
                  <w:shd w:val="clear" w:color="auto" w:fill="auto"/>
                  <w:noWrap w:val="0"/>
                  <w:tcMar>
                    <w:left w:w="0" w:type="dxa"/>
                    <w:right w:w="0" w:type="dxa"/>
                  </w:tcMar>
                  <w:vAlign w:val="center"/>
                </w:tcPr>
                <w:p w14:paraId="5EEBEF25">
                  <w:pPr>
                    <w:jc w:val="center"/>
                    <w:rPr>
                      <w:rFonts w:hint="eastAsia" w:ascii="Times New Roman" w:hAnsi="Times New Roman" w:eastAsia="宋体" w:cs="Times New Roman"/>
                      <w:color w:val="auto"/>
                      <w:kern w:val="2"/>
                      <w:sz w:val="21"/>
                      <w:szCs w:val="21"/>
                      <w:lang w:val="en-US" w:eastAsia="zh-CN" w:bidi="ar-SA"/>
                    </w:rPr>
                  </w:pPr>
                  <w:r>
                    <w:rPr>
                      <w:rStyle w:val="130"/>
                      <w:rFonts w:hint="eastAsia"/>
                      <w:color w:val="auto"/>
                      <w:szCs w:val="21"/>
                      <w:lang w:val="en-US" w:eastAsia="zh-CN"/>
                    </w:rPr>
                    <w:t>机油</w:t>
                  </w:r>
                </w:p>
              </w:tc>
              <w:tc>
                <w:tcPr>
                  <w:tcW w:w="766" w:type="pct"/>
                  <w:tcBorders>
                    <w:tl2br w:val="nil"/>
                    <w:tr2bl w:val="nil"/>
                  </w:tcBorders>
                  <w:noWrap w:val="0"/>
                  <w:tcMar>
                    <w:left w:w="0" w:type="dxa"/>
                    <w:right w:w="0" w:type="dxa"/>
                  </w:tcMar>
                  <w:vAlign w:val="center"/>
                </w:tcPr>
                <w:p w14:paraId="656A7F36">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w:t>
                  </w:r>
                </w:p>
              </w:tc>
              <w:tc>
                <w:tcPr>
                  <w:tcW w:w="952" w:type="pct"/>
                  <w:tcBorders>
                    <w:tl2br w:val="nil"/>
                    <w:tr2bl w:val="nil"/>
                  </w:tcBorders>
                  <w:noWrap w:val="0"/>
                  <w:tcMar>
                    <w:left w:w="0" w:type="dxa"/>
                    <w:right w:w="0" w:type="dxa"/>
                  </w:tcMar>
                  <w:vAlign w:val="center"/>
                </w:tcPr>
                <w:p w14:paraId="7D0FE1B4">
                  <w:pPr>
                    <w:pStyle w:val="127"/>
                    <w:keepNext w:val="0"/>
                    <w:keepLines w:val="0"/>
                    <w:pageBreakBefore w:val="0"/>
                    <w:kinsoku/>
                    <w:wordWrap/>
                    <w:overflowPunct/>
                    <w:topLinePunct w:val="0"/>
                    <w:autoSpaceDE/>
                    <w:autoSpaceDN/>
                    <w:bidi w:val="0"/>
                    <w:adjustRightInd/>
                    <w:snapToGrid/>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w:t>
                  </w:r>
                  <w:r>
                    <w:rPr>
                      <w:rFonts w:hint="eastAsia" w:ascii="Times New Roman" w:hAnsi="Times New Roman" w:cs="Times New Roman"/>
                      <w:color w:val="auto"/>
                      <w:lang w:val="en-US" w:eastAsia="zh-CN"/>
                    </w:rPr>
                    <w:t>49</w:t>
                  </w:r>
                </w:p>
                <w:p w14:paraId="3DBBD527">
                  <w:pPr>
                    <w:pStyle w:val="127"/>
                    <w:keepNext w:val="0"/>
                    <w:keepLines w:val="0"/>
                    <w:pageBreakBefore w:val="0"/>
                    <w:kinsoku/>
                    <w:wordWrap/>
                    <w:overflowPunct/>
                    <w:topLinePunct w:val="0"/>
                    <w:autoSpaceDE/>
                    <w:autoSpaceDN/>
                    <w:bidi w:val="0"/>
                    <w:adjustRightInd/>
                    <w:snapToGrid/>
                    <w:ind w:left="0" w:leftChars="0" w:right="0" w:rightChars="0"/>
                    <w:textAlignment w:val="auto"/>
                    <w:rPr>
                      <w:rFonts w:hint="eastAsia"/>
                      <w:color w:val="FF0000"/>
                      <w:lang w:val="en-US" w:eastAsia="zh-CN"/>
                    </w:rPr>
                  </w:pPr>
                  <w:r>
                    <w:rPr>
                      <w:rFonts w:hint="default" w:ascii="Times New Roman" w:hAnsi="Times New Roman" w:cs="Times New Roman"/>
                      <w:color w:val="auto"/>
                      <w:lang w:val="en-US" w:eastAsia="zh-CN"/>
                    </w:rPr>
                    <w:t>900-</w:t>
                  </w:r>
                  <w:r>
                    <w:rPr>
                      <w:rFonts w:hint="eastAsia" w:ascii="Times New Roman" w:hAnsi="Times New Roman" w:cs="Times New Roman"/>
                      <w:color w:val="auto"/>
                      <w:lang w:val="en-US" w:eastAsia="zh-CN"/>
                    </w:rPr>
                    <w:t>041</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49</w:t>
                  </w:r>
                </w:p>
              </w:tc>
              <w:tc>
                <w:tcPr>
                  <w:tcW w:w="556" w:type="pct"/>
                  <w:tcBorders>
                    <w:tl2br w:val="nil"/>
                    <w:tr2bl w:val="nil"/>
                  </w:tcBorders>
                  <w:shd w:val="clear" w:color="auto" w:fill="auto"/>
                  <w:noWrap w:val="0"/>
                  <w:tcMar>
                    <w:left w:w="0" w:type="dxa"/>
                    <w:right w:w="0" w:type="dxa"/>
                  </w:tcMar>
                  <w:vAlign w:val="center"/>
                </w:tcPr>
                <w:p w14:paraId="45CADBB7">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2"/>
                      <w:lang w:val="en-US" w:eastAsia="zh-CN" w:bidi="ar-SA"/>
                    </w:rPr>
                  </w:pPr>
                  <w:r>
                    <w:rPr>
                      <w:rFonts w:hint="eastAsia"/>
                      <w:color w:val="auto"/>
                      <w:szCs w:val="22"/>
                      <w:lang w:val="en-US" w:eastAsia="zh-CN"/>
                    </w:rPr>
                    <w:t>0.05</w:t>
                  </w:r>
                </w:p>
              </w:tc>
            </w:tr>
            <w:tr w14:paraId="77E27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260" w:type="pct"/>
                  <w:tcBorders>
                    <w:tl2br w:val="nil"/>
                    <w:tr2bl w:val="nil"/>
                  </w:tcBorders>
                  <w:noWrap w:val="0"/>
                  <w:tcMar>
                    <w:left w:w="0" w:type="dxa"/>
                    <w:right w:w="0" w:type="dxa"/>
                  </w:tcMar>
                  <w:vAlign w:val="center"/>
                </w:tcPr>
                <w:p w14:paraId="2BCD3FDE">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s="Times New Roman"/>
                      <w:color w:val="auto"/>
                      <w:lang w:val="en-US" w:eastAsia="zh-CN"/>
                    </w:rPr>
                    <w:t>10</w:t>
                  </w:r>
                </w:p>
              </w:tc>
              <w:tc>
                <w:tcPr>
                  <w:tcW w:w="729" w:type="pct"/>
                  <w:tcBorders>
                    <w:tl2br w:val="nil"/>
                    <w:tr2bl w:val="nil"/>
                  </w:tcBorders>
                  <w:shd w:val="clear" w:color="auto" w:fill="auto"/>
                  <w:noWrap w:val="0"/>
                  <w:tcMar>
                    <w:left w:w="0" w:type="dxa"/>
                    <w:right w:w="0" w:type="dxa"/>
                  </w:tcMar>
                  <w:vAlign w:val="center"/>
                </w:tcPr>
                <w:p w14:paraId="31D6030B">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废紫外线灯管</w:t>
                  </w:r>
                </w:p>
              </w:tc>
              <w:tc>
                <w:tcPr>
                  <w:tcW w:w="1341" w:type="dxa"/>
                  <w:tcBorders>
                    <w:tl2br w:val="nil"/>
                    <w:tr2bl w:val="nil"/>
                  </w:tcBorders>
                  <w:shd w:val="clear" w:color="auto" w:fill="auto"/>
                  <w:noWrap w:val="0"/>
                  <w:tcMar>
                    <w:left w:w="0" w:type="dxa"/>
                    <w:right w:w="0" w:type="dxa"/>
                  </w:tcMar>
                  <w:vAlign w:val="center"/>
                </w:tcPr>
                <w:p w14:paraId="00452751">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紫外线消毒设备定期更换紫外线灯管时产生</w:t>
                  </w:r>
                </w:p>
              </w:tc>
              <w:tc>
                <w:tcPr>
                  <w:tcW w:w="916" w:type="pct"/>
                  <w:tcBorders>
                    <w:tl2br w:val="nil"/>
                    <w:tr2bl w:val="nil"/>
                  </w:tcBorders>
                  <w:shd w:val="clear" w:color="auto" w:fill="auto"/>
                  <w:noWrap w:val="0"/>
                  <w:tcMar>
                    <w:left w:w="0" w:type="dxa"/>
                    <w:right w:w="0" w:type="dxa"/>
                  </w:tcMar>
                  <w:vAlign w:val="center"/>
                </w:tcPr>
                <w:p w14:paraId="0D722A8A">
                  <w:pPr>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000000" w:themeColor="text1"/>
                      <w:sz w:val="21"/>
                      <w:szCs w:val="21"/>
                      <w:lang w:val="en-US" w:eastAsia="zh-CN"/>
                      <w14:textFill>
                        <w14:solidFill>
                          <w14:schemeClr w14:val="tx1"/>
                        </w14:solidFill>
                      </w14:textFill>
                    </w:rPr>
                    <w:t>石英、汞</w:t>
                  </w:r>
                </w:p>
              </w:tc>
              <w:tc>
                <w:tcPr>
                  <w:tcW w:w="766" w:type="pct"/>
                  <w:tcBorders>
                    <w:tl2br w:val="nil"/>
                    <w:tr2bl w:val="nil"/>
                  </w:tcBorders>
                  <w:noWrap w:val="0"/>
                  <w:tcMar>
                    <w:left w:w="0" w:type="dxa"/>
                    <w:right w:w="0" w:type="dxa"/>
                  </w:tcMar>
                  <w:vAlign w:val="center"/>
                </w:tcPr>
                <w:p w14:paraId="13B52D18">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w:t>
                  </w:r>
                </w:p>
              </w:tc>
              <w:tc>
                <w:tcPr>
                  <w:tcW w:w="952" w:type="pct"/>
                  <w:tcBorders>
                    <w:tl2br w:val="nil"/>
                    <w:tr2bl w:val="nil"/>
                  </w:tcBorders>
                  <w:noWrap w:val="0"/>
                  <w:tcMar>
                    <w:left w:w="0" w:type="dxa"/>
                    <w:right w:w="0" w:type="dxa"/>
                  </w:tcMar>
                  <w:vAlign w:val="center"/>
                </w:tcPr>
                <w:p w14:paraId="4178958A">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w:t>
                  </w:r>
                  <w:r>
                    <w:rPr>
                      <w:rFonts w:hint="eastAsia" w:cs="Times New Roman"/>
                      <w:color w:val="auto"/>
                      <w:lang w:val="en-US" w:eastAsia="zh-CN"/>
                    </w:rPr>
                    <w:t>2</w:t>
                  </w:r>
                  <w:r>
                    <w:rPr>
                      <w:rFonts w:hint="eastAsia" w:ascii="Times New Roman" w:hAnsi="Times New Roman" w:cs="Times New Roman"/>
                      <w:color w:val="auto"/>
                      <w:lang w:val="en-US" w:eastAsia="zh-CN"/>
                    </w:rPr>
                    <w:t>9</w:t>
                  </w:r>
                </w:p>
                <w:p w14:paraId="26BE12F0">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olor w:val="FF0000"/>
                      <w:lang w:val="en-US" w:eastAsia="zh-CN"/>
                    </w:rPr>
                  </w:pPr>
                  <w:r>
                    <w:rPr>
                      <w:rFonts w:hint="default" w:ascii="Times New Roman" w:hAnsi="Times New Roman" w:cs="Times New Roman"/>
                      <w:color w:val="auto"/>
                      <w:lang w:val="en-US" w:eastAsia="zh-CN"/>
                    </w:rPr>
                    <w:t>900-</w:t>
                  </w:r>
                  <w:r>
                    <w:rPr>
                      <w:rFonts w:hint="eastAsia" w:ascii="Times New Roman" w:hAnsi="Times New Roman" w:cs="Times New Roman"/>
                      <w:color w:val="auto"/>
                      <w:lang w:val="en-US" w:eastAsia="zh-CN"/>
                    </w:rPr>
                    <w:t>0</w:t>
                  </w:r>
                  <w:r>
                    <w:rPr>
                      <w:rFonts w:hint="eastAsia" w:cs="Times New Roman"/>
                      <w:color w:val="auto"/>
                      <w:lang w:val="en-US" w:eastAsia="zh-CN"/>
                    </w:rPr>
                    <w:t>23</w:t>
                  </w:r>
                  <w:r>
                    <w:rPr>
                      <w:rFonts w:hint="default" w:ascii="Times New Roman" w:hAnsi="Times New Roman" w:cs="Times New Roman"/>
                      <w:color w:val="auto"/>
                      <w:lang w:val="en-US" w:eastAsia="zh-CN"/>
                    </w:rPr>
                    <w:t>-</w:t>
                  </w:r>
                  <w:r>
                    <w:rPr>
                      <w:rFonts w:hint="eastAsia" w:cs="Times New Roman"/>
                      <w:color w:val="auto"/>
                      <w:lang w:val="en-US" w:eastAsia="zh-CN"/>
                    </w:rPr>
                    <w:t>2</w:t>
                  </w:r>
                  <w:r>
                    <w:rPr>
                      <w:rFonts w:hint="eastAsia" w:ascii="Times New Roman" w:hAnsi="Times New Roman" w:cs="Times New Roman"/>
                      <w:color w:val="auto"/>
                      <w:lang w:val="en-US" w:eastAsia="zh-CN"/>
                    </w:rPr>
                    <w:t>9</w:t>
                  </w:r>
                </w:p>
              </w:tc>
              <w:tc>
                <w:tcPr>
                  <w:tcW w:w="556" w:type="pct"/>
                  <w:tcBorders>
                    <w:tl2br w:val="nil"/>
                    <w:tr2bl w:val="nil"/>
                  </w:tcBorders>
                  <w:shd w:val="clear" w:color="auto" w:fill="auto"/>
                  <w:noWrap w:val="0"/>
                  <w:tcMar>
                    <w:left w:w="0" w:type="dxa"/>
                    <w:right w:w="0" w:type="dxa"/>
                  </w:tcMar>
                  <w:vAlign w:val="center"/>
                </w:tcPr>
                <w:p w14:paraId="46E43C72">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2"/>
                      <w:lang w:val="en-US" w:eastAsia="zh-CN" w:bidi="ar-SA"/>
                    </w:rPr>
                  </w:pPr>
                  <w:r>
                    <w:rPr>
                      <w:rFonts w:hint="eastAsia"/>
                      <w:color w:val="auto"/>
                      <w:szCs w:val="22"/>
                      <w:lang w:val="en-US" w:eastAsia="zh-CN"/>
                    </w:rPr>
                    <w:t>0.002</w:t>
                  </w:r>
                </w:p>
              </w:tc>
            </w:tr>
            <w:tr w14:paraId="5088E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3" w:type="pct"/>
                  <w:gridSpan w:val="6"/>
                  <w:tcBorders>
                    <w:tl2br w:val="nil"/>
                    <w:tr2bl w:val="nil"/>
                  </w:tcBorders>
                  <w:noWrap w:val="0"/>
                  <w:tcMar>
                    <w:left w:w="0" w:type="dxa"/>
                    <w:right w:w="0" w:type="dxa"/>
                  </w:tcMar>
                  <w:vAlign w:val="center"/>
                </w:tcPr>
                <w:p w14:paraId="304CDE7C">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合计</w:t>
                  </w:r>
                </w:p>
              </w:tc>
              <w:tc>
                <w:tcPr>
                  <w:tcW w:w="556" w:type="pct"/>
                  <w:tcBorders>
                    <w:tl2br w:val="nil"/>
                    <w:tr2bl w:val="nil"/>
                  </w:tcBorders>
                  <w:noWrap w:val="0"/>
                  <w:tcMar>
                    <w:left w:w="0" w:type="dxa"/>
                    <w:right w:w="0" w:type="dxa"/>
                  </w:tcMar>
                  <w:vAlign w:val="center"/>
                </w:tcPr>
                <w:p w14:paraId="1430190C">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560.172</w:t>
                  </w:r>
                </w:p>
              </w:tc>
            </w:tr>
          </w:tbl>
          <w:p w14:paraId="13CE6FC2">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危险废物按照《建设项目危险废物环境影响评价指南》（公告2017年第43号）要求进行评价，本项目危险废物汇总情况详见表4-</w:t>
            </w:r>
            <w:r>
              <w:rPr>
                <w:rFonts w:hint="eastAsia" w:cs="Times New Roman"/>
                <w:color w:val="auto"/>
                <w:kern w:val="2"/>
                <w:sz w:val="24"/>
                <w:szCs w:val="24"/>
                <w:lang w:val="en-US" w:eastAsia="zh-CN" w:bidi="ar-SA"/>
              </w:rPr>
              <w:t>31</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危险废物暂存间</w:t>
            </w:r>
            <w:r>
              <w:rPr>
                <w:rFonts w:hint="default" w:ascii="Times New Roman" w:hAnsi="Times New Roman" w:eastAsia="宋体" w:cs="Times New Roman"/>
                <w:color w:val="auto"/>
                <w:kern w:val="2"/>
                <w:sz w:val="24"/>
                <w:szCs w:val="24"/>
                <w:lang w:val="en-US" w:eastAsia="zh-CN" w:bidi="ar-SA"/>
              </w:rPr>
              <w:t>所情况详见表4-</w:t>
            </w:r>
            <w:r>
              <w:rPr>
                <w:rFonts w:hint="eastAsia" w:cs="Times New Roman"/>
                <w:color w:val="auto"/>
                <w:kern w:val="2"/>
                <w:sz w:val="24"/>
                <w:szCs w:val="24"/>
                <w:lang w:val="en-US" w:eastAsia="zh-CN" w:bidi="ar-SA"/>
              </w:rPr>
              <w:t>32</w:t>
            </w:r>
            <w:r>
              <w:rPr>
                <w:rFonts w:hint="eastAsia" w:ascii="Times New Roman" w:hAnsi="Times New Roman" w:eastAsia="宋体" w:cs="Times New Roman"/>
                <w:color w:val="auto"/>
                <w:kern w:val="2"/>
                <w:sz w:val="24"/>
                <w:szCs w:val="24"/>
                <w:lang w:val="en-US" w:eastAsia="zh-CN" w:bidi="ar-SA"/>
              </w:rPr>
              <w:t>，一般固体废物</w:t>
            </w:r>
            <w:r>
              <w:rPr>
                <w:rFonts w:hint="eastAsia" w:cs="Times New Roman"/>
                <w:color w:val="auto"/>
                <w:kern w:val="2"/>
                <w:sz w:val="24"/>
                <w:szCs w:val="24"/>
                <w:lang w:val="en-US" w:eastAsia="zh-CN" w:bidi="ar-SA"/>
              </w:rPr>
              <w:t>暂存间</w:t>
            </w:r>
            <w:r>
              <w:rPr>
                <w:rFonts w:hint="default" w:ascii="Times New Roman" w:hAnsi="Times New Roman" w:eastAsia="宋体" w:cs="Times New Roman"/>
                <w:color w:val="auto"/>
                <w:kern w:val="2"/>
                <w:sz w:val="24"/>
                <w:szCs w:val="24"/>
                <w:lang w:val="en-US" w:eastAsia="zh-CN" w:bidi="ar-SA"/>
              </w:rPr>
              <w:t>基本情况</w:t>
            </w:r>
            <w:r>
              <w:rPr>
                <w:rFonts w:hint="eastAsia" w:ascii="Times New Roman" w:hAnsi="Times New Roman" w:eastAsia="宋体" w:cs="Times New Roman"/>
                <w:color w:val="auto"/>
                <w:kern w:val="2"/>
                <w:sz w:val="24"/>
                <w:szCs w:val="24"/>
                <w:lang w:val="en-US" w:eastAsia="zh-CN" w:bidi="ar-SA"/>
              </w:rPr>
              <w:t>见表4-</w:t>
            </w:r>
            <w:r>
              <w:rPr>
                <w:rFonts w:hint="eastAsia" w:cs="Times New Roman"/>
                <w:color w:val="auto"/>
                <w:kern w:val="2"/>
                <w:sz w:val="24"/>
                <w:szCs w:val="24"/>
                <w:lang w:val="en-US" w:eastAsia="zh-CN" w:bidi="ar-SA"/>
              </w:rPr>
              <w:t>33</w:t>
            </w:r>
            <w:r>
              <w:rPr>
                <w:rFonts w:hint="eastAsia" w:ascii="Times New Roman" w:hAnsi="Times New Roman" w:eastAsia="宋体" w:cs="Times New Roman"/>
                <w:color w:val="auto"/>
                <w:kern w:val="2"/>
                <w:sz w:val="24"/>
                <w:szCs w:val="24"/>
                <w:lang w:val="en-US" w:eastAsia="zh-CN" w:bidi="ar-SA"/>
              </w:rPr>
              <w:t>。</w:t>
            </w:r>
          </w:p>
          <w:p w14:paraId="0D0ECDFA">
            <w:pPr>
              <w:pStyle w:val="12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表4-</w:t>
            </w:r>
            <w:r>
              <w:rPr>
                <w:rFonts w:hint="eastAsia" w:cs="Times New Roman"/>
                <w:color w:val="auto"/>
                <w:lang w:val="en-US" w:eastAsia="zh-CN"/>
              </w:rPr>
              <w:t>31</w:t>
            </w:r>
            <w:r>
              <w:rPr>
                <w:rFonts w:hint="default" w:ascii="Times New Roman" w:hAnsi="Times New Roman" w:cs="Times New Roman"/>
                <w:color w:val="auto"/>
                <w:lang w:val="en-US" w:eastAsia="zh-CN"/>
              </w:rPr>
              <w:t xml:space="preserve"> </w:t>
            </w:r>
            <w:r>
              <w:rPr>
                <w:rFonts w:hint="eastAsia" w:cs="Times New Roman"/>
                <w:color w:val="auto"/>
                <w:lang w:val="en-US" w:eastAsia="zh-CN"/>
              </w:rPr>
              <w:t xml:space="preserve"> </w:t>
            </w:r>
            <w:r>
              <w:rPr>
                <w:rFonts w:hint="default" w:ascii="Times New Roman" w:hAnsi="Times New Roman" w:cs="Times New Roman"/>
                <w:color w:val="auto"/>
                <w:lang w:val="en-US" w:eastAsia="zh-CN"/>
              </w:rPr>
              <w:t>本项目危险废物汇总表</w:t>
            </w:r>
          </w:p>
          <w:tbl>
            <w:tblPr>
              <w:tblStyle w:val="3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8"/>
              <w:gridCol w:w="865"/>
              <w:gridCol w:w="624"/>
              <w:gridCol w:w="720"/>
              <w:gridCol w:w="678"/>
              <w:gridCol w:w="942"/>
              <w:gridCol w:w="417"/>
              <w:gridCol w:w="861"/>
              <w:gridCol w:w="866"/>
              <w:gridCol w:w="524"/>
              <w:gridCol w:w="537"/>
              <w:gridCol w:w="827"/>
            </w:tblGrid>
            <w:tr w14:paraId="48EDA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4" w:type="pct"/>
                  <w:tcBorders>
                    <w:tl2br w:val="nil"/>
                    <w:tr2bl w:val="nil"/>
                  </w:tcBorders>
                  <w:noWrap w:val="0"/>
                  <w:tcMar>
                    <w:top w:w="0" w:type="dxa"/>
                    <w:left w:w="0" w:type="dxa"/>
                    <w:bottom w:w="0" w:type="dxa"/>
                    <w:right w:w="0" w:type="dxa"/>
                  </w:tcMar>
                  <w:vAlign w:val="center"/>
                </w:tcPr>
                <w:p w14:paraId="3C2AD70B">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528" w:type="pct"/>
                  <w:tcBorders>
                    <w:tl2br w:val="nil"/>
                    <w:tr2bl w:val="nil"/>
                  </w:tcBorders>
                  <w:noWrap w:val="0"/>
                  <w:tcMar>
                    <w:top w:w="0" w:type="dxa"/>
                    <w:left w:w="0" w:type="dxa"/>
                    <w:bottom w:w="0" w:type="dxa"/>
                    <w:right w:w="0" w:type="dxa"/>
                  </w:tcMar>
                  <w:vAlign w:val="center"/>
                </w:tcPr>
                <w:p w14:paraId="50DA981E">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危废名称</w:t>
                  </w:r>
                </w:p>
              </w:tc>
              <w:tc>
                <w:tcPr>
                  <w:tcW w:w="381" w:type="pct"/>
                  <w:tcBorders>
                    <w:tl2br w:val="nil"/>
                    <w:tr2bl w:val="nil"/>
                  </w:tcBorders>
                  <w:noWrap w:val="0"/>
                  <w:tcMar>
                    <w:top w:w="0" w:type="dxa"/>
                    <w:left w:w="0" w:type="dxa"/>
                    <w:bottom w:w="0" w:type="dxa"/>
                    <w:right w:w="0" w:type="dxa"/>
                  </w:tcMar>
                  <w:vAlign w:val="center"/>
                </w:tcPr>
                <w:p w14:paraId="45CE182C">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危废类别</w:t>
                  </w:r>
                </w:p>
              </w:tc>
              <w:tc>
                <w:tcPr>
                  <w:tcW w:w="440" w:type="pct"/>
                  <w:tcBorders>
                    <w:tl2br w:val="nil"/>
                    <w:tr2bl w:val="nil"/>
                  </w:tcBorders>
                  <w:noWrap w:val="0"/>
                  <w:tcMar>
                    <w:top w:w="0" w:type="dxa"/>
                    <w:left w:w="0" w:type="dxa"/>
                    <w:bottom w:w="0" w:type="dxa"/>
                    <w:right w:w="0" w:type="dxa"/>
                  </w:tcMar>
                  <w:vAlign w:val="center"/>
                </w:tcPr>
                <w:p w14:paraId="19103118">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危废代码</w:t>
                  </w:r>
                </w:p>
              </w:tc>
              <w:tc>
                <w:tcPr>
                  <w:tcW w:w="414" w:type="pct"/>
                  <w:tcBorders>
                    <w:tl2br w:val="nil"/>
                    <w:tr2bl w:val="nil"/>
                  </w:tcBorders>
                  <w:noWrap w:val="0"/>
                  <w:tcMar>
                    <w:top w:w="0" w:type="dxa"/>
                    <w:left w:w="0" w:type="dxa"/>
                    <w:bottom w:w="0" w:type="dxa"/>
                    <w:right w:w="0" w:type="dxa"/>
                  </w:tcMar>
                  <w:vAlign w:val="center"/>
                </w:tcPr>
                <w:p w14:paraId="37FA0084">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产生量(t/a)</w:t>
                  </w:r>
                </w:p>
              </w:tc>
              <w:tc>
                <w:tcPr>
                  <w:tcW w:w="575" w:type="pct"/>
                  <w:tcBorders>
                    <w:tl2br w:val="nil"/>
                    <w:tr2bl w:val="nil"/>
                  </w:tcBorders>
                  <w:noWrap w:val="0"/>
                  <w:tcMar>
                    <w:top w:w="0" w:type="dxa"/>
                    <w:left w:w="0" w:type="dxa"/>
                    <w:bottom w:w="0" w:type="dxa"/>
                    <w:right w:w="0" w:type="dxa"/>
                  </w:tcMar>
                  <w:vAlign w:val="center"/>
                </w:tcPr>
                <w:p w14:paraId="720AF23A">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产生工序</w:t>
                  </w:r>
                </w:p>
              </w:tc>
              <w:tc>
                <w:tcPr>
                  <w:tcW w:w="254" w:type="pct"/>
                  <w:tcBorders>
                    <w:tl2br w:val="nil"/>
                    <w:tr2bl w:val="nil"/>
                  </w:tcBorders>
                  <w:noWrap w:val="0"/>
                  <w:tcMar>
                    <w:top w:w="0" w:type="dxa"/>
                    <w:left w:w="0" w:type="dxa"/>
                    <w:bottom w:w="0" w:type="dxa"/>
                    <w:right w:w="0" w:type="dxa"/>
                  </w:tcMar>
                  <w:vAlign w:val="center"/>
                </w:tcPr>
                <w:p w14:paraId="40F83D10">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形态</w:t>
                  </w:r>
                </w:p>
              </w:tc>
              <w:tc>
                <w:tcPr>
                  <w:tcW w:w="526" w:type="pct"/>
                  <w:tcBorders>
                    <w:tl2br w:val="nil"/>
                    <w:tr2bl w:val="nil"/>
                  </w:tcBorders>
                  <w:noWrap w:val="0"/>
                  <w:tcMar>
                    <w:top w:w="0" w:type="dxa"/>
                    <w:left w:w="0" w:type="dxa"/>
                    <w:bottom w:w="0" w:type="dxa"/>
                    <w:right w:w="0" w:type="dxa"/>
                  </w:tcMar>
                  <w:vAlign w:val="center"/>
                </w:tcPr>
                <w:p w14:paraId="2BFF07A0">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主要成分</w:t>
                  </w:r>
                </w:p>
              </w:tc>
              <w:tc>
                <w:tcPr>
                  <w:tcW w:w="529" w:type="pct"/>
                  <w:tcBorders>
                    <w:tl2br w:val="nil"/>
                    <w:tr2bl w:val="nil"/>
                  </w:tcBorders>
                  <w:noWrap w:val="0"/>
                  <w:tcMar>
                    <w:top w:w="0" w:type="dxa"/>
                    <w:left w:w="0" w:type="dxa"/>
                    <w:bottom w:w="0" w:type="dxa"/>
                    <w:right w:w="0" w:type="dxa"/>
                  </w:tcMar>
                  <w:vAlign w:val="center"/>
                </w:tcPr>
                <w:p w14:paraId="6F007E0A">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有害成分</w:t>
                  </w:r>
                </w:p>
              </w:tc>
              <w:tc>
                <w:tcPr>
                  <w:tcW w:w="320" w:type="pct"/>
                  <w:tcBorders>
                    <w:tl2br w:val="nil"/>
                    <w:tr2bl w:val="nil"/>
                  </w:tcBorders>
                  <w:noWrap w:val="0"/>
                  <w:tcMar>
                    <w:top w:w="0" w:type="dxa"/>
                    <w:left w:w="0" w:type="dxa"/>
                    <w:bottom w:w="0" w:type="dxa"/>
                    <w:right w:w="0" w:type="dxa"/>
                  </w:tcMar>
                  <w:vAlign w:val="center"/>
                </w:tcPr>
                <w:p w14:paraId="1213967C">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产废周期</w:t>
                  </w:r>
                </w:p>
              </w:tc>
              <w:tc>
                <w:tcPr>
                  <w:tcW w:w="328" w:type="pct"/>
                  <w:tcBorders>
                    <w:tl2br w:val="nil"/>
                    <w:tr2bl w:val="nil"/>
                  </w:tcBorders>
                  <w:noWrap w:val="0"/>
                  <w:tcMar>
                    <w:top w:w="0" w:type="dxa"/>
                    <w:left w:w="0" w:type="dxa"/>
                    <w:bottom w:w="0" w:type="dxa"/>
                    <w:right w:w="0" w:type="dxa"/>
                  </w:tcMar>
                  <w:vAlign w:val="center"/>
                </w:tcPr>
                <w:p w14:paraId="062FCDC7">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危险特性</w:t>
                  </w:r>
                </w:p>
              </w:tc>
              <w:tc>
                <w:tcPr>
                  <w:tcW w:w="505" w:type="pct"/>
                  <w:tcBorders>
                    <w:tl2br w:val="nil"/>
                    <w:tr2bl w:val="nil"/>
                  </w:tcBorders>
                  <w:noWrap w:val="0"/>
                  <w:tcMar>
                    <w:top w:w="0" w:type="dxa"/>
                    <w:left w:w="0" w:type="dxa"/>
                    <w:bottom w:w="0" w:type="dxa"/>
                    <w:right w:w="0" w:type="dxa"/>
                  </w:tcMar>
                  <w:vAlign w:val="center"/>
                </w:tcPr>
                <w:p w14:paraId="45C1D681">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污染防治措施</w:t>
                  </w:r>
                </w:p>
              </w:tc>
            </w:tr>
            <w:tr w14:paraId="23CCD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3" w:hRule="atLeast"/>
                <w:jc w:val="center"/>
              </w:trPr>
              <w:tc>
                <w:tcPr>
                  <w:tcW w:w="194" w:type="pct"/>
                  <w:tcBorders>
                    <w:tl2br w:val="nil"/>
                    <w:tr2bl w:val="nil"/>
                  </w:tcBorders>
                  <w:noWrap w:val="0"/>
                  <w:tcMar>
                    <w:top w:w="0" w:type="dxa"/>
                    <w:left w:w="0" w:type="dxa"/>
                    <w:bottom w:w="0" w:type="dxa"/>
                    <w:right w:w="0" w:type="dxa"/>
                  </w:tcMar>
                  <w:vAlign w:val="center"/>
                </w:tcPr>
                <w:p w14:paraId="5D606B17">
                  <w:pPr>
                    <w:pStyle w:val="12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528" w:type="pct"/>
                  <w:tcBorders>
                    <w:tl2br w:val="nil"/>
                    <w:tr2bl w:val="nil"/>
                  </w:tcBorders>
                  <w:noWrap w:val="0"/>
                  <w:tcMar>
                    <w:top w:w="0" w:type="dxa"/>
                    <w:left w:w="0" w:type="dxa"/>
                    <w:bottom w:w="0" w:type="dxa"/>
                    <w:right w:w="0" w:type="dxa"/>
                  </w:tcMar>
                  <w:vAlign w:val="center"/>
                </w:tcPr>
                <w:p w14:paraId="489F8E4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废机油</w:t>
                  </w:r>
                </w:p>
              </w:tc>
              <w:tc>
                <w:tcPr>
                  <w:tcW w:w="381" w:type="pct"/>
                  <w:tcBorders>
                    <w:tl2br w:val="nil"/>
                    <w:tr2bl w:val="nil"/>
                  </w:tcBorders>
                  <w:noWrap w:val="0"/>
                  <w:tcMar>
                    <w:top w:w="0" w:type="dxa"/>
                    <w:left w:w="0" w:type="dxa"/>
                    <w:bottom w:w="0" w:type="dxa"/>
                    <w:right w:w="0" w:type="dxa"/>
                  </w:tcMar>
                  <w:vAlign w:val="center"/>
                </w:tcPr>
                <w:p w14:paraId="4890D345">
                  <w:pPr>
                    <w:pStyle w:val="127"/>
                    <w:ind w:left="19" w:leftChars="9" w:right="19" w:rightChars="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HW08</w:t>
                  </w:r>
                </w:p>
              </w:tc>
              <w:tc>
                <w:tcPr>
                  <w:tcW w:w="440" w:type="pct"/>
                  <w:tcBorders>
                    <w:tl2br w:val="nil"/>
                    <w:tr2bl w:val="nil"/>
                  </w:tcBorders>
                  <w:noWrap w:val="0"/>
                  <w:tcMar>
                    <w:top w:w="0" w:type="dxa"/>
                    <w:left w:w="0" w:type="dxa"/>
                    <w:bottom w:w="0" w:type="dxa"/>
                    <w:right w:w="0" w:type="dxa"/>
                  </w:tcMar>
                  <w:vAlign w:val="center"/>
                </w:tcPr>
                <w:p w14:paraId="0D1F51CA">
                  <w:pPr>
                    <w:pStyle w:val="127"/>
                    <w:bidi w:val="0"/>
                    <w:ind w:left="0" w:leftChars="0" w:right="0" w:righ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900-214-08</w:t>
                  </w:r>
                </w:p>
              </w:tc>
              <w:tc>
                <w:tcPr>
                  <w:tcW w:w="414" w:type="pct"/>
                  <w:tcBorders>
                    <w:tl2br w:val="nil"/>
                    <w:tr2bl w:val="nil"/>
                  </w:tcBorders>
                  <w:noWrap w:val="0"/>
                  <w:tcMar>
                    <w:top w:w="0" w:type="dxa"/>
                    <w:left w:w="0" w:type="dxa"/>
                    <w:bottom w:w="0" w:type="dxa"/>
                    <w:right w:w="0" w:type="dxa"/>
                  </w:tcMar>
                  <w:vAlign w:val="center"/>
                </w:tcPr>
                <w:p w14:paraId="592AC26D">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eastAsia" w:cs="Times New Roman"/>
                      <w:color w:val="auto"/>
                      <w:lang w:val="en-US" w:eastAsia="zh-CN"/>
                    </w:rPr>
                    <w:t>0.1</w:t>
                  </w:r>
                </w:p>
              </w:tc>
              <w:tc>
                <w:tcPr>
                  <w:tcW w:w="575" w:type="pct"/>
                  <w:tcBorders>
                    <w:tl2br w:val="nil"/>
                    <w:tr2bl w:val="nil"/>
                  </w:tcBorders>
                  <w:noWrap w:val="0"/>
                  <w:tcMar>
                    <w:top w:w="0" w:type="dxa"/>
                    <w:left w:w="0" w:type="dxa"/>
                    <w:bottom w:w="0" w:type="dxa"/>
                    <w:right w:w="0" w:type="dxa"/>
                  </w:tcMar>
                  <w:vAlign w:val="center"/>
                </w:tcPr>
                <w:p w14:paraId="4077EEE5">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Style w:val="130"/>
                      <w:rFonts w:hint="eastAsia"/>
                      <w:color w:val="auto"/>
                      <w:szCs w:val="21"/>
                    </w:rPr>
                    <w:t>设备维修</w:t>
                  </w:r>
                </w:p>
              </w:tc>
              <w:tc>
                <w:tcPr>
                  <w:tcW w:w="254" w:type="pct"/>
                  <w:tcBorders>
                    <w:tl2br w:val="nil"/>
                    <w:tr2bl w:val="nil"/>
                  </w:tcBorders>
                  <w:noWrap w:val="0"/>
                  <w:tcMar>
                    <w:top w:w="0" w:type="dxa"/>
                    <w:left w:w="0" w:type="dxa"/>
                    <w:bottom w:w="0" w:type="dxa"/>
                    <w:right w:w="0" w:type="dxa"/>
                  </w:tcMar>
                  <w:vAlign w:val="center"/>
                </w:tcPr>
                <w:p w14:paraId="4A2A0163">
                  <w:pPr>
                    <w:bidi w:val="0"/>
                    <w:ind w:left="19" w:leftChars="9" w:right="19" w:rightChars="9"/>
                    <w:jc w:val="center"/>
                    <w:rPr>
                      <w:rFonts w:hint="default" w:ascii="Times New Roman" w:hAnsi="Times New Roman" w:cs="Times New Roman"/>
                      <w:color w:val="auto"/>
                      <w:lang w:val="en-US" w:eastAsia="zh-CN"/>
                    </w:rPr>
                  </w:pPr>
                  <w:r>
                    <w:rPr>
                      <w:rFonts w:hint="eastAsia"/>
                      <w:color w:val="auto"/>
                      <w:lang w:val="en-US" w:eastAsia="zh-CN"/>
                    </w:rPr>
                    <w:t>液态</w:t>
                  </w:r>
                </w:p>
              </w:tc>
              <w:tc>
                <w:tcPr>
                  <w:tcW w:w="526" w:type="pct"/>
                  <w:tcBorders>
                    <w:tl2br w:val="nil"/>
                    <w:tr2bl w:val="nil"/>
                  </w:tcBorders>
                  <w:noWrap w:val="0"/>
                  <w:tcMar>
                    <w:top w:w="0" w:type="dxa"/>
                    <w:left w:w="0" w:type="dxa"/>
                    <w:bottom w:w="0" w:type="dxa"/>
                    <w:right w:w="0" w:type="dxa"/>
                  </w:tcMar>
                  <w:vAlign w:val="center"/>
                </w:tcPr>
                <w:p w14:paraId="5B48D674">
                  <w:pPr>
                    <w:jc w:val="center"/>
                    <w:rPr>
                      <w:rFonts w:hint="default" w:ascii="Times New Roman" w:hAnsi="Times New Roman" w:cs="Times New Roman"/>
                      <w:color w:val="auto"/>
                      <w:lang w:val="en-US" w:eastAsia="zh-CN"/>
                    </w:rPr>
                  </w:pPr>
                  <w:r>
                    <w:rPr>
                      <w:rStyle w:val="130"/>
                      <w:rFonts w:hint="eastAsia"/>
                      <w:color w:val="auto"/>
                      <w:szCs w:val="21"/>
                      <w:lang w:val="en-US" w:eastAsia="zh-CN"/>
                    </w:rPr>
                    <w:t>机油</w:t>
                  </w:r>
                </w:p>
              </w:tc>
              <w:tc>
                <w:tcPr>
                  <w:tcW w:w="529" w:type="pct"/>
                  <w:tcBorders>
                    <w:tl2br w:val="nil"/>
                    <w:tr2bl w:val="nil"/>
                  </w:tcBorders>
                  <w:noWrap w:val="0"/>
                  <w:tcMar>
                    <w:top w:w="0" w:type="dxa"/>
                    <w:left w:w="0" w:type="dxa"/>
                    <w:bottom w:w="0" w:type="dxa"/>
                    <w:right w:w="0" w:type="dxa"/>
                  </w:tcMar>
                  <w:vAlign w:val="center"/>
                </w:tcPr>
                <w:p w14:paraId="687D641F">
                  <w:pPr>
                    <w:jc w:val="center"/>
                    <w:rPr>
                      <w:rFonts w:hint="default" w:ascii="Times New Roman" w:hAnsi="Times New Roman" w:cs="Times New Roman"/>
                      <w:color w:val="auto"/>
                      <w:lang w:eastAsia="zh-CN"/>
                    </w:rPr>
                  </w:pPr>
                  <w:r>
                    <w:rPr>
                      <w:rStyle w:val="130"/>
                      <w:rFonts w:hint="eastAsia"/>
                      <w:color w:val="auto"/>
                      <w:szCs w:val="21"/>
                      <w:lang w:val="en-US" w:eastAsia="zh-CN"/>
                    </w:rPr>
                    <w:t>机油</w:t>
                  </w:r>
                </w:p>
              </w:tc>
              <w:tc>
                <w:tcPr>
                  <w:tcW w:w="320" w:type="pct"/>
                  <w:vMerge w:val="restart"/>
                  <w:tcBorders>
                    <w:tl2br w:val="nil"/>
                    <w:tr2bl w:val="nil"/>
                  </w:tcBorders>
                  <w:noWrap w:val="0"/>
                  <w:tcMar>
                    <w:top w:w="0" w:type="dxa"/>
                    <w:left w:w="0" w:type="dxa"/>
                    <w:bottom w:w="0" w:type="dxa"/>
                    <w:right w:w="0" w:type="dxa"/>
                  </w:tcMar>
                  <w:vAlign w:val="center"/>
                </w:tcPr>
                <w:p w14:paraId="3F2C35D6">
                  <w:pPr>
                    <w:pStyle w:val="127"/>
                    <w:ind w:left="0" w:leftChars="0" w:right="0" w:rightChars="0"/>
                    <w:rPr>
                      <w:rFonts w:hint="default" w:ascii="Times New Roman" w:hAnsi="Times New Roman" w:cs="Times New Roman"/>
                      <w:color w:val="auto"/>
                      <w:lang w:val="en-US" w:eastAsia="zh-CN"/>
                    </w:rPr>
                  </w:pPr>
                  <w:r>
                    <w:rPr>
                      <w:rFonts w:hint="eastAsia" w:cs="Times New Roman"/>
                      <w:color w:val="auto"/>
                      <w:lang w:val="en-US" w:eastAsia="zh-CN"/>
                    </w:rPr>
                    <w:t>三个月一</w:t>
                  </w:r>
                  <w:r>
                    <w:rPr>
                      <w:rFonts w:hint="default" w:ascii="Times New Roman" w:hAnsi="Times New Roman" w:cs="Times New Roman"/>
                      <w:color w:val="auto"/>
                      <w:lang w:val="en-US" w:eastAsia="zh-CN"/>
                    </w:rPr>
                    <w:t>次</w:t>
                  </w:r>
                </w:p>
              </w:tc>
              <w:tc>
                <w:tcPr>
                  <w:tcW w:w="328" w:type="pct"/>
                  <w:tcBorders>
                    <w:tl2br w:val="nil"/>
                    <w:tr2bl w:val="nil"/>
                  </w:tcBorders>
                  <w:noWrap w:val="0"/>
                  <w:tcMar>
                    <w:top w:w="0" w:type="dxa"/>
                    <w:left w:w="0" w:type="dxa"/>
                    <w:bottom w:w="0" w:type="dxa"/>
                    <w:right w:w="0" w:type="dxa"/>
                  </w:tcMar>
                  <w:vAlign w:val="center"/>
                </w:tcPr>
                <w:p w14:paraId="4459FA27">
                  <w:pPr>
                    <w:pStyle w:val="127"/>
                    <w:ind w:left="0" w:leftChars="0" w:right="0" w:rightChars="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0"/>
                      <w:sz w:val="21"/>
                      <w:szCs w:val="21"/>
                      <w:lang w:val="en-US" w:eastAsia="zh-CN"/>
                    </w:rPr>
                    <w:t>T</w:t>
                  </w:r>
                </w:p>
              </w:tc>
              <w:tc>
                <w:tcPr>
                  <w:tcW w:w="505" w:type="pct"/>
                  <w:vMerge w:val="restart"/>
                  <w:tcBorders>
                    <w:tl2br w:val="nil"/>
                    <w:tr2bl w:val="nil"/>
                  </w:tcBorders>
                  <w:noWrap w:val="0"/>
                  <w:tcMar>
                    <w:top w:w="0" w:type="dxa"/>
                    <w:left w:w="0" w:type="dxa"/>
                    <w:bottom w:w="0" w:type="dxa"/>
                    <w:right w:w="0" w:type="dxa"/>
                  </w:tcMar>
                  <w:vAlign w:val="center"/>
                </w:tcPr>
                <w:p w14:paraId="72592308">
                  <w:pPr>
                    <w:keepNext w:val="0"/>
                    <w:keepLines w:val="0"/>
                    <w:pageBreakBefore w:val="0"/>
                    <w:widowControl w:val="0"/>
                    <w:kinsoku/>
                    <w:wordWrap/>
                    <w:overflowPunct/>
                    <w:topLinePunct w:val="0"/>
                    <w:autoSpaceDE/>
                    <w:autoSpaceDN/>
                    <w:bidi w:val="0"/>
                    <w:adjustRightInd/>
                    <w:spacing w:line="3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分类收集后</w:t>
                  </w:r>
                  <w:r>
                    <w:rPr>
                      <w:rFonts w:hint="default" w:ascii="Times New Roman" w:hAnsi="Times New Roman" w:eastAsia="宋体" w:cs="Times New Roman"/>
                      <w:color w:val="auto"/>
                      <w:sz w:val="21"/>
                      <w:szCs w:val="21"/>
                      <w:highlight w:val="none"/>
                    </w:rPr>
                    <w:t>暂存于危废暂存间</w:t>
                  </w:r>
                  <w:r>
                    <w:rPr>
                      <w:rFonts w:hint="eastAsia" w:ascii="Times New Roman" w:hAnsi="Times New Roman" w:eastAsia="宋体" w:cs="Times New Roman"/>
                      <w:color w:val="auto"/>
                      <w:sz w:val="21"/>
                      <w:szCs w:val="21"/>
                      <w:highlight w:val="none"/>
                      <w:vertAlign w:val="baseline"/>
                      <w:lang w:val="en-US" w:eastAsia="zh-CN"/>
                    </w:rPr>
                    <w:t>，</w:t>
                  </w:r>
                </w:p>
                <w:p w14:paraId="03D6D8F3">
                  <w:pPr>
                    <w:pStyle w:val="127"/>
                    <w:bidi w:val="0"/>
                    <w:ind w:left="19" w:leftChars="9" w:right="19" w:rightChars="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交由</w:t>
                  </w:r>
                  <w:r>
                    <w:rPr>
                      <w:rFonts w:hint="default"/>
                      <w:color w:val="auto"/>
                      <w:sz w:val="21"/>
                      <w:szCs w:val="21"/>
                      <w:lang w:val="en-US" w:eastAsia="zh-CN"/>
                    </w:rPr>
                    <w:t>有</w:t>
                  </w:r>
                  <w:r>
                    <w:rPr>
                      <w:rFonts w:hint="default"/>
                      <w:color w:val="000000" w:themeColor="text1"/>
                      <w:sz w:val="21"/>
                      <w:szCs w:val="21"/>
                      <w:lang w:val="zh-CN" w:eastAsia="zh-CN"/>
                      <w14:textFill>
                        <w14:solidFill>
                          <w14:schemeClr w14:val="tx1"/>
                        </w14:solidFill>
                      </w14:textFill>
                    </w:rPr>
                    <w:t>危险废物处置资质</w:t>
                  </w:r>
                  <w:r>
                    <w:rPr>
                      <w:rFonts w:hint="default" w:ascii="Times New Roman" w:hAnsi="Times New Roman" w:eastAsia="宋体" w:cs="Times New Roman"/>
                      <w:color w:val="auto"/>
                      <w:sz w:val="21"/>
                      <w:szCs w:val="21"/>
                      <w:highlight w:val="none"/>
                      <w:lang w:val="en-US" w:eastAsia="zh-CN"/>
                    </w:rPr>
                    <w:t>的单位</w:t>
                  </w:r>
                  <w:r>
                    <w:rPr>
                      <w:rFonts w:hint="eastAsia" w:cs="Times New Roman"/>
                      <w:color w:val="auto"/>
                      <w:sz w:val="21"/>
                      <w:szCs w:val="21"/>
                      <w:highlight w:val="none"/>
                      <w:lang w:val="en-US" w:eastAsia="zh-CN"/>
                    </w:rPr>
                    <w:t>处理</w:t>
                  </w:r>
                </w:p>
              </w:tc>
            </w:tr>
            <w:tr w14:paraId="286EA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30" w:hRule="atLeast"/>
                <w:jc w:val="center"/>
              </w:trPr>
              <w:tc>
                <w:tcPr>
                  <w:tcW w:w="194" w:type="pct"/>
                  <w:tcBorders>
                    <w:tl2br w:val="nil"/>
                    <w:tr2bl w:val="nil"/>
                  </w:tcBorders>
                  <w:noWrap w:val="0"/>
                  <w:tcMar>
                    <w:top w:w="0" w:type="dxa"/>
                    <w:left w:w="0" w:type="dxa"/>
                    <w:bottom w:w="0" w:type="dxa"/>
                    <w:right w:w="0" w:type="dxa"/>
                  </w:tcMar>
                  <w:vAlign w:val="center"/>
                </w:tcPr>
                <w:p w14:paraId="7EA835F2">
                  <w:pPr>
                    <w:pStyle w:val="12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528" w:type="pct"/>
                  <w:tcBorders>
                    <w:tl2br w:val="nil"/>
                    <w:tr2bl w:val="nil"/>
                  </w:tcBorders>
                  <w:noWrap w:val="0"/>
                  <w:tcMar>
                    <w:top w:w="0" w:type="dxa"/>
                    <w:left w:w="0" w:type="dxa"/>
                    <w:bottom w:w="0" w:type="dxa"/>
                    <w:right w:w="0" w:type="dxa"/>
                  </w:tcMar>
                  <w:vAlign w:val="center"/>
                </w:tcPr>
                <w:p w14:paraId="34BD6F7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color w:val="auto"/>
                      <w:szCs w:val="21"/>
                    </w:rPr>
                    <w:t>废</w:t>
                  </w:r>
                  <w:r>
                    <w:rPr>
                      <w:rFonts w:hint="eastAsia"/>
                      <w:color w:val="auto"/>
                      <w:szCs w:val="21"/>
                      <w:lang w:val="en-US" w:eastAsia="zh-CN"/>
                    </w:rPr>
                    <w:t>含油</w:t>
                  </w:r>
                  <w:r>
                    <w:rPr>
                      <w:rFonts w:hint="eastAsia"/>
                      <w:color w:val="auto"/>
                      <w:szCs w:val="21"/>
                    </w:rPr>
                    <w:t>抹布</w:t>
                  </w:r>
                </w:p>
              </w:tc>
              <w:tc>
                <w:tcPr>
                  <w:tcW w:w="381" w:type="pct"/>
                  <w:tcBorders>
                    <w:tl2br w:val="nil"/>
                    <w:tr2bl w:val="nil"/>
                  </w:tcBorders>
                  <w:noWrap w:val="0"/>
                  <w:tcMar>
                    <w:top w:w="0" w:type="dxa"/>
                    <w:left w:w="0" w:type="dxa"/>
                    <w:bottom w:w="0" w:type="dxa"/>
                    <w:right w:w="0" w:type="dxa"/>
                  </w:tcMar>
                  <w:vAlign w:val="center"/>
                </w:tcPr>
                <w:p w14:paraId="1C1373FF">
                  <w:pPr>
                    <w:pStyle w:val="127"/>
                    <w:ind w:left="19" w:leftChars="9" w:right="19" w:rightChars="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HW</w:t>
                  </w:r>
                  <w:r>
                    <w:rPr>
                      <w:rFonts w:hint="eastAsia" w:ascii="Times New Roman" w:hAnsi="Times New Roman" w:cs="Times New Roman"/>
                      <w:color w:val="auto"/>
                      <w:lang w:val="en-US" w:eastAsia="zh-CN"/>
                    </w:rPr>
                    <w:t>49</w:t>
                  </w:r>
                </w:p>
              </w:tc>
              <w:tc>
                <w:tcPr>
                  <w:tcW w:w="440" w:type="pct"/>
                  <w:tcBorders>
                    <w:tl2br w:val="nil"/>
                    <w:tr2bl w:val="nil"/>
                  </w:tcBorders>
                  <w:noWrap w:val="0"/>
                  <w:tcMar>
                    <w:top w:w="0" w:type="dxa"/>
                    <w:left w:w="0" w:type="dxa"/>
                    <w:bottom w:w="0" w:type="dxa"/>
                    <w:right w:w="0" w:type="dxa"/>
                  </w:tcMar>
                  <w:vAlign w:val="center"/>
                </w:tcPr>
                <w:p w14:paraId="41E0BCA2">
                  <w:pPr>
                    <w:pStyle w:val="12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900-</w:t>
                  </w:r>
                  <w:r>
                    <w:rPr>
                      <w:rFonts w:hint="eastAsia" w:ascii="Times New Roman" w:hAnsi="Times New Roman" w:cs="Times New Roman"/>
                      <w:color w:val="auto"/>
                      <w:lang w:val="en-US" w:eastAsia="zh-CN"/>
                    </w:rPr>
                    <w:t>041</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49</w:t>
                  </w:r>
                </w:p>
              </w:tc>
              <w:tc>
                <w:tcPr>
                  <w:tcW w:w="414" w:type="pct"/>
                  <w:tcBorders>
                    <w:tl2br w:val="nil"/>
                    <w:tr2bl w:val="nil"/>
                  </w:tcBorders>
                  <w:noWrap w:val="0"/>
                  <w:tcMar>
                    <w:top w:w="0" w:type="dxa"/>
                    <w:left w:w="0" w:type="dxa"/>
                    <w:bottom w:w="0" w:type="dxa"/>
                    <w:right w:w="0" w:type="dxa"/>
                  </w:tcMar>
                  <w:vAlign w:val="center"/>
                </w:tcPr>
                <w:p w14:paraId="58F15BE0">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lang w:val="en-US" w:eastAsia="zh-CN"/>
                    </w:rPr>
                  </w:pPr>
                  <w:r>
                    <w:rPr>
                      <w:rFonts w:hint="eastAsia"/>
                      <w:color w:val="auto"/>
                      <w:szCs w:val="22"/>
                      <w:lang w:val="en-US" w:eastAsia="zh-CN"/>
                    </w:rPr>
                    <w:t>0.05</w:t>
                  </w:r>
                </w:p>
              </w:tc>
              <w:tc>
                <w:tcPr>
                  <w:tcW w:w="575" w:type="pct"/>
                  <w:tcBorders>
                    <w:tl2br w:val="nil"/>
                    <w:tr2bl w:val="nil"/>
                  </w:tcBorders>
                  <w:noWrap w:val="0"/>
                  <w:tcMar>
                    <w:top w:w="0" w:type="dxa"/>
                    <w:left w:w="0" w:type="dxa"/>
                    <w:bottom w:w="0" w:type="dxa"/>
                    <w:right w:w="0" w:type="dxa"/>
                  </w:tcMar>
                  <w:vAlign w:val="center"/>
                </w:tcPr>
                <w:p w14:paraId="46E66DB0">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Style w:val="130"/>
                      <w:rFonts w:hint="eastAsia"/>
                      <w:color w:val="auto"/>
                      <w:szCs w:val="21"/>
                    </w:rPr>
                    <w:t>设备维修</w:t>
                  </w:r>
                </w:p>
              </w:tc>
              <w:tc>
                <w:tcPr>
                  <w:tcW w:w="254" w:type="pct"/>
                  <w:tcBorders>
                    <w:tl2br w:val="nil"/>
                    <w:tr2bl w:val="nil"/>
                  </w:tcBorders>
                  <w:noWrap w:val="0"/>
                  <w:tcMar>
                    <w:top w:w="0" w:type="dxa"/>
                    <w:left w:w="0" w:type="dxa"/>
                    <w:bottom w:w="0" w:type="dxa"/>
                    <w:right w:w="0" w:type="dxa"/>
                  </w:tcMar>
                  <w:vAlign w:val="center"/>
                </w:tcPr>
                <w:p w14:paraId="27FCD748">
                  <w:pPr>
                    <w:bidi w:val="0"/>
                    <w:ind w:left="19" w:leftChars="9" w:right="19" w:rightChars="9"/>
                    <w:jc w:val="center"/>
                    <w:rPr>
                      <w:rFonts w:hint="default" w:ascii="Times New Roman" w:hAnsi="Times New Roman" w:eastAsia="宋体" w:cs="Times New Roman"/>
                      <w:color w:val="auto"/>
                      <w:lang w:val="en-US" w:eastAsia="zh-CN"/>
                    </w:rPr>
                  </w:pPr>
                  <w:r>
                    <w:rPr>
                      <w:rFonts w:hint="eastAsia"/>
                      <w:color w:val="auto"/>
                      <w:lang w:val="en-US" w:eastAsia="zh-CN"/>
                    </w:rPr>
                    <w:t>固态</w:t>
                  </w:r>
                </w:p>
              </w:tc>
              <w:tc>
                <w:tcPr>
                  <w:tcW w:w="526" w:type="pct"/>
                  <w:tcBorders>
                    <w:tl2br w:val="nil"/>
                    <w:tr2bl w:val="nil"/>
                  </w:tcBorders>
                  <w:noWrap w:val="0"/>
                  <w:tcMar>
                    <w:top w:w="0" w:type="dxa"/>
                    <w:left w:w="0" w:type="dxa"/>
                    <w:bottom w:w="0" w:type="dxa"/>
                    <w:right w:w="0" w:type="dxa"/>
                  </w:tcMar>
                  <w:vAlign w:val="center"/>
                </w:tcPr>
                <w:p w14:paraId="7119DD12">
                  <w:pPr>
                    <w:bidi w:val="0"/>
                    <w:ind w:left="19" w:leftChars="9" w:right="19" w:rightChars="9"/>
                    <w:jc w:val="center"/>
                    <w:rPr>
                      <w:rFonts w:hint="default"/>
                      <w:color w:val="auto"/>
                      <w:lang w:val="en-US" w:eastAsia="zh-CN"/>
                    </w:rPr>
                  </w:pPr>
                  <w:r>
                    <w:rPr>
                      <w:rFonts w:hint="eastAsia"/>
                      <w:color w:val="auto"/>
                      <w:lang w:val="en-US" w:eastAsia="zh-CN"/>
                    </w:rPr>
                    <w:t>机油</w:t>
                  </w:r>
                </w:p>
              </w:tc>
              <w:tc>
                <w:tcPr>
                  <w:tcW w:w="529" w:type="pct"/>
                  <w:tcBorders>
                    <w:tl2br w:val="nil"/>
                    <w:tr2bl w:val="nil"/>
                  </w:tcBorders>
                  <w:noWrap w:val="0"/>
                  <w:tcMar>
                    <w:top w:w="0" w:type="dxa"/>
                    <w:left w:w="0" w:type="dxa"/>
                    <w:bottom w:w="0" w:type="dxa"/>
                    <w:right w:w="0" w:type="dxa"/>
                  </w:tcMar>
                  <w:vAlign w:val="center"/>
                </w:tcPr>
                <w:p w14:paraId="26BA8F0C">
                  <w:pPr>
                    <w:bidi w:val="0"/>
                    <w:ind w:left="19" w:leftChars="9" w:right="19" w:rightChars="9"/>
                    <w:jc w:val="center"/>
                    <w:rPr>
                      <w:rFonts w:hint="default"/>
                      <w:color w:val="auto"/>
                      <w:lang w:val="en-US" w:eastAsia="zh-CN"/>
                    </w:rPr>
                  </w:pPr>
                  <w:r>
                    <w:rPr>
                      <w:rFonts w:hint="eastAsia"/>
                      <w:color w:val="auto"/>
                      <w:lang w:val="en-US" w:eastAsia="zh-CN"/>
                    </w:rPr>
                    <w:t>机油</w:t>
                  </w:r>
                </w:p>
              </w:tc>
              <w:tc>
                <w:tcPr>
                  <w:tcW w:w="320" w:type="pct"/>
                  <w:vMerge w:val="continue"/>
                  <w:tcBorders>
                    <w:tl2br w:val="nil"/>
                    <w:tr2bl w:val="nil"/>
                  </w:tcBorders>
                  <w:noWrap w:val="0"/>
                  <w:tcMar>
                    <w:top w:w="0" w:type="dxa"/>
                    <w:left w:w="0" w:type="dxa"/>
                    <w:bottom w:w="0" w:type="dxa"/>
                    <w:right w:w="0" w:type="dxa"/>
                  </w:tcMar>
                  <w:vAlign w:val="center"/>
                </w:tcPr>
                <w:p w14:paraId="0D978804">
                  <w:pPr>
                    <w:pStyle w:val="127"/>
                    <w:bidi w:val="0"/>
                    <w:rPr>
                      <w:rFonts w:hint="default" w:ascii="Times New Roman" w:hAnsi="Times New Roman" w:eastAsia="宋体" w:cs="Times New Roman"/>
                      <w:color w:val="auto"/>
                      <w:lang w:val="en-US" w:eastAsia="zh-CN"/>
                    </w:rPr>
                  </w:pPr>
                </w:p>
              </w:tc>
              <w:tc>
                <w:tcPr>
                  <w:tcW w:w="328" w:type="pct"/>
                  <w:tcBorders>
                    <w:tl2br w:val="nil"/>
                    <w:tr2bl w:val="nil"/>
                  </w:tcBorders>
                  <w:noWrap w:val="0"/>
                  <w:tcMar>
                    <w:top w:w="0" w:type="dxa"/>
                    <w:left w:w="0" w:type="dxa"/>
                    <w:bottom w:w="0" w:type="dxa"/>
                    <w:right w:w="0" w:type="dxa"/>
                  </w:tcMar>
                  <w:vAlign w:val="center"/>
                </w:tcPr>
                <w:p w14:paraId="74F2A49D">
                  <w:pPr>
                    <w:pStyle w:val="127"/>
                    <w:bidi w:val="0"/>
                    <w:rPr>
                      <w:rFonts w:hint="default" w:ascii="Times New Roman" w:hAnsi="Times New Roman" w:eastAsia="宋体" w:cs="Times New Roman"/>
                      <w:color w:val="auto"/>
                      <w:lang w:val="en-US" w:eastAsia="zh-CN"/>
                    </w:rPr>
                  </w:pPr>
                  <w:r>
                    <w:rPr>
                      <w:rFonts w:hint="eastAsia" w:cs="Times New Roman"/>
                      <w:color w:val="auto"/>
                      <w:lang w:val="en-US" w:eastAsia="zh-CN"/>
                    </w:rPr>
                    <w:t>T</w:t>
                  </w:r>
                </w:p>
              </w:tc>
              <w:tc>
                <w:tcPr>
                  <w:tcW w:w="505" w:type="pct"/>
                  <w:vMerge w:val="continue"/>
                  <w:tcBorders>
                    <w:tl2br w:val="nil"/>
                    <w:tr2bl w:val="nil"/>
                  </w:tcBorders>
                  <w:noWrap w:val="0"/>
                  <w:tcMar>
                    <w:top w:w="0" w:type="dxa"/>
                    <w:left w:w="0" w:type="dxa"/>
                    <w:bottom w:w="0" w:type="dxa"/>
                    <w:right w:w="0" w:type="dxa"/>
                  </w:tcMar>
                  <w:vAlign w:val="center"/>
                </w:tcPr>
                <w:p w14:paraId="430AB64F">
                  <w:pPr>
                    <w:pStyle w:val="127"/>
                    <w:bidi w:val="0"/>
                    <w:ind w:left="19" w:leftChars="9" w:right="19" w:rightChars="9"/>
                    <w:rPr>
                      <w:rFonts w:hint="default" w:ascii="Times New Roman" w:hAnsi="Times New Roman" w:cs="Times New Roman"/>
                      <w:color w:val="auto"/>
                      <w:lang w:val="en-US" w:eastAsia="zh-CN"/>
                    </w:rPr>
                  </w:pPr>
                </w:p>
              </w:tc>
            </w:tr>
            <w:tr w14:paraId="10D71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30" w:hRule="atLeast"/>
                <w:jc w:val="center"/>
              </w:trPr>
              <w:tc>
                <w:tcPr>
                  <w:tcW w:w="194" w:type="pct"/>
                  <w:tcBorders>
                    <w:tl2br w:val="nil"/>
                    <w:tr2bl w:val="nil"/>
                  </w:tcBorders>
                  <w:noWrap w:val="0"/>
                  <w:tcMar>
                    <w:top w:w="0" w:type="dxa"/>
                    <w:left w:w="0" w:type="dxa"/>
                    <w:bottom w:w="0" w:type="dxa"/>
                    <w:right w:w="0" w:type="dxa"/>
                  </w:tcMar>
                  <w:vAlign w:val="center"/>
                </w:tcPr>
                <w:p w14:paraId="729DEFD8">
                  <w:pPr>
                    <w:pStyle w:val="127"/>
                    <w:bidi w:val="0"/>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528" w:type="pct"/>
                  <w:tcBorders>
                    <w:tl2br w:val="nil"/>
                    <w:tr2bl w:val="nil"/>
                  </w:tcBorders>
                  <w:noWrap w:val="0"/>
                  <w:tcMar>
                    <w:top w:w="0" w:type="dxa"/>
                    <w:left w:w="0" w:type="dxa"/>
                    <w:bottom w:w="0" w:type="dxa"/>
                    <w:right w:w="0" w:type="dxa"/>
                  </w:tcMar>
                  <w:vAlign w:val="center"/>
                </w:tcPr>
                <w:p w14:paraId="7058C6E1">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lang w:val="en-US" w:eastAsia="zh-CN"/>
                    </w:rPr>
                  </w:pPr>
                  <w:r>
                    <w:rPr>
                      <w:rFonts w:hint="eastAsia"/>
                      <w:color w:val="auto"/>
                      <w:szCs w:val="21"/>
                      <w:lang w:val="en-US" w:eastAsia="zh-CN"/>
                    </w:rPr>
                    <w:t>废紫外线灯管</w:t>
                  </w:r>
                </w:p>
              </w:tc>
              <w:tc>
                <w:tcPr>
                  <w:tcW w:w="381" w:type="pct"/>
                  <w:tcBorders>
                    <w:tl2br w:val="nil"/>
                    <w:tr2bl w:val="nil"/>
                  </w:tcBorders>
                  <w:noWrap w:val="0"/>
                  <w:tcMar>
                    <w:top w:w="0" w:type="dxa"/>
                    <w:left w:w="0" w:type="dxa"/>
                    <w:bottom w:w="0" w:type="dxa"/>
                    <w:right w:w="0" w:type="dxa"/>
                  </w:tcMar>
                  <w:vAlign w:val="center"/>
                </w:tcPr>
                <w:p w14:paraId="796864D7">
                  <w:pPr>
                    <w:pStyle w:val="127"/>
                    <w:bidi w:val="0"/>
                    <w:ind w:left="0" w:leftChars="0" w:right="0" w:rightChars="0"/>
                    <w:rPr>
                      <w:rFonts w:hint="default" w:ascii="Times New Roman" w:hAnsi="Times New Roman" w:eastAsia="宋体" w:cs="Times New Roman"/>
                      <w:color w:val="auto"/>
                      <w:lang w:val="en-US" w:eastAsia="zh-CN"/>
                    </w:rPr>
                  </w:pPr>
                  <w:r>
                    <w:rPr>
                      <w:rFonts w:hint="default"/>
                      <w:color w:val="auto"/>
                      <w:lang w:val="en-US" w:eastAsia="zh-CN"/>
                    </w:rPr>
                    <w:t>HW</w:t>
                  </w:r>
                  <w:r>
                    <w:rPr>
                      <w:rFonts w:hint="eastAsia"/>
                      <w:color w:val="auto"/>
                      <w:lang w:val="en-US" w:eastAsia="zh-CN"/>
                    </w:rPr>
                    <w:t>2</w:t>
                  </w:r>
                  <w:r>
                    <w:rPr>
                      <w:rFonts w:hint="default"/>
                      <w:color w:val="auto"/>
                      <w:lang w:val="en-US" w:eastAsia="zh-CN"/>
                    </w:rPr>
                    <w:t>9</w:t>
                  </w:r>
                  <w:r>
                    <w:rPr>
                      <w:rFonts w:hint="eastAsia"/>
                      <w:color w:val="auto"/>
                      <w:lang w:val="en-US" w:eastAsia="zh-CN"/>
                    </w:rPr>
                    <w:t xml:space="preserve"> </w:t>
                  </w:r>
                </w:p>
              </w:tc>
              <w:tc>
                <w:tcPr>
                  <w:tcW w:w="440" w:type="pct"/>
                  <w:tcBorders>
                    <w:tl2br w:val="nil"/>
                    <w:tr2bl w:val="nil"/>
                  </w:tcBorders>
                  <w:noWrap w:val="0"/>
                  <w:tcMar>
                    <w:top w:w="0" w:type="dxa"/>
                    <w:left w:w="0" w:type="dxa"/>
                    <w:bottom w:w="0" w:type="dxa"/>
                    <w:right w:w="0" w:type="dxa"/>
                  </w:tcMar>
                  <w:vAlign w:val="center"/>
                </w:tcPr>
                <w:p w14:paraId="7EC64F5F">
                  <w:pPr>
                    <w:pStyle w:val="12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900-</w:t>
                  </w:r>
                  <w:r>
                    <w:rPr>
                      <w:rFonts w:hint="eastAsia" w:ascii="Times New Roman" w:hAnsi="Times New Roman" w:cs="Times New Roman"/>
                      <w:color w:val="auto"/>
                      <w:lang w:val="en-US" w:eastAsia="zh-CN"/>
                    </w:rPr>
                    <w:t>0</w:t>
                  </w:r>
                  <w:r>
                    <w:rPr>
                      <w:rFonts w:hint="eastAsia" w:cs="Times New Roman"/>
                      <w:color w:val="auto"/>
                      <w:lang w:val="en-US" w:eastAsia="zh-CN"/>
                    </w:rPr>
                    <w:t>23</w:t>
                  </w:r>
                  <w:r>
                    <w:rPr>
                      <w:rFonts w:hint="default" w:ascii="Times New Roman" w:hAnsi="Times New Roman" w:cs="Times New Roman"/>
                      <w:color w:val="auto"/>
                      <w:lang w:val="en-US" w:eastAsia="zh-CN"/>
                    </w:rPr>
                    <w:t>-</w:t>
                  </w:r>
                  <w:r>
                    <w:rPr>
                      <w:rFonts w:hint="eastAsia" w:cs="Times New Roman"/>
                      <w:color w:val="auto"/>
                      <w:lang w:val="en-US" w:eastAsia="zh-CN"/>
                    </w:rPr>
                    <w:t>2</w:t>
                  </w:r>
                  <w:r>
                    <w:rPr>
                      <w:rFonts w:hint="eastAsia" w:ascii="Times New Roman" w:hAnsi="Times New Roman" w:cs="Times New Roman"/>
                      <w:color w:val="auto"/>
                      <w:lang w:val="en-US" w:eastAsia="zh-CN"/>
                    </w:rPr>
                    <w:t>9</w:t>
                  </w:r>
                </w:p>
              </w:tc>
              <w:tc>
                <w:tcPr>
                  <w:tcW w:w="414" w:type="pct"/>
                  <w:tcBorders>
                    <w:tl2br w:val="nil"/>
                    <w:tr2bl w:val="nil"/>
                  </w:tcBorders>
                  <w:noWrap w:val="0"/>
                  <w:tcMar>
                    <w:top w:w="0" w:type="dxa"/>
                    <w:left w:w="0" w:type="dxa"/>
                    <w:bottom w:w="0" w:type="dxa"/>
                    <w:right w:w="0" w:type="dxa"/>
                  </w:tcMar>
                  <w:vAlign w:val="center"/>
                </w:tcPr>
                <w:p w14:paraId="392B95D7">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lang w:val="en-US" w:eastAsia="zh-CN"/>
                    </w:rPr>
                  </w:pPr>
                  <w:r>
                    <w:rPr>
                      <w:rFonts w:hint="eastAsia"/>
                      <w:color w:val="auto"/>
                      <w:szCs w:val="22"/>
                      <w:lang w:val="en-US" w:eastAsia="zh-CN"/>
                    </w:rPr>
                    <w:t>0.002</w:t>
                  </w:r>
                </w:p>
              </w:tc>
              <w:tc>
                <w:tcPr>
                  <w:tcW w:w="575" w:type="pct"/>
                  <w:tcBorders>
                    <w:tl2br w:val="nil"/>
                    <w:tr2bl w:val="nil"/>
                  </w:tcBorders>
                  <w:noWrap w:val="0"/>
                  <w:tcMar>
                    <w:top w:w="0" w:type="dxa"/>
                    <w:left w:w="0" w:type="dxa"/>
                    <w:bottom w:w="0" w:type="dxa"/>
                    <w:right w:w="0" w:type="dxa"/>
                  </w:tcMar>
                  <w:vAlign w:val="center"/>
                </w:tcPr>
                <w:p w14:paraId="281DAE9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lang w:val="en-US" w:eastAsia="zh-CN"/>
                    </w:rPr>
                  </w:pPr>
                  <w:r>
                    <w:rPr>
                      <w:rFonts w:hint="eastAsia" w:cs="Times New Roman"/>
                      <w:color w:val="auto"/>
                      <w:kern w:val="2"/>
                      <w:sz w:val="21"/>
                      <w:szCs w:val="21"/>
                      <w:lang w:val="en-US" w:eastAsia="zh-CN" w:bidi="ar-SA"/>
                    </w:rPr>
                    <w:t>紫外线消毒设备定期更换紫外线灯管时产生</w:t>
                  </w:r>
                </w:p>
              </w:tc>
              <w:tc>
                <w:tcPr>
                  <w:tcW w:w="254" w:type="pct"/>
                  <w:tcBorders>
                    <w:tl2br w:val="nil"/>
                    <w:tr2bl w:val="nil"/>
                  </w:tcBorders>
                  <w:noWrap w:val="0"/>
                  <w:tcMar>
                    <w:top w:w="0" w:type="dxa"/>
                    <w:left w:w="0" w:type="dxa"/>
                    <w:bottom w:w="0" w:type="dxa"/>
                    <w:right w:w="0" w:type="dxa"/>
                  </w:tcMar>
                  <w:vAlign w:val="center"/>
                </w:tcPr>
                <w:p w14:paraId="4DB28658">
                  <w:pPr>
                    <w:bidi w:val="0"/>
                    <w:ind w:left="19" w:leftChars="9" w:right="19" w:rightChars="9"/>
                    <w:jc w:val="center"/>
                    <w:rPr>
                      <w:rFonts w:hint="default" w:ascii="Times New Roman" w:hAnsi="Times New Roman" w:eastAsia="宋体" w:cs="Times New Roman"/>
                      <w:color w:val="auto"/>
                      <w:lang w:val="en-US" w:eastAsia="zh-CN"/>
                    </w:rPr>
                  </w:pPr>
                  <w:r>
                    <w:rPr>
                      <w:rFonts w:hint="eastAsia"/>
                      <w:color w:val="auto"/>
                      <w:lang w:val="en-US" w:eastAsia="zh-CN"/>
                    </w:rPr>
                    <w:t>固态</w:t>
                  </w:r>
                </w:p>
              </w:tc>
              <w:tc>
                <w:tcPr>
                  <w:tcW w:w="526" w:type="pct"/>
                  <w:tcBorders>
                    <w:tl2br w:val="nil"/>
                    <w:tr2bl w:val="nil"/>
                  </w:tcBorders>
                  <w:noWrap w:val="0"/>
                  <w:tcMar>
                    <w:top w:w="0" w:type="dxa"/>
                    <w:left w:w="0" w:type="dxa"/>
                    <w:bottom w:w="0" w:type="dxa"/>
                    <w:right w:w="0" w:type="dxa"/>
                  </w:tcMar>
                  <w:vAlign w:val="center"/>
                </w:tcPr>
                <w:p w14:paraId="7C248946">
                  <w:pPr>
                    <w:jc w:val="center"/>
                    <w:rPr>
                      <w:rFonts w:hint="eastAsia" w:ascii="Times New Roman" w:hAnsi="Times New Roman" w:eastAsia="宋体" w:cs="Times New Roman"/>
                      <w:color w:val="auto"/>
                      <w:lang w:val="en-US" w:eastAsia="zh-CN"/>
                    </w:rPr>
                  </w:pPr>
                  <w:r>
                    <w:rPr>
                      <w:rFonts w:hint="eastAsia" w:cs="Times New Roman"/>
                      <w:color w:val="000000" w:themeColor="text1"/>
                      <w:sz w:val="21"/>
                      <w:szCs w:val="21"/>
                      <w:lang w:val="en-US" w:eastAsia="zh-CN"/>
                      <w14:textFill>
                        <w14:solidFill>
                          <w14:schemeClr w14:val="tx1"/>
                        </w14:solidFill>
                      </w14:textFill>
                    </w:rPr>
                    <w:t>石英、汞</w:t>
                  </w:r>
                </w:p>
              </w:tc>
              <w:tc>
                <w:tcPr>
                  <w:tcW w:w="529" w:type="pct"/>
                  <w:tcBorders>
                    <w:tl2br w:val="nil"/>
                    <w:tr2bl w:val="nil"/>
                  </w:tcBorders>
                  <w:noWrap w:val="0"/>
                  <w:tcMar>
                    <w:top w:w="0" w:type="dxa"/>
                    <w:left w:w="0" w:type="dxa"/>
                    <w:bottom w:w="0" w:type="dxa"/>
                    <w:right w:w="0" w:type="dxa"/>
                  </w:tcMar>
                  <w:vAlign w:val="center"/>
                </w:tcPr>
                <w:p w14:paraId="305668E1">
                  <w:pPr>
                    <w:jc w:val="center"/>
                    <w:rPr>
                      <w:rStyle w:val="130"/>
                      <w:rFonts w:hint="eastAsia"/>
                      <w:color w:val="auto"/>
                      <w:szCs w:val="21"/>
                      <w:lang w:val="en-US" w:eastAsia="zh-CN"/>
                    </w:rPr>
                  </w:pPr>
                  <w:r>
                    <w:rPr>
                      <w:rFonts w:hint="eastAsia" w:cs="Times New Roman"/>
                      <w:color w:val="000000" w:themeColor="text1"/>
                      <w:sz w:val="21"/>
                      <w:szCs w:val="21"/>
                      <w:lang w:val="en-US" w:eastAsia="zh-CN"/>
                      <w14:textFill>
                        <w14:solidFill>
                          <w14:schemeClr w14:val="tx1"/>
                        </w14:solidFill>
                      </w14:textFill>
                    </w:rPr>
                    <w:t>汞</w:t>
                  </w:r>
                </w:p>
              </w:tc>
              <w:tc>
                <w:tcPr>
                  <w:tcW w:w="320" w:type="pct"/>
                  <w:tcBorders>
                    <w:tl2br w:val="nil"/>
                    <w:tr2bl w:val="nil"/>
                  </w:tcBorders>
                  <w:noWrap w:val="0"/>
                  <w:tcMar>
                    <w:top w:w="0" w:type="dxa"/>
                    <w:left w:w="0" w:type="dxa"/>
                    <w:bottom w:w="0" w:type="dxa"/>
                    <w:right w:w="0" w:type="dxa"/>
                  </w:tcMar>
                  <w:vAlign w:val="center"/>
                </w:tcPr>
                <w:p w14:paraId="3F8CCD4E">
                  <w:pPr>
                    <w:pStyle w:val="127"/>
                    <w:bidi w:val="0"/>
                    <w:rPr>
                      <w:rFonts w:hint="eastAsia" w:cs="Times New Roman"/>
                      <w:color w:val="auto"/>
                      <w:lang w:val="en-US" w:eastAsia="zh-CN"/>
                    </w:rPr>
                  </w:pPr>
                  <w:r>
                    <w:rPr>
                      <w:rFonts w:hint="eastAsia" w:cs="Times New Roman"/>
                      <w:color w:val="auto"/>
                      <w:lang w:val="en-US" w:eastAsia="zh-CN"/>
                    </w:rPr>
                    <w:t>一年一</w:t>
                  </w:r>
                  <w:r>
                    <w:rPr>
                      <w:rFonts w:hint="default" w:ascii="Times New Roman" w:hAnsi="Times New Roman" w:cs="Times New Roman"/>
                      <w:color w:val="auto"/>
                      <w:lang w:val="en-US" w:eastAsia="zh-CN"/>
                    </w:rPr>
                    <w:t>次</w:t>
                  </w:r>
                </w:p>
              </w:tc>
              <w:tc>
                <w:tcPr>
                  <w:tcW w:w="328" w:type="pct"/>
                  <w:tcBorders>
                    <w:tl2br w:val="nil"/>
                    <w:tr2bl w:val="nil"/>
                  </w:tcBorders>
                  <w:noWrap w:val="0"/>
                  <w:tcMar>
                    <w:top w:w="0" w:type="dxa"/>
                    <w:left w:w="0" w:type="dxa"/>
                    <w:bottom w:w="0" w:type="dxa"/>
                    <w:right w:w="0" w:type="dxa"/>
                  </w:tcMar>
                  <w:vAlign w:val="center"/>
                </w:tcPr>
                <w:p w14:paraId="40BDABD8">
                  <w:pPr>
                    <w:pStyle w:val="127"/>
                    <w:bidi w:val="0"/>
                    <w:rPr>
                      <w:rFonts w:hint="default" w:ascii="Times New Roman" w:hAnsi="Times New Roman" w:eastAsia="宋体" w:cs="Times New Roman"/>
                      <w:color w:val="auto"/>
                      <w:lang w:val="en-US" w:eastAsia="zh-CN"/>
                    </w:rPr>
                  </w:pPr>
                  <w:r>
                    <w:rPr>
                      <w:rFonts w:hint="eastAsia" w:cs="Times New Roman"/>
                      <w:color w:val="auto"/>
                      <w:lang w:val="en-US" w:eastAsia="zh-CN"/>
                    </w:rPr>
                    <w:t>T</w:t>
                  </w:r>
                </w:p>
              </w:tc>
              <w:tc>
                <w:tcPr>
                  <w:tcW w:w="505" w:type="pct"/>
                  <w:vMerge w:val="continue"/>
                  <w:tcBorders>
                    <w:tl2br w:val="nil"/>
                    <w:tr2bl w:val="nil"/>
                  </w:tcBorders>
                  <w:noWrap w:val="0"/>
                  <w:tcMar>
                    <w:top w:w="0" w:type="dxa"/>
                    <w:left w:w="0" w:type="dxa"/>
                    <w:bottom w:w="0" w:type="dxa"/>
                    <w:right w:w="0" w:type="dxa"/>
                  </w:tcMar>
                  <w:vAlign w:val="center"/>
                </w:tcPr>
                <w:p w14:paraId="49AEBBBB">
                  <w:pPr>
                    <w:pStyle w:val="127"/>
                    <w:bidi w:val="0"/>
                    <w:ind w:left="19" w:leftChars="9" w:right="19" w:rightChars="9"/>
                    <w:rPr>
                      <w:rFonts w:hint="default" w:ascii="Times New Roman" w:hAnsi="Times New Roman" w:cs="Times New Roman"/>
                      <w:color w:val="auto"/>
                      <w:lang w:val="en-US" w:eastAsia="zh-CN"/>
                    </w:rPr>
                  </w:pPr>
                </w:p>
              </w:tc>
            </w:tr>
          </w:tbl>
          <w:p w14:paraId="194D952B">
            <w:pPr>
              <w:pStyle w:val="12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表4-</w:t>
            </w:r>
            <w:r>
              <w:rPr>
                <w:rFonts w:hint="eastAsia" w:cs="Times New Roman"/>
                <w:color w:val="auto"/>
                <w:lang w:val="en-US" w:eastAsia="zh-CN"/>
              </w:rPr>
              <w:t xml:space="preserve">32 </w:t>
            </w:r>
            <w:r>
              <w:rPr>
                <w:rFonts w:hint="default" w:ascii="Times New Roman" w:hAnsi="Times New Roman" w:cs="Times New Roman"/>
                <w:color w:val="auto"/>
                <w:lang w:val="en-US" w:eastAsia="zh-CN"/>
              </w:rPr>
              <w:t xml:space="preserve"> 危险废物</w:t>
            </w:r>
            <w:r>
              <w:rPr>
                <w:rFonts w:hint="eastAsia" w:cs="Times New Roman"/>
                <w:color w:val="auto"/>
                <w:lang w:val="en-US" w:eastAsia="zh-CN"/>
              </w:rPr>
              <w:t>暂存间</w:t>
            </w:r>
            <w:r>
              <w:rPr>
                <w:rFonts w:hint="default" w:ascii="Times New Roman" w:hAnsi="Times New Roman" w:cs="Times New Roman"/>
                <w:color w:val="auto"/>
                <w:lang w:val="en-US" w:eastAsia="zh-CN"/>
              </w:rPr>
              <w:t>基本情况</w:t>
            </w:r>
          </w:p>
          <w:tbl>
            <w:tblPr>
              <w:tblStyle w:val="3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36"/>
              <w:gridCol w:w="1295"/>
              <w:gridCol w:w="1601"/>
              <w:gridCol w:w="864"/>
              <w:gridCol w:w="774"/>
              <w:gridCol w:w="966"/>
              <w:gridCol w:w="633"/>
              <w:gridCol w:w="614"/>
            </w:tblGrid>
            <w:tr w14:paraId="286B8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tcBorders>
                    <w:tl2br w:val="nil"/>
                    <w:tr2bl w:val="nil"/>
                  </w:tcBorders>
                  <w:noWrap w:val="0"/>
                  <w:vAlign w:val="center"/>
                </w:tcPr>
                <w:p w14:paraId="6B8018D5">
                  <w:pPr>
                    <w:pStyle w:val="126"/>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572" w:type="pct"/>
                  <w:tcBorders>
                    <w:tl2br w:val="nil"/>
                    <w:tr2bl w:val="nil"/>
                  </w:tcBorders>
                  <w:noWrap w:val="0"/>
                  <w:vAlign w:val="center"/>
                </w:tcPr>
                <w:p w14:paraId="27EB89D9">
                  <w:pPr>
                    <w:pStyle w:val="126"/>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贮存场所名称</w:t>
                  </w:r>
                </w:p>
              </w:tc>
              <w:tc>
                <w:tcPr>
                  <w:tcW w:w="791" w:type="pct"/>
                  <w:tcBorders>
                    <w:tl2br w:val="nil"/>
                    <w:tr2bl w:val="nil"/>
                  </w:tcBorders>
                  <w:noWrap w:val="0"/>
                  <w:vAlign w:val="center"/>
                </w:tcPr>
                <w:p w14:paraId="2FAC5E0C">
                  <w:pPr>
                    <w:pStyle w:val="126"/>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危险废物名称</w:t>
                  </w:r>
                </w:p>
              </w:tc>
              <w:tc>
                <w:tcPr>
                  <w:tcW w:w="978" w:type="pct"/>
                  <w:tcBorders>
                    <w:tl2br w:val="nil"/>
                    <w:tr2bl w:val="nil"/>
                  </w:tcBorders>
                  <w:noWrap w:val="0"/>
                  <w:vAlign w:val="center"/>
                </w:tcPr>
                <w:p w14:paraId="5D8F31AE">
                  <w:pPr>
                    <w:pStyle w:val="126"/>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危废类别及代码</w:t>
                  </w:r>
                </w:p>
              </w:tc>
              <w:tc>
                <w:tcPr>
                  <w:tcW w:w="528" w:type="pct"/>
                  <w:tcBorders>
                    <w:tl2br w:val="nil"/>
                    <w:tr2bl w:val="nil"/>
                  </w:tcBorders>
                  <w:noWrap w:val="0"/>
                  <w:vAlign w:val="center"/>
                </w:tcPr>
                <w:p w14:paraId="1BE56423">
                  <w:pPr>
                    <w:pStyle w:val="126"/>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位置</w:t>
                  </w:r>
                </w:p>
              </w:tc>
              <w:tc>
                <w:tcPr>
                  <w:tcW w:w="473" w:type="pct"/>
                  <w:tcBorders>
                    <w:tl2br w:val="nil"/>
                    <w:tr2bl w:val="nil"/>
                  </w:tcBorders>
                  <w:noWrap w:val="0"/>
                  <w:vAlign w:val="center"/>
                </w:tcPr>
                <w:p w14:paraId="33BC0537">
                  <w:pPr>
                    <w:pStyle w:val="126"/>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占地面积</w:t>
                  </w:r>
                </w:p>
              </w:tc>
              <w:tc>
                <w:tcPr>
                  <w:tcW w:w="590" w:type="pct"/>
                  <w:tcBorders>
                    <w:tl2br w:val="nil"/>
                    <w:tr2bl w:val="nil"/>
                  </w:tcBorders>
                  <w:noWrap w:val="0"/>
                  <w:vAlign w:val="center"/>
                </w:tcPr>
                <w:p w14:paraId="06A59740">
                  <w:pPr>
                    <w:pStyle w:val="126"/>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贮存方式</w:t>
                  </w:r>
                </w:p>
              </w:tc>
              <w:tc>
                <w:tcPr>
                  <w:tcW w:w="386" w:type="pct"/>
                  <w:tcBorders>
                    <w:tl2br w:val="nil"/>
                    <w:tr2bl w:val="nil"/>
                  </w:tcBorders>
                  <w:noWrap w:val="0"/>
                  <w:vAlign w:val="center"/>
                </w:tcPr>
                <w:p w14:paraId="33ADB3FD">
                  <w:pPr>
                    <w:pStyle w:val="126"/>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贮存能力</w:t>
                  </w:r>
                </w:p>
              </w:tc>
              <w:tc>
                <w:tcPr>
                  <w:tcW w:w="375" w:type="pct"/>
                  <w:tcBorders>
                    <w:tl2br w:val="nil"/>
                    <w:tr2bl w:val="nil"/>
                  </w:tcBorders>
                  <w:noWrap w:val="0"/>
                  <w:vAlign w:val="center"/>
                </w:tcPr>
                <w:p w14:paraId="7FDF4B5A">
                  <w:pPr>
                    <w:pStyle w:val="126"/>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贮存周期</w:t>
                  </w:r>
                </w:p>
              </w:tc>
            </w:tr>
            <w:tr w14:paraId="43734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303" w:type="pct"/>
                  <w:vMerge w:val="restart"/>
                  <w:tcBorders>
                    <w:tl2br w:val="nil"/>
                    <w:tr2bl w:val="nil"/>
                  </w:tcBorders>
                  <w:noWrap w:val="0"/>
                  <w:vAlign w:val="center"/>
                </w:tcPr>
                <w:p w14:paraId="2DFF3A82">
                  <w:pPr>
                    <w:pStyle w:val="12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572" w:type="pct"/>
                  <w:vMerge w:val="restart"/>
                  <w:tcBorders>
                    <w:tl2br w:val="nil"/>
                    <w:tr2bl w:val="nil"/>
                  </w:tcBorders>
                  <w:noWrap w:val="0"/>
                  <w:vAlign w:val="center"/>
                </w:tcPr>
                <w:p w14:paraId="0ADDF1BE">
                  <w:pPr>
                    <w:pStyle w:val="12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危险废物暂存间</w:t>
                  </w:r>
                </w:p>
              </w:tc>
              <w:tc>
                <w:tcPr>
                  <w:tcW w:w="791" w:type="pct"/>
                  <w:tcBorders>
                    <w:tl2br w:val="nil"/>
                    <w:tr2bl w:val="nil"/>
                  </w:tcBorders>
                  <w:noWrap w:val="0"/>
                  <w:vAlign w:val="center"/>
                </w:tcPr>
                <w:p w14:paraId="6B37711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eastAsia"/>
                      <w:color w:val="auto"/>
                      <w:szCs w:val="21"/>
                    </w:rPr>
                    <w:t>废机油</w:t>
                  </w:r>
                </w:p>
              </w:tc>
              <w:tc>
                <w:tcPr>
                  <w:tcW w:w="1601" w:type="dxa"/>
                  <w:tcBorders>
                    <w:tl2br w:val="nil"/>
                    <w:tr2bl w:val="nil"/>
                  </w:tcBorders>
                  <w:noWrap w:val="0"/>
                  <w:vAlign w:val="center"/>
                </w:tcPr>
                <w:p w14:paraId="7676A40B">
                  <w:pPr>
                    <w:bidi w:val="0"/>
                    <w:ind w:left="19" w:leftChars="9" w:right="19"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w:t>
                  </w:r>
                </w:p>
                <w:p w14:paraId="652C880B">
                  <w:pPr>
                    <w:bidi w:val="0"/>
                    <w:ind w:left="19" w:leftChars="9" w:right="19" w:rightChars="9"/>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900-214-08</w:t>
                  </w:r>
                </w:p>
              </w:tc>
              <w:tc>
                <w:tcPr>
                  <w:tcW w:w="528" w:type="pct"/>
                  <w:vMerge w:val="restart"/>
                  <w:tcBorders>
                    <w:tl2br w:val="nil"/>
                    <w:tr2bl w:val="nil"/>
                  </w:tcBorders>
                  <w:noWrap w:val="0"/>
                  <w:vAlign w:val="center"/>
                </w:tcPr>
                <w:p w14:paraId="291F0DB5">
                  <w:pPr>
                    <w:pStyle w:val="127"/>
                    <w:bidi w:val="0"/>
                    <w:jc w:val="center"/>
                    <w:rPr>
                      <w:rFonts w:hint="default" w:ascii="Times New Roman" w:hAnsi="Times New Roman" w:cs="Times New Roman"/>
                      <w:color w:val="auto"/>
                      <w:lang w:val="en-US" w:eastAsia="zh-CN"/>
                    </w:rPr>
                  </w:pPr>
                  <w:r>
                    <w:rPr>
                      <w:rFonts w:hint="eastAsia"/>
                      <w:color w:val="auto"/>
                      <w:lang w:val="en-US" w:eastAsia="zh-CN"/>
                    </w:rPr>
                    <w:t>位于肉类车间西侧</w:t>
                  </w:r>
                </w:p>
              </w:tc>
              <w:tc>
                <w:tcPr>
                  <w:tcW w:w="473" w:type="pct"/>
                  <w:vMerge w:val="restart"/>
                  <w:tcBorders>
                    <w:tl2br w:val="nil"/>
                    <w:tr2bl w:val="nil"/>
                  </w:tcBorders>
                  <w:noWrap w:val="0"/>
                  <w:vAlign w:val="center"/>
                </w:tcPr>
                <w:p w14:paraId="189A30B1">
                  <w:pPr>
                    <w:pStyle w:val="127"/>
                    <w:bidi w:val="0"/>
                    <w:ind w:left="0" w:leftChars="0" w:right="0" w:rightChars="0"/>
                    <w:jc w:val="center"/>
                    <w:rPr>
                      <w:rFonts w:hint="default" w:ascii="Times New Roman" w:hAnsi="Times New Roman" w:eastAsia="宋体" w:cs="Times New Roman"/>
                      <w:color w:val="auto"/>
                      <w:kern w:val="2"/>
                      <w:sz w:val="21"/>
                      <w:szCs w:val="21"/>
                      <w:vertAlign w:val="superscript"/>
                      <w:lang w:val="en-US" w:eastAsia="zh-CN" w:bidi="ar-SA"/>
                    </w:rPr>
                  </w:pPr>
                  <w:r>
                    <w:rPr>
                      <w:rFonts w:hint="eastAsia" w:cs="Times New Roman"/>
                      <w:color w:val="auto"/>
                      <w:lang w:val="en-US" w:eastAsia="zh-CN"/>
                    </w:rPr>
                    <w:t>10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p>
              </w:tc>
              <w:tc>
                <w:tcPr>
                  <w:tcW w:w="590" w:type="pct"/>
                  <w:vMerge w:val="restart"/>
                  <w:tcBorders>
                    <w:tl2br w:val="nil"/>
                    <w:tr2bl w:val="nil"/>
                  </w:tcBorders>
                  <w:noWrap w:val="0"/>
                  <w:vAlign w:val="center"/>
                </w:tcPr>
                <w:p w14:paraId="4DAC9910">
                  <w:pPr>
                    <w:pStyle w:val="127"/>
                    <w:bidi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临时贮存</w:t>
                  </w:r>
                  <w:r>
                    <w:rPr>
                      <w:rFonts w:hint="eastAsia" w:cs="Times New Roman"/>
                      <w:color w:val="auto"/>
                      <w:lang w:val="en-US" w:eastAsia="zh-CN"/>
                    </w:rPr>
                    <w:t>，</w:t>
                  </w:r>
                  <w:r>
                    <w:rPr>
                      <w:rFonts w:hint="eastAsia"/>
                      <w:color w:val="auto"/>
                      <w:lang w:val="en-US" w:eastAsia="zh-CN"/>
                    </w:rPr>
                    <w:t>分类堆存，密闭</w:t>
                  </w:r>
                  <w:r>
                    <w:rPr>
                      <w:rFonts w:hint="default"/>
                      <w:color w:val="auto"/>
                      <w:lang w:val="en-US" w:eastAsia="zh-CN"/>
                    </w:rPr>
                    <w:t>容器</w:t>
                  </w:r>
                  <w:r>
                    <w:rPr>
                      <w:rFonts w:hint="eastAsia"/>
                      <w:color w:val="auto"/>
                      <w:lang w:val="en-US" w:eastAsia="zh-CN"/>
                    </w:rPr>
                    <w:t>装</w:t>
                  </w:r>
                </w:p>
              </w:tc>
              <w:tc>
                <w:tcPr>
                  <w:tcW w:w="386" w:type="pct"/>
                  <w:vMerge w:val="restart"/>
                  <w:tcBorders>
                    <w:tl2br w:val="nil"/>
                    <w:tr2bl w:val="nil"/>
                  </w:tcBorders>
                  <w:noWrap w:val="0"/>
                  <w:vAlign w:val="center"/>
                </w:tcPr>
                <w:p w14:paraId="29276B5A">
                  <w:pPr>
                    <w:pStyle w:val="127"/>
                    <w:bidi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8</w:t>
                  </w:r>
                  <w:r>
                    <w:rPr>
                      <w:rFonts w:hint="default" w:ascii="Times New Roman" w:hAnsi="Times New Roman" w:cs="Times New Roman"/>
                      <w:color w:val="auto"/>
                      <w:lang w:val="en-US" w:eastAsia="zh-CN"/>
                    </w:rPr>
                    <w:t>t</w:t>
                  </w:r>
                </w:p>
              </w:tc>
              <w:tc>
                <w:tcPr>
                  <w:tcW w:w="375" w:type="pct"/>
                  <w:vMerge w:val="restart"/>
                  <w:tcBorders>
                    <w:tl2br w:val="nil"/>
                    <w:tr2bl w:val="nil"/>
                  </w:tcBorders>
                  <w:noWrap w:val="0"/>
                  <w:vAlign w:val="center"/>
                </w:tcPr>
                <w:p w14:paraId="38EDD7F5">
                  <w:pPr>
                    <w:pStyle w:val="127"/>
                    <w:bidi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3</w:t>
                  </w:r>
                  <w:r>
                    <w:rPr>
                      <w:rFonts w:hint="default" w:ascii="Times New Roman" w:hAnsi="Times New Roman" w:cs="Times New Roman"/>
                      <w:color w:val="auto"/>
                      <w:lang w:val="en-US" w:eastAsia="zh-CN"/>
                    </w:rPr>
                    <w:t>个月</w:t>
                  </w:r>
                </w:p>
              </w:tc>
            </w:tr>
            <w:tr w14:paraId="1E3B9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tcBorders>
                    <w:tl2br w:val="nil"/>
                    <w:tr2bl w:val="nil"/>
                  </w:tcBorders>
                  <w:noWrap w:val="0"/>
                  <w:vAlign w:val="center"/>
                </w:tcPr>
                <w:p w14:paraId="0C99C920">
                  <w:pPr>
                    <w:pStyle w:val="127"/>
                    <w:bidi w:val="0"/>
                    <w:jc w:val="center"/>
                    <w:rPr>
                      <w:rFonts w:hint="default" w:ascii="Times New Roman" w:hAnsi="Times New Roman" w:cs="Times New Roman"/>
                      <w:color w:val="auto"/>
                      <w:lang w:val="en-US" w:eastAsia="zh-CN"/>
                    </w:rPr>
                  </w:pPr>
                </w:p>
              </w:tc>
              <w:tc>
                <w:tcPr>
                  <w:tcW w:w="572" w:type="pct"/>
                  <w:vMerge w:val="continue"/>
                  <w:tcBorders>
                    <w:tl2br w:val="nil"/>
                    <w:tr2bl w:val="nil"/>
                  </w:tcBorders>
                  <w:noWrap w:val="0"/>
                  <w:vAlign w:val="center"/>
                </w:tcPr>
                <w:p w14:paraId="12D8FDA5">
                  <w:pPr>
                    <w:pStyle w:val="127"/>
                    <w:bidi w:val="0"/>
                    <w:jc w:val="center"/>
                    <w:rPr>
                      <w:rFonts w:hint="default" w:ascii="Times New Roman" w:hAnsi="Times New Roman" w:cs="Times New Roman"/>
                      <w:color w:val="auto"/>
                      <w:lang w:val="en-US" w:eastAsia="zh-CN"/>
                    </w:rPr>
                  </w:pPr>
                </w:p>
              </w:tc>
              <w:tc>
                <w:tcPr>
                  <w:tcW w:w="791" w:type="pct"/>
                  <w:tcBorders>
                    <w:tl2br w:val="nil"/>
                    <w:tr2bl w:val="nil"/>
                  </w:tcBorders>
                  <w:noWrap w:val="0"/>
                  <w:vAlign w:val="center"/>
                </w:tcPr>
                <w:p w14:paraId="248E29D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eastAsia"/>
                      <w:color w:val="auto"/>
                      <w:szCs w:val="21"/>
                    </w:rPr>
                    <w:t>废</w:t>
                  </w:r>
                  <w:r>
                    <w:rPr>
                      <w:rFonts w:hint="eastAsia"/>
                      <w:color w:val="auto"/>
                      <w:szCs w:val="21"/>
                      <w:lang w:val="en-US" w:eastAsia="zh-CN"/>
                    </w:rPr>
                    <w:t>含油</w:t>
                  </w:r>
                  <w:r>
                    <w:rPr>
                      <w:rFonts w:hint="eastAsia"/>
                      <w:color w:val="auto"/>
                      <w:szCs w:val="21"/>
                    </w:rPr>
                    <w:t>抹布</w:t>
                  </w:r>
                </w:p>
              </w:tc>
              <w:tc>
                <w:tcPr>
                  <w:tcW w:w="1601" w:type="dxa"/>
                  <w:tcBorders>
                    <w:tl2br w:val="nil"/>
                    <w:tr2bl w:val="nil"/>
                  </w:tcBorders>
                  <w:noWrap w:val="0"/>
                  <w:vAlign w:val="center"/>
                </w:tcPr>
                <w:p w14:paraId="601FB133">
                  <w:pPr>
                    <w:pStyle w:val="127"/>
                    <w:keepNext w:val="0"/>
                    <w:keepLines w:val="0"/>
                    <w:pageBreakBefore w:val="0"/>
                    <w:kinsoku/>
                    <w:wordWrap/>
                    <w:overflowPunct/>
                    <w:topLinePunct w:val="0"/>
                    <w:autoSpaceDE/>
                    <w:autoSpaceDN/>
                    <w:bidi w:val="0"/>
                    <w:adjustRightInd/>
                    <w:snapToGrid/>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w:t>
                  </w:r>
                  <w:r>
                    <w:rPr>
                      <w:rFonts w:hint="eastAsia" w:ascii="Times New Roman" w:hAnsi="Times New Roman" w:cs="Times New Roman"/>
                      <w:color w:val="auto"/>
                      <w:lang w:val="en-US" w:eastAsia="zh-CN"/>
                    </w:rPr>
                    <w:t>49</w:t>
                  </w:r>
                </w:p>
                <w:p w14:paraId="1FF1CA83">
                  <w:pPr>
                    <w:pStyle w:val="127"/>
                    <w:keepNext w:val="0"/>
                    <w:keepLines w:val="0"/>
                    <w:pageBreakBefore w:val="0"/>
                    <w:kinsoku/>
                    <w:wordWrap/>
                    <w:overflowPunct/>
                    <w:topLinePunct w:val="0"/>
                    <w:autoSpaceDE/>
                    <w:autoSpaceDN/>
                    <w:bidi w:val="0"/>
                    <w:adjustRightInd/>
                    <w:snapToGrid/>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900-</w:t>
                  </w:r>
                  <w:r>
                    <w:rPr>
                      <w:rFonts w:hint="eastAsia" w:ascii="Times New Roman" w:hAnsi="Times New Roman" w:cs="Times New Roman"/>
                      <w:color w:val="auto"/>
                      <w:lang w:val="en-US" w:eastAsia="zh-CN"/>
                    </w:rPr>
                    <w:t>041</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49</w:t>
                  </w:r>
                </w:p>
              </w:tc>
              <w:tc>
                <w:tcPr>
                  <w:tcW w:w="528" w:type="pct"/>
                  <w:vMerge w:val="continue"/>
                  <w:tcBorders>
                    <w:tl2br w:val="nil"/>
                    <w:tr2bl w:val="nil"/>
                  </w:tcBorders>
                  <w:noWrap w:val="0"/>
                  <w:vAlign w:val="center"/>
                </w:tcPr>
                <w:p w14:paraId="4474D1C8">
                  <w:pPr>
                    <w:pStyle w:val="127"/>
                    <w:bidi w:val="0"/>
                    <w:jc w:val="center"/>
                    <w:rPr>
                      <w:rFonts w:hint="default" w:ascii="Times New Roman" w:hAnsi="Times New Roman" w:cs="Times New Roman"/>
                      <w:color w:val="auto"/>
                      <w:lang w:val="en-US" w:eastAsia="zh-CN"/>
                    </w:rPr>
                  </w:pPr>
                </w:p>
              </w:tc>
              <w:tc>
                <w:tcPr>
                  <w:tcW w:w="473" w:type="pct"/>
                  <w:vMerge w:val="continue"/>
                  <w:tcBorders>
                    <w:tl2br w:val="nil"/>
                    <w:tr2bl w:val="nil"/>
                  </w:tcBorders>
                  <w:noWrap w:val="0"/>
                  <w:vAlign w:val="center"/>
                </w:tcPr>
                <w:p w14:paraId="5292748B">
                  <w:pPr>
                    <w:pStyle w:val="127"/>
                    <w:bidi w:val="0"/>
                    <w:jc w:val="center"/>
                    <w:rPr>
                      <w:rFonts w:hint="default" w:ascii="Times New Roman" w:hAnsi="Times New Roman" w:cs="Times New Roman"/>
                      <w:color w:val="auto"/>
                      <w:lang w:val="en-US" w:eastAsia="zh-CN"/>
                    </w:rPr>
                  </w:pPr>
                </w:p>
              </w:tc>
              <w:tc>
                <w:tcPr>
                  <w:tcW w:w="590" w:type="pct"/>
                  <w:vMerge w:val="continue"/>
                  <w:tcBorders>
                    <w:tl2br w:val="nil"/>
                    <w:tr2bl w:val="nil"/>
                  </w:tcBorders>
                  <w:noWrap w:val="0"/>
                  <w:vAlign w:val="center"/>
                </w:tcPr>
                <w:p w14:paraId="71E5F39B">
                  <w:pPr>
                    <w:pStyle w:val="127"/>
                    <w:bidi w:val="0"/>
                    <w:jc w:val="center"/>
                    <w:rPr>
                      <w:rFonts w:hint="default" w:ascii="Times New Roman" w:hAnsi="Times New Roman" w:cs="Times New Roman"/>
                      <w:color w:val="auto"/>
                      <w:lang w:val="en-US" w:eastAsia="zh-CN"/>
                    </w:rPr>
                  </w:pPr>
                </w:p>
              </w:tc>
              <w:tc>
                <w:tcPr>
                  <w:tcW w:w="386" w:type="pct"/>
                  <w:vMerge w:val="continue"/>
                  <w:tcBorders>
                    <w:tl2br w:val="nil"/>
                    <w:tr2bl w:val="nil"/>
                  </w:tcBorders>
                  <w:noWrap w:val="0"/>
                  <w:vAlign w:val="center"/>
                </w:tcPr>
                <w:p w14:paraId="4D149F76">
                  <w:pPr>
                    <w:pStyle w:val="127"/>
                    <w:bidi w:val="0"/>
                    <w:jc w:val="center"/>
                    <w:rPr>
                      <w:rFonts w:hint="default" w:ascii="Times New Roman" w:hAnsi="Times New Roman" w:cs="Times New Roman"/>
                      <w:color w:val="auto"/>
                      <w:lang w:val="en-US" w:eastAsia="zh-CN"/>
                    </w:rPr>
                  </w:pPr>
                </w:p>
              </w:tc>
              <w:tc>
                <w:tcPr>
                  <w:tcW w:w="375" w:type="pct"/>
                  <w:vMerge w:val="continue"/>
                  <w:tcBorders>
                    <w:tl2br w:val="nil"/>
                    <w:tr2bl w:val="nil"/>
                  </w:tcBorders>
                  <w:noWrap w:val="0"/>
                  <w:vAlign w:val="center"/>
                </w:tcPr>
                <w:p w14:paraId="10F4D7B4">
                  <w:pPr>
                    <w:pStyle w:val="127"/>
                    <w:bidi w:val="0"/>
                    <w:jc w:val="center"/>
                    <w:rPr>
                      <w:rFonts w:hint="default" w:ascii="Times New Roman" w:hAnsi="Times New Roman" w:cs="Times New Roman"/>
                      <w:color w:val="auto"/>
                      <w:lang w:val="en-US" w:eastAsia="zh-CN"/>
                    </w:rPr>
                  </w:pPr>
                </w:p>
              </w:tc>
            </w:tr>
            <w:tr w14:paraId="402DE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03" w:type="pct"/>
                  <w:vMerge w:val="continue"/>
                  <w:tcBorders>
                    <w:tl2br w:val="nil"/>
                    <w:tr2bl w:val="nil"/>
                  </w:tcBorders>
                  <w:noWrap w:val="0"/>
                  <w:vAlign w:val="center"/>
                </w:tcPr>
                <w:p w14:paraId="797D734E">
                  <w:pPr>
                    <w:pStyle w:val="127"/>
                    <w:bidi w:val="0"/>
                    <w:jc w:val="center"/>
                    <w:rPr>
                      <w:rFonts w:hint="default" w:ascii="Times New Roman" w:hAnsi="Times New Roman" w:cs="Times New Roman"/>
                      <w:color w:val="auto"/>
                      <w:lang w:val="en-US" w:eastAsia="zh-CN"/>
                    </w:rPr>
                  </w:pPr>
                </w:p>
              </w:tc>
              <w:tc>
                <w:tcPr>
                  <w:tcW w:w="572" w:type="pct"/>
                  <w:vMerge w:val="continue"/>
                  <w:tcBorders>
                    <w:tl2br w:val="nil"/>
                    <w:tr2bl w:val="nil"/>
                  </w:tcBorders>
                  <w:noWrap w:val="0"/>
                  <w:vAlign w:val="center"/>
                </w:tcPr>
                <w:p w14:paraId="6A9EE840">
                  <w:pPr>
                    <w:pStyle w:val="127"/>
                    <w:bidi w:val="0"/>
                    <w:jc w:val="center"/>
                    <w:rPr>
                      <w:rFonts w:hint="default" w:ascii="Times New Roman" w:hAnsi="Times New Roman" w:cs="Times New Roman"/>
                      <w:color w:val="auto"/>
                      <w:lang w:val="en-US" w:eastAsia="zh-CN"/>
                    </w:rPr>
                  </w:pPr>
                </w:p>
              </w:tc>
              <w:tc>
                <w:tcPr>
                  <w:tcW w:w="791" w:type="pct"/>
                  <w:tcBorders>
                    <w:tl2br w:val="nil"/>
                    <w:tr2bl w:val="nil"/>
                  </w:tcBorders>
                  <w:noWrap w:val="0"/>
                  <w:vAlign w:val="center"/>
                </w:tcPr>
                <w:p w14:paraId="12A7B0C0">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lang w:val="en-US" w:eastAsia="zh-CN"/>
                    </w:rPr>
                  </w:pPr>
                  <w:r>
                    <w:rPr>
                      <w:rFonts w:hint="eastAsia"/>
                      <w:color w:val="auto"/>
                      <w:szCs w:val="21"/>
                      <w:lang w:val="en-US" w:eastAsia="zh-CN"/>
                    </w:rPr>
                    <w:t>废活性炭</w:t>
                  </w:r>
                </w:p>
              </w:tc>
              <w:tc>
                <w:tcPr>
                  <w:tcW w:w="1601" w:type="dxa"/>
                  <w:tcBorders>
                    <w:tl2br w:val="nil"/>
                    <w:tr2bl w:val="nil"/>
                  </w:tcBorders>
                  <w:noWrap w:val="0"/>
                  <w:vAlign w:val="center"/>
                </w:tcPr>
                <w:p w14:paraId="6F8EFF19">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w:t>
                  </w:r>
                  <w:r>
                    <w:rPr>
                      <w:rFonts w:hint="eastAsia" w:cs="Times New Roman"/>
                      <w:color w:val="auto"/>
                      <w:lang w:val="en-US" w:eastAsia="zh-CN"/>
                    </w:rPr>
                    <w:t>2</w:t>
                  </w:r>
                  <w:r>
                    <w:rPr>
                      <w:rFonts w:hint="eastAsia" w:ascii="Times New Roman" w:hAnsi="Times New Roman" w:cs="Times New Roman"/>
                      <w:color w:val="auto"/>
                      <w:lang w:val="en-US" w:eastAsia="zh-CN"/>
                    </w:rPr>
                    <w:t>9</w:t>
                  </w:r>
                </w:p>
                <w:p w14:paraId="10F40BE2">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olor w:val="auto"/>
                      <w:szCs w:val="21"/>
                      <w:lang w:eastAsia="zh-CN"/>
                    </w:rPr>
                  </w:pPr>
                  <w:r>
                    <w:rPr>
                      <w:rFonts w:hint="default" w:ascii="Times New Roman" w:hAnsi="Times New Roman" w:cs="Times New Roman"/>
                      <w:color w:val="auto"/>
                      <w:lang w:val="en-US" w:eastAsia="zh-CN"/>
                    </w:rPr>
                    <w:t>900-</w:t>
                  </w:r>
                  <w:r>
                    <w:rPr>
                      <w:rFonts w:hint="eastAsia" w:ascii="Times New Roman" w:hAnsi="Times New Roman" w:cs="Times New Roman"/>
                      <w:color w:val="auto"/>
                      <w:lang w:val="en-US" w:eastAsia="zh-CN"/>
                    </w:rPr>
                    <w:t>0</w:t>
                  </w:r>
                  <w:r>
                    <w:rPr>
                      <w:rFonts w:hint="eastAsia" w:cs="Times New Roman"/>
                      <w:color w:val="auto"/>
                      <w:lang w:val="en-US" w:eastAsia="zh-CN"/>
                    </w:rPr>
                    <w:t>23</w:t>
                  </w:r>
                  <w:r>
                    <w:rPr>
                      <w:rFonts w:hint="default" w:ascii="Times New Roman" w:hAnsi="Times New Roman" w:cs="Times New Roman"/>
                      <w:color w:val="auto"/>
                      <w:lang w:val="en-US" w:eastAsia="zh-CN"/>
                    </w:rPr>
                    <w:t>-</w:t>
                  </w:r>
                  <w:r>
                    <w:rPr>
                      <w:rFonts w:hint="eastAsia" w:cs="Times New Roman"/>
                      <w:color w:val="auto"/>
                      <w:lang w:val="en-US" w:eastAsia="zh-CN"/>
                    </w:rPr>
                    <w:t>2</w:t>
                  </w:r>
                  <w:r>
                    <w:rPr>
                      <w:rFonts w:hint="eastAsia" w:ascii="Times New Roman" w:hAnsi="Times New Roman" w:cs="Times New Roman"/>
                      <w:color w:val="auto"/>
                      <w:lang w:val="en-US" w:eastAsia="zh-CN"/>
                    </w:rPr>
                    <w:t>9</w:t>
                  </w:r>
                </w:p>
              </w:tc>
              <w:tc>
                <w:tcPr>
                  <w:tcW w:w="528" w:type="pct"/>
                  <w:vMerge w:val="continue"/>
                  <w:tcBorders>
                    <w:tl2br w:val="nil"/>
                    <w:tr2bl w:val="nil"/>
                  </w:tcBorders>
                  <w:noWrap w:val="0"/>
                  <w:vAlign w:val="center"/>
                </w:tcPr>
                <w:p w14:paraId="51A067D4">
                  <w:pPr>
                    <w:pStyle w:val="127"/>
                    <w:bidi w:val="0"/>
                    <w:jc w:val="center"/>
                    <w:rPr>
                      <w:rFonts w:hint="default" w:ascii="Times New Roman" w:hAnsi="Times New Roman" w:cs="Times New Roman"/>
                      <w:color w:val="auto"/>
                      <w:lang w:val="en-US" w:eastAsia="zh-CN"/>
                    </w:rPr>
                  </w:pPr>
                </w:p>
              </w:tc>
              <w:tc>
                <w:tcPr>
                  <w:tcW w:w="473" w:type="pct"/>
                  <w:vMerge w:val="continue"/>
                  <w:tcBorders>
                    <w:tl2br w:val="nil"/>
                    <w:tr2bl w:val="nil"/>
                  </w:tcBorders>
                  <w:noWrap w:val="0"/>
                  <w:vAlign w:val="center"/>
                </w:tcPr>
                <w:p w14:paraId="4658FB06">
                  <w:pPr>
                    <w:pStyle w:val="127"/>
                    <w:bidi w:val="0"/>
                    <w:jc w:val="center"/>
                    <w:rPr>
                      <w:rFonts w:hint="default" w:ascii="Times New Roman" w:hAnsi="Times New Roman" w:cs="Times New Roman"/>
                      <w:color w:val="auto"/>
                      <w:lang w:val="en-US" w:eastAsia="zh-CN"/>
                    </w:rPr>
                  </w:pPr>
                </w:p>
              </w:tc>
              <w:tc>
                <w:tcPr>
                  <w:tcW w:w="590" w:type="pct"/>
                  <w:vMerge w:val="continue"/>
                  <w:tcBorders>
                    <w:tl2br w:val="nil"/>
                    <w:tr2bl w:val="nil"/>
                  </w:tcBorders>
                  <w:noWrap w:val="0"/>
                  <w:vAlign w:val="center"/>
                </w:tcPr>
                <w:p w14:paraId="654A9C47">
                  <w:pPr>
                    <w:pStyle w:val="127"/>
                    <w:bidi w:val="0"/>
                    <w:jc w:val="center"/>
                    <w:rPr>
                      <w:rFonts w:hint="default" w:ascii="Times New Roman" w:hAnsi="Times New Roman" w:cs="Times New Roman"/>
                      <w:color w:val="auto"/>
                      <w:lang w:val="en-US" w:eastAsia="zh-CN"/>
                    </w:rPr>
                  </w:pPr>
                </w:p>
              </w:tc>
              <w:tc>
                <w:tcPr>
                  <w:tcW w:w="386" w:type="pct"/>
                  <w:vMerge w:val="continue"/>
                  <w:tcBorders>
                    <w:tl2br w:val="nil"/>
                    <w:tr2bl w:val="nil"/>
                  </w:tcBorders>
                  <w:noWrap w:val="0"/>
                  <w:vAlign w:val="center"/>
                </w:tcPr>
                <w:p w14:paraId="0C4D3EF3">
                  <w:pPr>
                    <w:pStyle w:val="127"/>
                    <w:bidi w:val="0"/>
                    <w:jc w:val="center"/>
                    <w:rPr>
                      <w:rFonts w:hint="default" w:ascii="Times New Roman" w:hAnsi="Times New Roman" w:cs="Times New Roman"/>
                      <w:color w:val="auto"/>
                      <w:lang w:val="en-US" w:eastAsia="zh-CN"/>
                    </w:rPr>
                  </w:pPr>
                </w:p>
              </w:tc>
              <w:tc>
                <w:tcPr>
                  <w:tcW w:w="375" w:type="pct"/>
                  <w:vMerge w:val="continue"/>
                  <w:tcBorders>
                    <w:tl2br w:val="nil"/>
                    <w:tr2bl w:val="nil"/>
                  </w:tcBorders>
                  <w:noWrap w:val="0"/>
                  <w:vAlign w:val="center"/>
                </w:tcPr>
                <w:p w14:paraId="4A15066E">
                  <w:pPr>
                    <w:pStyle w:val="127"/>
                    <w:bidi w:val="0"/>
                    <w:jc w:val="center"/>
                    <w:rPr>
                      <w:rFonts w:hint="default" w:ascii="Times New Roman" w:hAnsi="Times New Roman" w:cs="Times New Roman"/>
                      <w:color w:val="auto"/>
                      <w:lang w:val="en-US" w:eastAsia="zh-CN"/>
                    </w:rPr>
                  </w:pPr>
                </w:p>
              </w:tc>
            </w:tr>
          </w:tbl>
          <w:p w14:paraId="4032CA9A">
            <w:pPr>
              <w:pStyle w:val="125"/>
              <w:bidi w:val="0"/>
              <w:rPr>
                <w:rFonts w:hint="default"/>
                <w:color w:val="auto"/>
                <w:lang w:val="en-US" w:eastAsia="zh-CN"/>
              </w:rPr>
            </w:pPr>
            <w:r>
              <w:rPr>
                <w:rFonts w:hint="default"/>
                <w:color w:val="auto"/>
                <w:lang w:val="en-US" w:eastAsia="zh-CN"/>
              </w:rPr>
              <w:t>表4-</w:t>
            </w:r>
            <w:r>
              <w:rPr>
                <w:rFonts w:hint="eastAsia"/>
                <w:color w:val="auto"/>
                <w:lang w:val="en-US" w:eastAsia="zh-CN"/>
              </w:rPr>
              <w:t xml:space="preserve">33 </w:t>
            </w:r>
            <w:r>
              <w:rPr>
                <w:rFonts w:hint="default"/>
                <w:color w:val="auto"/>
                <w:lang w:val="en-US" w:eastAsia="zh-CN"/>
              </w:rPr>
              <w:t xml:space="preserve"> </w:t>
            </w:r>
            <w:r>
              <w:rPr>
                <w:rFonts w:hint="eastAsia"/>
                <w:color w:val="auto"/>
                <w:lang w:val="en-US" w:eastAsia="zh-CN"/>
              </w:rPr>
              <w:t>一般固体废物暂存间</w:t>
            </w:r>
            <w:r>
              <w:rPr>
                <w:rFonts w:hint="default"/>
                <w:color w:val="auto"/>
                <w:lang w:val="en-US" w:eastAsia="zh-CN"/>
              </w:rPr>
              <w:t>基本情况</w:t>
            </w:r>
          </w:p>
          <w:tbl>
            <w:tblPr>
              <w:tblStyle w:val="34"/>
              <w:tblW w:w="82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299"/>
              <w:gridCol w:w="1476"/>
              <w:gridCol w:w="1058"/>
              <w:gridCol w:w="854"/>
              <w:gridCol w:w="1064"/>
              <w:gridCol w:w="956"/>
              <w:gridCol w:w="956"/>
            </w:tblGrid>
            <w:tr w14:paraId="2D0D8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82" w:type="pct"/>
                  <w:tcBorders>
                    <w:tl2br w:val="nil"/>
                    <w:tr2bl w:val="nil"/>
                  </w:tcBorders>
                  <w:noWrap w:val="0"/>
                  <w:vAlign w:val="center"/>
                </w:tcPr>
                <w:p w14:paraId="00396C6F">
                  <w:pPr>
                    <w:pStyle w:val="126"/>
                    <w:bidi w:val="0"/>
                    <w:jc w:val="center"/>
                    <w:rPr>
                      <w:rFonts w:hint="default"/>
                      <w:color w:val="auto"/>
                      <w:lang w:val="en-US" w:eastAsia="zh-CN"/>
                    </w:rPr>
                  </w:pPr>
                  <w:r>
                    <w:rPr>
                      <w:rFonts w:hint="eastAsia"/>
                      <w:color w:val="auto"/>
                      <w:lang w:val="en-US" w:eastAsia="zh-CN"/>
                    </w:rPr>
                    <w:t>序号</w:t>
                  </w:r>
                </w:p>
              </w:tc>
              <w:tc>
                <w:tcPr>
                  <w:tcW w:w="782" w:type="pct"/>
                  <w:tcBorders>
                    <w:tl2br w:val="nil"/>
                    <w:tr2bl w:val="nil"/>
                  </w:tcBorders>
                  <w:noWrap w:val="0"/>
                  <w:vAlign w:val="center"/>
                </w:tcPr>
                <w:p w14:paraId="4DA65A92">
                  <w:pPr>
                    <w:pStyle w:val="126"/>
                    <w:bidi w:val="0"/>
                    <w:jc w:val="center"/>
                    <w:rPr>
                      <w:rFonts w:hint="default"/>
                      <w:color w:val="auto"/>
                      <w:lang w:val="en-US" w:eastAsia="zh-CN"/>
                    </w:rPr>
                  </w:pPr>
                  <w:r>
                    <w:rPr>
                      <w:rFonts w:hint="eastAsia"/>
                      <w:color w:val="auto"/>
                      <w:lang w:val="en-US" w:eastAsia="zh-CN"/>
                    </w:rPr>
                    <w:t>贮存场所名称</w:t>
                  </w:r>
                </w:p>
              </w:tc>
              <w:tc>
                <w:tcPr>
                  <w:tcW w:w="889" w:type="pct"/>
                  <w:tcBorders>
                    <w:tl2br w:val="nil"/>
                    <w:tr2bl w:val="nil"/>
                  </w:tcBorders>
                  <w:noWrap w:val="0"/>
                  <w:vAlign w:val="center"/>
                </w:tcPr>
                <w:p w14:paraId="3D431BB2">
                  <w:pPr>
                    <w:pStyle w:val="126"/>
                    <w:bidi w:val="0"/>
                    <w:jc w:val="center"/>
                    <w:rPr>
                      <w:rFonts w:hint="default"/>
                      <w:color w:val="auto"/>
                      <w:lang w:val="en-US" w:eastAsia="zh-CN"/>
                    </w:rPr>
                  </w:pPr>
                  <w:r>
                    <w:rPr>
                      <w:rFonts w:hint="eastAsia"/>
                      <w:color w:val="auto"/>
                      <w:lang w:val="en-US" w:eastAsia="zh-CN"/>
                    </w:rPr>
                    <w:t>固体废物类别</w:t>
                  </w:r>
                </w:p>
              </w:tc>
              <w:tc>
                <w:tcPr>
                  <w:tcW w:w="637" w:type="pct"/>
                  <w:tcBorders>
                    <w:tl2br w:val="nil"/>
                    <w:tr2bl w:val="nil"/>
                  </w:tcBorders>
                  <w:noWrap w:val="0"/>
                  <w:vAlign w:val="center"/>
                </w:tcPr>
                <w:p w14:paraId="653F8317">
                  <w:pPr>
                    <w:pStyle w:val="126"/>
                    <w:bidi w:val="0"/>
                    <w:jc w:val="center"/>
                    <w:rPr>
                      <w:rFonts w:hint="default"/>
                      <w:color w:val="auto"/>
                      <w:lang w:val="en-US" w:eastAsia="zh-CN"/>
                    </w:rPr>
                  </w:pPr>
                  <w:r>
                    <w:rPr>
                      <w:rFonts w:hint="eastAsia"/>
                      <w:color w:val="auto"/>
                      <w:lang w:val="en-US" w:eastAsia="zh-CN"/>
                    </w:rPr>
                    <w:t>位置</w:t>
                  </w:r>
                </w:p>
              </w:tc>
              <w:tc>
                <w:tcPr>
                  <w:tcW w:w="514" w:type="pct"/>
                  <w:tcBorders>
                    <w:tl2br w:val="nil"/>
                    <w:tr2bl w:val="nil"/>
                  </w:tcBorders>
                  <w:noWrap w:val="0"/>
                  <w:vAlign w:val="center"/>
                </w:tcPr>
                <w:p w14:paraId="112CE989">
                  <w:pPr>
                    <w:pStyle w:val="126"/>
                    <w:bidi w:val="0"/>
                    <w:jc w:val="center"/>
                    <w:rPr>
                      <w:rFonts w:hint="eastAsia"/>
                      <w:color w:val="auto"/>
                      <w:lang w:val="en-US" w:eastAsia="zh-CN"/>
                    </w:rPr>
                  </w:pPr>
                  <w:r>
                    <w:rPr>
                      <w:rFonts w:hint="eastAsia"/>
                      <w:color w:val="auto"/>
                      <w:lang w:val="en-US" w:eastAsia="zh-CN"/>
                    </w:rPr>
                    <w:t>面积</w:t>
                  </w:r>
                </w:p>
              </w:tc>
              <w:tc>
                <w:tcPr>
                  <w:tcW w:w="641" w:type="pct"/>
                  <w:tcBorders>
                    <w:tl2br w:val="nil"/>
                    <w:tr2bl w:val="nil"/>
                  </w:tcBorders>
                  <w:noWrap w:val="0"/>
                  <w:vAlign w:val="center"/>
                </w:tcPr>
                <w:p w14:paraId="180B01BA">
                  <w:pPr>
                    <w:pStyle w:val="126"/>
                    <w:bidi w:val="0"/>
                    <w:jc w:val="center"/>
                    <w:rPr>
                      <w:rFonts w:hint="default"/>
                      <w:color w:val="auto"/>
                      <w:lang w:val="en-US" w:eastAsia="zh-CN"/>
                    </w:rPr>
                  </w:pPr>
                  <w:r>
                    <w:rPr>
                      <w:rFonts w:hint="eastAsia"/>
                      <w:color w:val="auto"/>
                      <w:lang w:val="en-US" w:eastAsia="zh-CN"/>
                    </w:rPr>
                    <w:t>贮存方式</w:t>
                  </w:r>
                </w:p>
              </w:tc>
              <w:tc>
                <w:tcPr>
                  <w:tcW w:w="576" w:type="pct"/>
                  <w:tcBorders>
                    <w:tl2br w:val="nil"/>
                    <w:tr2bl w:val="nil"/>
                  </w:tcBorders>
                  <w:noWrap w:val="0"/>
                  <w:vAlign w:val="center"/>
                </w:tcPr>
                <w:p w14:paraId="3BDD11D1">
                  <w:pPr>
                    <w:pStyle w:val="126"/>
                    <w:bidi w:val="0"/>
                    <w:jc w:val="center"/>
                    <w:rPr>
                      <w:rFonts w:hint="default"/>
                      <w:color w:val="auto"/>
                      <w:lang w:val="en-US" w:eastAsia="zh-CN"/>
                    </w:rPr>
                  </w:pPr>
                  <w:r>
                    <w:rPr>
                      <w:rFonts w:hint="eastAsia"/>
                      <w:color w:val="auto"/>
                      <w:lang w:val="en-US" w:eastAsia="zh-CN"/>
                    </w:rPr>
                    <w:t>贮存能力</w:t>
                  </w:r>
                </w:p>
              </w:tc>
              <w:tc>
                <w:tcPr>
                  <w:tcW w:w="576" w:type="pct"/>
                  <w:tcBorders>
                    <w:tl2br w:val="nil"/>
                    <w:tr2bl w:val="nil"/>
                  </w:tcBorders>
                  <w:noWrap w:val="0"/>
                  <w:vAlign w:val="center"/>
                </w:tcPr>
                <w:p w14:paraId="08C28776">
                  <w:pPr>
                    <w:pStyle w:val="126"/>
                    <w:bidi w:val="0"/>
                    <w:jc w:val="center"/>
                    <w:rPr>
                      <w:rFonts w:hint="eastAsia"/>
                      <w:color w:val="auto"/>
                      <w:lang w:val="en-US" w:eastAsia="zh-CN"/>
                    </w:rPr>
                  </w:pPr>
                  <w:r>
                    <w:rPr>
                      <w:rFonts w:hint="eastAsia"/>
                      <w:color w:val="auto"/>
                      <w:lang w:val="en-US" w:eastAsia="zh-CN"/>
                    </w:rPr>
                    <w:t>最大贮存周期</w:t>
                  </w:r>
                </w:p>
              </w:tc>
            </w:tr>
            <w:tr w14:paraId="4D475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382" w:type="pct"/>
                  <w:tcBorders>
                    <w:tl2br w:val="nil"/>
                    <w:tr2bl w:val="nil"/>
                  </w:tcBorders>
                  <w:noWrap w:val="0"/>
                  <w:vAlign w:val="center"/>
                </w:tcPr>
                <w:p w14:paraId="58CC2C68">
                  <w:pPr>
                    <w:pStyle w:val="127"/>
                    <w:bidi w:val="0"/>
                    <w:jc w:val="center"/>
                    <w:rPr>
                      <w:rFonts w:hint="default"/>
                      <w:color w:val="auto"/>
                      <w:lang w:val="en-US" w:eastAsia="zh-CN"/>
                    </w:rPr>
                  </w:pPr>
                  <w:r>
                    <w:rPr>
                      <w:rFonts w:hint="eastAsia"/>
                      <w:color w:val="auto"/>
                      <w:lang w:val="en-US" w:eastAsia="zh-CN"/>
                    </w:rPr>
                    <w:t>1</w:t>
                  </w:r>
                </w:p>
              </w:tc>
              <w:tc>
                <w:tcPr>
                  <w:tcW w:w="782" w:type="pct"/>
                  <w:tcBorders>
                    <w:tl2br w:val="nil"/>
                    <w:tr2bl w:val="nil"/>
                  </w:tcBorders>
                  <w:noWrap w:val="0"/>
                  <w:vAlign w:val="center"/>
                </w:tcPr>
                <w:p w14:paraId="18699F46">
                  <w:pPr>
                    <w:pStyle w:val="127"/>
                    <w:bidi w:val="0"/>
                    <w:jc w:val="center"/>
                    <w:rPr>
                      <w:rFonts w:hint="default"/>
                      <w:color w:val="auto"/>
                      <w:lang w:val="en-US" w:eastAsia="zh-CN"/>
                    </w:rPr>
                  </w:pPr>
                  <w:r>
                    <w:rPr>
                      <w:rFonts w:hint="eastAsia"/>
                      <w:color w:val="auto"/>
                      <w:lang w:val="en-US" w:eastAsia="zh-CN"/>
                    </w:rPr>
                    <w:t>一般固体废物暂存间</w:t>
                  </w:r>
                </w:p>
              </w:tc>
              <w:tc>
                <w:tcPr>
                  <w:tcW w:w="889" w:type="pct"/>
                  <w:tcBorders>
                    <w:tl2br w:val="nil"/>
                    <w:tr2bl w:val="nil"/>
                  </w:tcBorders>
                  <w:noWrap w:val="0"/>
                  <w:vAlign w:val="center"/>
                </w:tcPr>
                <w:p w14:paraId="00FA1C66">
                  <w:pPr>
                    <w:pStyle w:val="127"/>
                    <w:bidi w:val="0"/>
                    <w:jc w:val="center"/>
                    <w:rPr>
                      <w:rFonts w:hint="default"/>
                      <w:color w:val="auto"/>
                      <w:lang w:val="en-US" w:eastAsia="zh-CN"/>
                    </w:rPr>
                  </w:pPr>
                  <w:r>
                    <w:rPr>
                      <w:rFonts w:hint="eastAsia" w:ascii="Times New Roman" w:hAnsi="Times New Roman" w:eastAsia="宋体" w:cs="Times New Roman"/>
                      <w:color w:val="auto"/>
                      <w:lang w:val="en-US" w:eastAsia="zh-CN"/>
                    </w:rPr>
                    <w:t>餐厨垃圾、废油脂、废包装材料、废滤芯和废反渗透膜、锅炉软水废树脂、沉淀池污泥</w:t>
                  </w:r>
                </w:p>
              </w:tc>
              <w:tc>
                <w:tcPr>
                  <w:tcW w:w="637" w:type="pct"/>
                  <w:tcBorders>
                    <w:tl2br w:val="nil"/>
                    <w:tr2bl w:val="nil"/>
                  </w:tcBorders>
                  <w:noWrap w:val="0"/>
                  <w:vAlign w:val="center"/>
                </w:tcPr>
                <w:p w14:paraId="2541ABBB">
                  <w:pPr>
                    <w:pStyle w:val="127"/>
                    <w:bidi w:val="0"/>
                    <w:jc w:val="center"/>
                    <w:rPr>
                      <w:rFonts w:hint="default"/>
                      <w:color w:val="auto"/>
                      <w:lang w:val="en-US" w:eastAsia="zh-CN"/>
                    </w:rPr>
                  </w:pPr>
                  <w:r>
                    <w:rPr>
                      <w:rFonts w:hint="eastAsia"/>
                      <w:color w:val="auto"/>
                      <w:lang w:val="en-US" w:eastAsia="zh-CN"/>
                    </w:rPr>
                    <w:t>位于中央厨房东侧</w:t>
                  </w:r>
                </w:p>
              </w:tc>
              <w:tc>
                <w:tcPr>
                  <w:tcW w:w="514" w:type="pct"/>
                  <w:tcBorders>
                    <w:tl2br w:val="nil"/>
                    <w:tr2bl w:val="nil"/>
                  </w:tcBorders>
                  <w:noWrap w:val="0"/>
                  <w:vAlign w:val="center"/>
                </w:tcPr>
                <w:p w14:paraId="05CC0049">
                  <w:pPr>
                    <w:pStyle w:val="127"/>
                    <w:bidi w:val="0"/>
                    <w:jc w:val="center"/>
                    <w:rPr>
                      <w:rFonts w:hint="default"/>
                      <w:color w:val="auto"/>
                      <w:vertAlign w:val="baseline"/>
                      <w:lang w:val="en-US" w:eastAsia="zh-CN"/>
                    </w:rPr>
                  </w:pPr>
                  <w:r>
                    <w:rPr>
                      <w:rFonts w:hint="eastAsia"/>
                      <w:color w:val="auto"/>
                      <w:lang w:val="en-US" w:eastAsia="zh-CN"/>
                    </w:rPr>
                    <w:t>20m</w:t>
                  </w:r>
                  <w:r>
                    <w:rPr>
                      <w:rFonts w:hint="eastAsia"/>
                      <w:color w:val="auto"/>
                      <w:vertAlign w:val="superscript"/>
                      <w:lang w:val="en-US" w:eastAsia="zh-CN"/>
                    </w:rPr>
                    <w:t>2</w:t>
                  </w:r>
                </w:p>
              </w:tc>
              <w:tc>
                <w:tcPr>
                  <w:tcW w:w="641" w:type="pct"/>
                  <w:tcBorders>
                    <w:tl2br w:val="nil"/>
                    <w:tr2bl w:val="nil"/>
                  </w:tcBorders>
                  <w:noWrap w:val="0"/>
                  <w:vAlign w:val="center"/>
                </w:tcPr>
                <w:p w14:paraId="62FEB852">
                  <w:pPr>
                    <w:pStyle w:val="127"/>
                    <w:bidi w:val="0"/>
                    <w:jc w:val="center"/>
                    <w:rPr>
                      <w:rFonts w:hint="default"/>
                      <w:color w:val="auto"/>
                      <w:lang w:val="en-US" w:eastAsia="zh-CN"/>
                    </w:rPr>
                  </w:pPr>
                  <w:r>
                    <w:rPr>
                      <w:rFonts w:hint="default" w:ascii="Times New Roman" w:hAnsi="Times New Roman" w:cs="Times New Roman"/>
                      <w:color w:val="auto"/>
                      <w:lang w:val="en-US" w:eastAsia="zh-CN"/>
                    </w:rPr>
                    <w:t>临时贮存</w:t>
                  </w:r>
                  <w:r>
                    <w:rPr>
                      <w:rFonts w:hint="eastAsia" w:cs="Times New Roman"/>
                      <w:color w:val="auto"/>
                      <w:lang w:val="en-US" w:eastAsia="zh-CN"/>
                    </w:rPr>
                    <w:t>，</w:t>
                  </w:r>
                  <w:r>
                    <w:rPr>
                      <w:rFonts w:hint="eastAsia"/>
                      <w:color w:val="auto"/>
                      <w:lang w:val="en-US" w:eastAsia="zh-CN"/>
                    </w:rPr>
                    <w:t>分类堆存，密闭</w:t>
                  </w:r>
                  <w:r>
                    <w:rPr>
                      <w:rFonts w:hint="default"/>
                      <w:color w:val="auto"/>
                      <w:lang w:val="en-US" w:eastAsia="zh-CN"/>
                    </w:rPr>
                    <w:t>容器</w:t>
                  </w:r>
                  <w:r>
                    <w:rPr>
                      <w:rFonts w:hint="eastAsia"/>
                      <w:color w:val="auto"/>
                      <w:lang w:val="en-US" w:eastAsia="zh-CN"/>
                    </w:rPr>
                    <w:t>装</w:t>
                  </w:r>
                </w:p>
              </w:tc>
              <w:tc>
                <w:tcPr>
                  <w:tcW w:w="576" w:type="pct"/>
                  <w:tcBorders>
                    <w:tl2br w:val="nil"/>
                    <w:tr2bl w:val="nil"/>
                  </w:tcBorders>
                  <w:noWrap w:val="0"/>
                  <w:vAlign w:val="center"/>
                </w:tcPr>
                <w:p w14:paraId="4995967E">
                  <w:pPr>
                    <w:pStyle w:val="127"/>
                    <w:bidi w:val="0"/>
                    <w:jc w:val="center"/>
                    <w:rPr>
                      <w:rFonts w:hint="default"/>
                      <w:color w:val="auto"/>
                      <w:lang w:val="en-US" w:eastAsia="zh-CN"/>
                    </w:rPr>
                  </w:pPr>
                  <w:r>
                    <w:rPr>
                      <w:rFonts w:hint="eastAsia"/>
                      <w:color w:val="auto"/>
                      <w:lang w:val="en-US" w:eastAsia="zh-CN"/>
                    </w:rPr>
                    <w:t>16t</w:t>
                  </w:r>
                </w:p>
              </w:tc>
              <w:tc>
                <w:tcPr>
                  <w:tcW w:w="576" w:type="pct"/>
                  <w:tcBorders>
                    <w:tl2br w:val="nil"/>
                    <w:tr2bl w:val="nil"/>
                  </w:tcBorders>
                  <w:noWrap w:val="0"/>
                  <w:vAlign w:val="center"/>
                </w:tcPr>
                <w:p w14:paraId="2199B37E">
                  <w:pPr>
                    <w:pStyle w:val="127"/>
                    <w:bidi w:val="0"/>
                    <w:jc w:val="center"/>
                    <w:rPr>
                      <w:rFonts w:hint="default"/>
                      <w:color w:val="auto"/>
                      <w:lang w:val="en-US" w:eastAsia="zh-CN"/>
                    </w:rPr>
                  </w:pPr>
                  <w:r>
                    <w:rPr>
                      <w:rFonts w:hint="eastAsia" w:cs="Times New Roman"/>
                      <w:color w:val="auto"/>
                      <w:lang w:val="en-US" w:eastAsia="zh-CN"/>
                    </w:rPr>
                    <w:t>3</w:t>
                  </w:r>
                  <w:r>
                    <w:rPr>
                      <w:rFonts w:hint="default" w:ascii="Times New Roman" w:hAnsi="Times New Roman" w:cs="Times New Roman"/>
                      <w:color w:val="auto"/>
                      <w:lang w:val="en-US" w:eastAsia="zh-CN"/>
                    </w:rPr>
                    <w:t>个月</w:t>
                  </w:r>
                </w:p>
              </w:tc>
            </w:tr>
          </w:tbl>
          <w:p w14:paraId="6CCC6965">
            <w:pPr>
              <w:pStyle w:val="124"/>
              <w:bidi w:val="0"/>
              <w:rPr>
                <w:rFonts w:hint="default"/>
                <w:b/>
                <w:bCs/>
                <w:color w:val="auto"/>
                <w:lang w:val="en-US" w:eastAsia="zh-CN"/>
              </w:rPr>
            </w:pPr>
            <w:r>
              <w:rPr>
                <w:rFonts w:hint="eastAsia"/>
                <w:b/>
                <w:bCs/>
                <w:color w:val="auto"/>
                <w:lang w:val="en-US" w:eastAsia="zh-CN"/>
              </w:rPr>
              <w:t>2、环境管理要求</w:t>
            </w:r>
          </w:p>
          <w:p w14:paraId="2C3EFA31">
            <w:pPr>
              <w:widowControl w:val="0"/>
              <w:bidi w:val="0"/>
              <w:spacing w:line="360" w:lineRule="auto"/>
              <w:ind w:firstLine="480" w:firstLineChars="200"/>
              <w:jc w:val="both"/>
              <w:rPr>
                <w:rFonts w:hint="default" w:cs="Times New Roman"/>
                <w:color w:val="auto"/>
                <w:sz w:val="24"/>
                <w:szCs w:val="24"/>
                <w:lang w:val="en-US" w:eastAsia="zh-CN"/>
              </w:rPr>
            </w:pPr>
            <w:r>
              <w:rPr>
                <w:rFonts w:hint="eastAsia" w:cs="Times New Roman"/>
                <w:color w:val="auto"/>
                <w:kern w:val="2"/>
                <w:sz w:val="24"/>
                <w:szCs w:val="22"/>
                <w:lang w:val="en-US" w:eastAsia="zh-CN" w:bidi="ar-SA"/>
              </w:rPr>
              <w:t>（1）</w:t>
            </w:r>
            <w:r>
              <w:rPr>
                <w:rFonts w:hint="default" w:ascii="Times New Roman" w:hAnsi="Times New Roman" w:eastAsia="宋体" w:cs="Times New Roman"/>
                <w:color w:val="auto"/>
                <w:kern w:val="2"/>
                <w:sz w:val="24"/>
                <w:szCs w:val="24"/>
                <w:lang w:val="en-US" w:eastAsia="zh-CN" w:bidi="ar-SA"/>
              </w:rPr>
              <w:t>一般固废暂存</w:t>
            </w:r>
            <w:r>
              <w:rPr>
                <w:rFonts w:hint="eastAsia" w:cs="Times New Roman"/>
                <w:color w:val="auto"/>
                <w:kern w:val="2"/>
                <w:sz w:val="24"/>
                <w:szCs w:val="24"/>
                <w:lang w:val="en-US" w:eastAsia="zh-CN" w:bidi="ar-SA"/>
              </w:rPr>
              <w:t>间</w:t>
            </w:r>
            <w:r>
              <w:rPr>
                <w:rFonts w:hint="default" w:ascii="Times New Roman" w:hAnsi="Times New Roman" w:eastAsia="宋体" w:cs="Times New Roman"/>
                <w:color w:val="auto"/>
                <w:kern w:val="2"/>
                <w:sz w:val="24"/>
                <w:szCs w:val="24"/>
                <w:lang w:val="en-US" w:eastAsia="zh-CN" w:bidi="ar-SA"/>
              </w:rPr>
              <w:t>参照《一般工业固体废物贮存和填埋污染控制标准》(GB18599-2020)的要求，采取相应防渗漏、防雨淋、防扬尘等环境保护要求，贮存场所应设置环境保护图形标志</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sz w:val="24"/>
                <w:szCs w:val="24"/>
              </w:rPr>
              <w:t>禁止危险废物</w:t>
            </w:r>
            <w:r>
              <w:rPr>
                <w:rFonts w:hint="eastAsia" w:ascii="Times New Roman" w:hAnsi="Times New Roman" w:eastAsia="宋体" w:cs="Times New Roman"/>
                <w:color w:val="auto"/>
                <w:sz w:val="24"/>
                <w:szCs w:val="24"/>
                <w:lang w:val="en-US" w:eastAsia="zh-CN"/>
              </w:rPr>
              <w:t>和生活垃圾</w:t>
            </w:r>
            <w:r>
              <w:rPr>
                <w:rFonts w:hint="default" w:ascii="Times New Roman" w:hAnsi="Times New Roman" w:eastAsia="宋体" w:cs="Times New Roman"/>
                <w:color w:val="auto"/>
                <w:sz w:val="24"/>
                <w:szCs w:val="24"/>
              </w:rPr>
              <w:t>混入</w:t>
            </w:r>
            <w:r>
              <w:rPr>
                <w:rFonts w:hint="eastAsia" w:cs="Times New Roman"/>
                <w:color w:val="auto"/>
                <w:sz w:val="24"/>
                <w:szCs w:val="24"/>
                <w:lang w:eastAsia="zh-CN"/>
              </w:rPr>
              <w:t>。</w:t>
            </w:r>
            <w:r>
              <w:rPr>
                <w:rFonts w:hint="eastAsia" w:cs="Times New Roman"/>
                <w:color w:val="auto"/>
                <w:sz w:val="24"/>
                <w:szCs w:val="24"/>
                <w:lang w:val="en-US" w:eastAsia="zh-CN"/>
              </w:rPr>
              <w:t>一</w:t>
            </w:r>
            <w:r>
              <w:rPr>
                <w:rFonts w:hint="default" w:ascii="Times New Roman" w:hAnsi="Times New Roman" w:eastAsia="宋体" w:cs="Times New Roman"/>
                <w:color w:val="auto"/>
                <w:kern w:val="2"/>
                <w:sz w:val="24"/>
                <w:szCs w:val="24"/>
                <w:lang w:val="en-US" w:eastAsia="zh-CN" w:bidi="ar-SA"/>
              </w:rPr>
              <w:t>般固废暂存场所地面防渗层可采用抗渗混凝土（抗渗等级≥P6）或其它防渗性能等效的材料。防渗性能应不低于厚1.5m，渗透系数为1×10</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7cm/s的粘土层的防渗性能</w:t>
            </w:r>
            <w:r>
              <w:rPr>
                <w:rFonts w:hint="eastAsia" w:ascii="Times New Roman" w:hAnsi="Times New Roman" w:eastAsia="宋体" w:cs="Times New Roman"/>
                <w:color w:val="auto"/>
                <w:kern w:val="2"/>
                <w:sz w:val="24"/>
                <w:szCs w:val="24"/>
                <w:lang w:val="en-US" w:eastAsia="zh-CN" w:bidi="ar-SA"/>
              </w:rPr>
              <w:t>。</w:t>
            </w:r>
          </w:p>
          <w:p w14:paraId="4A5FA4CD">
            <w:pPr>
              <w:pStyle w:val="124"/>
              <w:bidi w:val="0"/>
              <w:rPr>
                <w:rFonts w:hint="default" w:ascii="Times New Roman" w:hAnsi="Times New Roman" w:eastAsia="宋体" w:cs="Times New Roman"/>
                <w:b w:val="0"/>
                <w:bCs w:val="0"/>
                <w:color w:val="auto"/>
                <w:spacing w:val="0"/>
                <w:sz w:val="24"/>
                <w:szCs w:val="24"/>
                <w:lang w:val="en-US" w:eastAsia="zh-CN"/>
              </w:rPr>
            </w:pPr>
            <w:r>
              <w:rPr>
                <w:rFonts w:hint="eastAsia" w:cs="Times New Roman"/>
                <w:color w:val="auto"/>
                <w:sz w:val="24"/>
                <w:szCs w:val="24"/>
                <w:lang w:val="en-US" w:eastAsia="zh-CN"/>
              </w:rPr>
              <w:t>本项目一</w:t>
            </w:r>
            <w:r>
              <w:rPr>
                <w:rFonts w:hint="default" w:ascii="Times New Roman" w:hAnsi="Times New Roman" w:eastAsia="宋体" w:cs="Times New Roman"/>
                <w:color w:val="auto"/>
                <w:kern w:val="2"/>
                <w:sz w:val="24"/>
                <w:szCs w:val="24"/>
                <w:lang w:val="en-US" w:eastAsia="zh-CN" w:bidi="ar-SA"/>
              </w:rPr>
              <w:t>固废暂存</w:t>
            </w:r>
            <w:r>
              <w:rPr>
                <w:rFonts w:hint="eastAsia" w:cs="Times New Roman"/>
                <w:color w:val="auto"/>
                <w:kern w:val="2"/>
                <w:sz w:val="24"/>
                <w:szCs w:val="24"/>
                <w:lang w:val="en-US" w:eastAsia="zh-CN" w:bidi="ar-SA"/>
              </w:rPr>
              <w:t>间</w:t>
            </w:r>
            <w:r>
              <w:rPr>
                <w:rFonts w:hint="eastAsia"/>
                <w:color w:val="auto"/>
                <w:lang w:val="en-US" w:eastAsia="zh-CN"/>
              </w:rPr>
              <w:t>位于中央厨房东侧，</w:t>
            </w:r>
            <w:r>
              <w:rPr>
                <w:rFonts w:hint="eastAsia" w:cs="Times New Roman"/>
                <w:color w:val="auto"/>
                <w:kern w:val="2"/>
                <w:sz w:val="24"/>
                <w:szCs w:val="24"/>
                <w:lang w:val="en-US" w:eastAsia="zh-CN" w:bidi="ar-SA"/>
              </w:rPr>
              <w:t>占地面积20m</w:t>
            </w:r>
            <w:r>
              <w:rPr>
                <w:rFonts w:hint="eastAsia" w:cs="Times New Roman"/>
                <w:color w:val="auto"/>
                <w:kern w:val="2"/>
                <w:sz w:val="24"/>
                <w:szCs w:val="24"/>
                <w:vertAlign w:val="superscript"/>
                <w:lang w:val="en-US" w:eastAsia="zh-CN" w:bidi="ar-SA"/>
              </w:rPr>
              <w:t>2</w:t>
            </w:r>
            <w:r>
              <w:rPr>
                <w:rFonts w:hint="eastAsia" w:cs="Times New Roman"/>
                <w:color w:val="auto"/>
                <w:kern w:val="2"/>
                <w:sz w:val="24"/>
                <w:szCs w:val="24"/>
                <w:lang w:val="en-US" w:eastAsia="zh-CN" w:bidi="ar-SA"/>
              </w:rPr>
              <w:t>，项目</w:t>
            </w:r>
            <w:r>
              <w:rPr>
                <w:rFonts w:hint="eastAsia" w:cs="Times New Roman"/>
                <w:color w:val="auto"/>
                <w:sz w:val="24"/>
                <w:szCs w:val="24"/>
                <w:lang w:val="en-US" w:eastAsia="zh-CN"/>
              </w:rPr>
              <w:t>一般固废主要为</w:t>
            </w:r>
            <w:r>
              <w:rPr>
                <w:rFonts w:hint="eastAsia"/>
                <w:bCs/>
                <w:color w:val="auto"/>
                <w:sz w:val="24"/>
                <w:lang w:val="en-US" w:eastAsia="zh-CN"/>
              </w:rPr>
              <w:t>餐厨垃圾、废油脂、废包装材料、</w:t>
            </w:r>
            <w:r>
              <w:rPr>
                <w:rFonts w:hint="eastAsia"/>
                <w:bCs/>
                <w:color w:val="auto"/>
                <w:sz w:val="24"/>
                <w:szCs w:val="24"/>
                <w:highlight w:val="none"/>
              </w:rPr>
              <w:t>废滤芯和</w:t>
            </w:r>
            <w:r>
              <w:rPr>
                <w:rFonts w:hint="eastAsia" w:ascii="Times New Roman" w:hAnsi="Times New Roman" w:eastAsia="宋体" w:cs="Times New Roman"/>
                <w:color w:val="auto"/>
                <w:sz w:val="24"/>
                <w:szCs w:val="24"/>
                <w:vertAlign w:val="baseline"/>
                <w:lang w:val="en-US" w:eastAsia="zh-CN"/>
              </w:rPr>
              <w:t>废反渗透膜、</w:t>
            </w:r>
            <w:r>
              <w:rPr>
                <w:rFonts w:hint="eastAsia"/>
                <w:bCs/>
                <w:color w:val="auto"/>
                <w:highlight w:val="none"/>
                <w:lang w:val="en-US" w:eastAsia="zh-CN"/>
              </w:rPr>
              <w:t>锅炉软水废树脂和沉淀池污泥，</w:t>
            </w:r>
            <w:r>
              <w:rPr>
                <w:rFonts w:hint="eastAsia"/>
                <w:bCs/>
                <w:color w:val="auto"/>
                <w:sz w:val="24"/>
                <w:lang w:val="en-US" w:eastAsia="zh-CN"/>
              </w:rPr>
              <w:t>餐厨垃圾和废油脂</w:t>
            </w:r>
            <w:r>
              <w:rPr>
                <w:rFonts w:hint="eastAsia"/>
                <w:color w:val="auto"/>
                <w:sz w:val="24"/>
                <w:szCs w:val="24"/>
                <w:highlight w:val="none"/>
                <w:lang w:val="en-US" w:eastAsia="zh-CN"/>
              </w:rPr>
              <w:t>采用专用容器收集、暂存，委托专业厨余垃圾回收公司每日清运处置；</w:t>
            </w:r>
            <w:r>
              <w:rPr>
                <w:rFonts w:hint="eastAsia"/>
                <w:bCs/>
                <w:color w:val="auto"/>
                <w:sz w:val="24"/>
                <w:lang w:val="en-US" w:eastAsia="zh-CN"/>
              </w:rPr>
              <w:t>废包装材料、</w:t>
            </w:r>
            <w:r>
              <w:rPr>
                <w:rFonts w:hint="eastAsia"/>
                <w:bCs/>
                <w:color w:val="auto"/>
                <w:sz w:val="24"/>
                <w:szCs w:val="24"/>
                <w:highlight w:val="none"/>
              </w:rPr>
              <w:t>废滤芯和</w:t>
            </w:r>
            <w:r>
              <w:rPr>
                <w:rFonts w:hint="eastAsia" w:ascii="Times New Roman" w:hAnsi="Times New Roman" w:eastAsia="宋体" w:cs="Times New Roman"/>
                <w:color w:val="auto"/>
                <w:sz w:val="24"/>
                <w:szCs w:val="24"/>
                <w:vertAlign w:val="baseline"/>
                <w:lang w:val="en-US" w:eastAsia="zh-CN"/>
              </w:rPr>
              <w:t>废反渗透膜、</w:t>
            </w:r>
            <w:r>
              <w:rPr>
                <w:rFonts w:hint="eastAsia"/>
                <w:bCs/>
                <w:color w:val="auto"/>
                <w:highlight w:val="none"/>
                <w:lang w:val="en-US" w:eastAsia="zh-CN"/>
              </w:rPr>
              <w:t>锅炉软水废树脂</w:t>
            </w:r>
            <w:r>
              <w:rPr>
                <w:rFonts w:hint="eastAsia" w:ascii="Times New Roman" w:hAnsi="Times New Roman" w:eastAsia="宋体" w:cs="Times New Roman"/>
                <w:color w:val="auto"/>
                <w:sz w:val="24"/>
                <w:szCs w:val="24"/>
                <w:vertAlign w:val="baseline"/>
                <w:lang w:val="en-US" w:eastAsia="zh-CN"/>
              </w:rPr>
              <w:t>分类</w:t>
            </w:r>
            <w:r>
              <w:rPr>
                <w:rFonts w:hint="eastAsia" w:cs="Times New Roman"/>
                <w:color w:val="auto"/>
                <w:sz w:val="24"/>
                <w:szCs w:val="24"/>
                <w:lang w:val="en-US" w:eastAsia="zh-CN"/>
              </w:rPr>
              <w:t>收集后统一暂存于一般固废暂存间，都</w:t>
            </w:r>
            <w:r>
              <w:rPr>
                <w:rFonts w:hint="eastAsia" w:ascii="宋体" w:hAnsi="宋体" w:eastAsia="宋体" w:cs="宋体"/>
                <w:color w:val="000000"/>
                <w:kern w:val="0"/>
                <w:sz w:val="24"/>
                <w:szCs w:val="24"/>
                <w:lang w:val="en-US" w:eastAsia="zh-CN" w:bidi="ar"/>
              </w:rPr>
              <w:t>外售给物资回收公司综合利用</w:t>
            </w:r>
            <w:r>
              <w:rPr>
                <w:rFonts w:hint="eastAsia" w:ascii="Times New Roman" w:hAnsi="Times New Roman" w:eastAsia="宋体" w:cs="Times New Roman"/>
                <w:b w:val="0"/>
                <w:bCs w:val="0"/>
                <w:color w:val="auto"/>
                <w:spacing w:val="0"/>
                <w:sz w:val="24"/>
                <w:szCs w:val="24"/>
                <w:lang w:eastAsia="zh-CN"/>
              </w:rPr>
              <w:t>；</w:t>
            </w:r>
            <w:r>
              <w:rPr>
                <w:rFonts w:hint="eastAsia"/>
                <w:color w:val="auto"/>
                <w:sz w:val="24"/>
                <w:szCs w:val="24"/>
                <w:highlight w:val="none"/>
                <w:lang w:val="en-US" w:eastAsia="zh-CN"/>
              </w:rPr>
              <w:t>沉淀池</w:t>
            </w:r>
            <w:r>
              <w:rPr>
                <w:rFonts w:hint="default" w:ascii="Times New Roman" w:hAnsi="Times New Roman" w:eastAsia="宋体" w:cs="Times New Roman"/>
                <w:b w:val="0"/>
                <w:bCs w:val="0"/>
                <w:color w:val="auto"/>
                <w:sz w:val="24"/>
                <w:szCs w:val="24"/>
                <w:highlight w:val="none"/>
                <w:lang w:val="en-US" w:eastAsia="zh-CN"/>
              </w:rPr>
              <w:t>污泥</w:t>
            </w:r>
            <w:r>
              <w:rPr>
                <w:rFonts w:hint="eastAsia"/>
                <w:color w:val="auto"/>
                <w:kern w:val="24"/>
                <w:sz w:val="24"/>
                <w:szCs w:val="24"/>
                <w:lang w:val="en-US" w:eastAsia="zh-CN"/>
              </w:rPr>
              <w:t>经压滤处理后，每周用袋装暂存于</w:t>
            </w:r>
            <w:r>
              <w:rPr>
                <w:rFonts w:hint="eastAsia" w:cs="Times New Roman"/>
                <w:color w:val="auto"/>
                <w:sz w:val="24"/>
                <w:szCs w:val="24"/>
                <w:lang w:val="en-US" w:eastAsia="zh-CN"/>
              </w:rPr>
              <w:t>一般固废暂存间</w:t>
            </w:r>
            <w:r>
              <w:rPr>
                <w:rFonts w:hint="eastAsia"/>
                <w:color w:val="auto"/>
                <w:kern w:val="24"/>
                <w:sz w:val="24"/>
                <w:szCs w:val="24"/>
                <w:lang w:val="en-US" w:eastAsia="zh-CN"/>
              </w:rPr>
              <w:t>，</w:t>
            </w:r>
            <w:r>
              <w:rPr>
                <w:rFonts w:hint="eastAsia" w:cs="Times New Roman"/>
                <w:color w:val="auto"/>
                <w:sz w:val="24"/>
                <w:szCs w:val="24"/>
                <w:lang w:val="en-US" w:eastAsia="zh-CN"/>
              </w:rPr>
              <w:t>再</w:t>
            </w:r>
            <w:r>
              <w:rPr>
                <w:rFonts w:hint="eastAsia"/>
                <w:color w:val="auto"/>
                <w:kern w:val="24"/>
                <w:sz w:val="24"/>
                <w:szCs w:val="24"/>
                <w:lang w:val="en-US" w:eastAsia="zh-CN"/>
              </w:rPr>
              <w:t>交由有资质单位处理</w:t>
            </w:r>
            <w:r>
              <w:rPr>
                <w:rFonts w:hint="eastAsia" w:cs="Times New Roman"/>
                <w:b w:val="0"/>
                <w:bCs w:val="0"/>
                <w:color w:val="000000"/>
                <w:spacing w:val="0"/>
                <w:sz w:val="24"/>
                <w:szCs w:val="24"/>
                <w:lang w:val="en-US" w:eastAsia="zh-CN"/>
              </w:rPr>
              <w:t>。</w:t>
            </w:r>
          </w:p>
          <w:p w14:paraId="26163B08">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kern w:val="2"/>
                <w:sz w:val="24"/>
                <w:szCs w:val="24"/>
                <w:lang w:val="en-US" w:eastAsia="zh-CN" w:bidi="ar-SA"/>
              </w:rPr>
              <w:t>对于危险固废，在</w:t>
            </w:r>
            <w:r>
              <w:rPr>
                <w:rFonts w:hint="eastAsia" w:ascii="Times New Roman" w:hAnsi="Times New Roman" w:eastAsia="宋体" w:cs="Times New Roman"/>
                <w:color w:val="auto"/>
                <w:kern w:val="2"/>
                <w:sz w:val="24"/>
                <w:szCs w:val="24"/>
                <w:lang w:val="en-US" w:eastAsia="zh-CN" w:bidi="ar-SA"/>
              </w:rPr>
              <w:t>场内</w:t>
            </w:r>
            <w:r>
              <w:rPr>
                <w:rFonts w:hint="default" w:ascii="Times New Roman" w:hAnsi="Times New Roman" w:eastAsia="宋体" w:cs="Times New Roman"/>
                <w:color w:val="auto"/>
                <w:kern w:val="2"/>
                <w:sz w:val="24"/>
                <w:szCs w:val="24"/>
                <w:lang w:val="en-US" w:eastAsia="zh-CN" w:bidi="ar-SA"/>
              </w:rPr>
              <w:t>暂存期间，应该严格按照《危险废物贮存污染控制标准》(GB18597-20</w:t>
            </w:r>
            <w:r>
              <w:rPr>
                <w:rFonts w:hint="eastAsia" w:eastAsia="宋体" w:cs="Times New Roman"/>
                <w:color w:val="auto"/>
                <w:kern w:val="2"/>
                <w:sz w:val="24"/>
                <w:szCs w:val="24"/>
                <w:lang w:val="en-US" w:eastAsia="zh-CN" w:bidi="ar-SA"/>
              </w:rPr>
              <w:t>23</w:t>
            </w:r>
            <w:r>
              <w:rPr>
                <w:rFonts w:hint="default" w:ascii="Times New Roman" w:hAnsi="Times New Roman" w:eastAsia="宋体" w:cs="Times New Roman"/>
                <w:color w:val="auto"/>
                <w:kern w:val="2"/>
                <w:sz w:val="24"/>
                <w:szCs w:val="24"/>
                <w:lang w:val="en-US" w:eastAsia="zh-CN" w:bidi="ar-SA"/>
              </w:rPr>
              <w:t>)，设置专门的危险废物贮存场所，设立标牌，做好“四防”（防风、防雨、防晒、防渗漏）工作</w:t>
            </w:r>
            <w:r>
              <w:rPr>
                <w:rFonts w:hint="eastAsia"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不允许露天堆放</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本项目危废间位于</w:t>
            </w:r>
            <w:r>
              <w:rPr>
                <w:rFonts w:hint="eastAsia"/>
                <w:color w:val="auto"/>
                <w:sz w:val="24"/>
                <w:szCs w:val="24"/>
                <w:lang w:val="en-US" w:eastAsia="zh-CN"/>
              </w:rPr>
              <w:t>肉类车间西侧，</w:t>
            </w:r>
            <w:r>
              <w:rPr>
                <w:rFonts w:hint="eastAsia" w:cs="Times New Roman"/>
                <w:color w:val="auto"/>
                <w:kern w:val="2"/>
                <w:sz w:val="24"/>
                <w:szCs w:val="24"/>
                <w:lang w:val="en-US" w:eastAsia="zh-CN" w:bidi="ar-SA"/>
              </w:rPr>
              <w:t>占地面积10m</w:t>
            </w:r>
            <w:r>
              <w:rPr>
                <w:rFonts w:hint="eastAsia" w:cs="Times New Roman"/>
                <w:color w:val="auto"/>
                <w:kern w:val="2"/>
                <w:sz w:val="24"/>
                <w:szCs w:val="24"/>
                <w:vertAlign w:val="superscript"/>
                <w:lang w:val="en-US" w:eastAsia="zh-CN" w:bidi="ar-SA"/>
              </w:rPr>
              <w:t>2</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，危险废物贮存场所</w:t>
            </w:r>
            <w:r>
              <w:rPr>
                <w:rFonts w:hint="eastAsia" w:cs="Times New Roman"/>
                <w:color w:val="auto"/>
                <w:kern w:val="2"/>
                <w:sz w:val="24"/>
                <w:szCs w:val="24"/>
                <w:lang w:val="en-US" w:eastAsia="zh-CN" w:bidi="ar-SA"/>
              </w:rPr>
              <w:t>及贮存过程</w:t>
            </w:r>
            <w:r>
              <w:rPr>
                <w:rFonts w:hint="default" w:ascii="Times New Roman" w:hAnsi="Times New Roman" w:eastAsia="宋体" w:cs="Times New Roman"/>
                <w:color w:val="auto"/>
                <w:kern w:val="2"/>
                <w:sz w:val="24"/>
                <w:szCs w:val="24"/>
                <w:lang w:val="en-US" w:eastAsia="zh-CN" w:bidi="ar-SA"/>
              </w:rPr>
              <w:t>的具体要求为：</w:t>
            </w:r>
          </w:p>
          <w:p w14:paraId="2F231D1A">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①</w:t>
            </w:r>
            <w:r>
              <w:rPr>
                <w:rFonts w:hint="default" w:ascii="Times New Roman" w:hAnsi="Times New Roman" w:eastAsia="宋体" w:cs="Times New Roman"/>
                <w:color w:val="auto"/>
                <w:kern w:val="2"/>
                <w:sz w:val="24"/>
                <w:szCs w:val="24"/>
                <w:lang w:val="en-US" w:eastAsia="zh-CN" w:bidi="ar-SA"/>
              </w:rPr>
              <w:t>贮存设施应根据危险废物的形态、物理化学性质、包装形式和污染物迁移途径，采取必要的防风、防晒、防雨、防漏、防渗、防腐以及其他环境污染防治措施，不应露天堆放危险废物。</w:t>
            </w:r>
          </w:p>
          <w:p w14:paraId="794B5ED0">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②</w:t>
            </w:r>
            <w:r>
              <w:rPr>
                <w:rFonts w:hint="default" w:ascii="Times New Roman" w:hAnsi="Times New Roman" w:eastAsia="宋体" w:cs="Times New Roman"/>
                <w:color w:val="auto"/>
                <w:kern w:val="2"/>
                <w:sz w:val="24"/>
                <w:szCs w:val="24"/>
                <w:lang w:val="en-US" w:eastAsia="zh-CN" w:bidi="ar-SA"/>
              </w:rPr>
              <w:t>贮存设施应根据危险废物的类别、数量、形态、物理化学性质和污染防治等要求设置必要的贮存分区，避免不相容的危险废物接触、混合。</w:t>
            </w:r>
          </w:p>
          <w:p w14:paraId="2A9EF40E">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③</w:t>
            </w:r>
            <w:r>
              <w:rPr>
                <w:rFonts w:hint="default" w:ascii="Times New Roman" w:hAnsi="Times New Roman" w:eastAsia="宋体" w:cs="Times New Roman"/>
                <w:color w:val="auto"/>
                <w:kern w:val="2"/>
                <w:sz w:val="24"/>
                <w:szCs w:val="24"/>
                <w:lang w:val="en-US" w:eastAsia="zh-CN" w:bidi="ar-SA"/>
              </w:rPr>
              <w:t>贮存设施或贮存分区内地面、墙面裙脚、堵截泄漏的围堰、接触危险废物的隔板和墙体等应采用坚固的材料建造，表面无裂缝</w:t>
            </w:r>
          </w:p>
          <w:p w14:paraId="4C759B94">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④</w:t>
            </w:r>
            <w:r>
              <w:rPr>
                <w:rFonts w:hint="default" w:ascii="Times New Roman" w:hAnsi="Times New Roman" w:eastAsia="宋体" w:cs="Times New Roman"/>
                <w:color w:val="auto"/>
                <w:kern w:val="2"/>
                <w:sz w:val="24"/>
                <w:szCs w:val="24"/>
                <w:lang w:val="en-US" w:eastAsia="zh-CN" w:bidi="ar-SA"/>
              </w:rPr>
              <w:t>贮存设施地面与裙脚应采取表面防渗措施，表面防渗材料应与所接触的物料或污染物相容，可采用抗渗混凝土、高密度聚乙烯膜或其他防渗性能等效的材料。贮存的危险废物直接接触地面的，还应进行基础防渗，防渗层为至少1m厚粘土层</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渗透系数不大于10</w:t>
            </w:r>
            <w:r>
              <w:rPr>
                <w:rFonts w:hint="eastAsia" w:ascii="Times New Roman" w:hAnsi="Times New Roman" w:eastAsia="宋体" w:cs="Times New Roman"/>
                <w:color w:val="auto"/>
                <w:kern w:val="2"/>
                <w:sz w:val="24"/>
                <w:szCs w:val="24"/>
                <w:vertAlign w:val="superscript"/>
                <w:lang w:val="en-US" w:eastAsia="zh-CN" w:bidi="ar-SA"/>
              </w:rPr>
              <w:t>-7</w:t>
            </w:r>
            <w:r>
              <w:rPr>
                <w:rFonts w:hint="default" w:ascii="Times New Roman" w:hAnsi="Times New Roman" w:eastAsia="宋体" w:cs="Times New Roman"/>
                <w:color w:val="auto"/>
                <w:kern w:val="2"/>
                <w:sz w:val="24"/>
                <w:szCs w:val="24"/>
                <w:lang w:val="en-US" w:eastAsia="zh-CN" w:bidi="ar-SA"/>
              </w:rPr>
              <w:t>cm</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，或至少2mm厚高密度聚乙烯膜等人工防渗材料</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渗透系数不大于10</w:t>
            </w:r>
            <w:r>
              <w:rPr>
                <w:rFonts w:hint="eastAsia" w:ascii="Times New Roman" w:hAnsi="Times New Roman" w:eastAsia="宋体" w:cs="Times New Roman"/>
                <w:color w:val="auto"/>
                <w:kern w:val="2"/>
                <w:sz w:val="24"/>
                <w:szCs w:val="24"/>
                <w:vertAlign w:val="superscript"/>
                <w:lang w:val="en-US" w:eastAsia="zh-CN" w:bidi="ar-SA"/>
              </w:rPr>
              <w:t>-10</w:t>
            </w:r>
            <w:r>
              <w:rPr>
                <w:rFonts w:hint="default" w:ascii="Times New Roman" w:hAnsi="Times New Roman" w:eastAsia="宋体" w:cs="Times New Roman"/>
                <w:color w:val="auto"/>
                <w:kern w:val="2"/>
                <w:sz w:val="24"/>
                <w:szCs w:val="24"/>
                <w:lang w:val="en-US" w:eastAsia="zh-CN" w:bidi="ar-SA"/>
              </w:rPr>
              <w:t>cm</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，或其他防渗性能等效的材料。</w:t>
            </w:r>
          </w:p>
          <w:p w14:paraId="4BD23307">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⑤</w:t>
            </w:r>
            <w:r>
              <w:rPr>
                <w:rFonts w:hint="default" w:ascii="Times New Roman" w:hAnsi="Times New Roman" w:eastAsia="宋体" w:cs="Times New Roman"/>
                <w:color w:val="auto"/>
                <w:kern w:val="2"/>
                <w:sz w:val="24"/>
                <w:szCs w:val="24"/>
                <w:lang w:val="en-US" w:eastAsia="zh-CN" w:bidi="ar-SA"/>
              </w:rPr>
              <w:t>同一贮存设施宜采用相同的防渗、防腐工艺</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包括防渗、防腐结构或材料</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，防渗、防腐材料应覆盖所有可能与废物及其渗滤液、渗漏液等接触的构筑物表面，采用不同防渗、防腐工艺应分别建设贮存分区。</w:t>
            </w:r>
          </w:p>
          <w:p w14:paraId="3B33D04B">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⑥</w:t>
            </w:r>
            <w:r>
              <w:rPr>
                <w:rFonts w:hint="default" w:ascii="Times New Roman" w:hAnsi="Times New Roman" w:eastAsia="宋体" w:cs="Times New Roman"/>
                <w:color w:val="auto"/>
                <w:kern w:val="2"/>
                <w:sz w:val="24"/>
                <w:szCs w:val="24"/>
                <w:lang w:val="en-US" w:eastAsia="zh-CN" w:bidi="ar-SA"/>
              </w:rPr>
              <w:t>运营过程中，严格按照危废规范化管理指标体系的要求，落实危废管理工作，危废规范化管理指标体系主要包括危险废物识别标志设置情况，危险废物管理计划制定情况，危险废物电报登记、转移联单、经营许可、应急预案备案等管理制度执行情况贮存、利用、处置危险废物等方面。</w:t>
            </w:r>
          </w:p>
          <w:p w14:paraId="4025EC61">
            <w:pPr>
              <w:widowControl w:val="0"/>
              <w:bidi w:val="0"/>
              <w:spacing w:line="360" w:lineRule="auto"/>
              <w:ind w:firstLine="480" w:firstLineChars="200"/>
              <w:jc w:val="both"/>
              <w:rPr>
                <w:rFonts w:hint="eastAsia" w:cs="Times New Roman"/>
                <w:color w:val="auto"/>
                <w:kern w:val="2"/>
                <w:sz w:val="24"/>
                <w:szCs w:val="24"/>
                <w:lang w:val="en-US" w:eastAsia="zh-CN" w:bidi="ar-SA"/>
              </w:rPr>
            </w:pPr>
            <w:r>
              <w:rPr>
                <w:rFonts w:hint="eastAsia" w:ascii="宋体" w:hAnsi="宋体" w:eastAsia="宋体" w:cs="宋体"/>
                <w:b w:val="0"/>
                <w:bCs w:val="0"/>
                <w:color w:val="auto"/>
                <w:sz w:val="24"/>
                <w:szCs w:val="24"/>
              </w:rPr>
              <w:t>⑦</w:t>
            </w:r>
            <w:r>
              <w:rPr>
                <w:rFonts w:hint="eastAsia" w:ascii="Times New Roman" w:hAnsi="Times New Roman" w:eastAsia="宋体"/>
                <w:color w:val="auto"/>
                <w:sz w:val="24"/>
                <w:lang w:val="en-US" w:eastAsia="zh-CN"/>
              </w:rPr>
              <w:t>按照</w:t>
            </w:r>
            <w:r>
              <w:rPr>
                <w:rFonts w:hint="default" w:ascii="Times New Roman" w:hAnsi="Times New Roman" w:eastAsia="宋体" w:cs="Times New Roman"/>
                <w:color w:val="auto"/>
                <w:kern w:val="2"/>
                <w:sz w:val="24"/>
                <w:szCs w:val="24"/>
                <w:lang w:val="en-US" w:eastAsia="zh-CN" w:bidi="ar-SA"/>
              </w:rPr>
              <w:t>《危险废物</w:t>
            </w:r>
            <w:r>
              <w:rPr>
                <w:rFonts w:hint="eastAsia" w:cs="Times New Roman"/>
                <w:color w:val="auto"/>
                <w:kern w:val="2"/>
                <w:sz w:val="24"/>
                <w:szCs w:val="24"/>
                <w:lang w:val="en-US" w:eastAsia="zh-CN" w:bidi="ar-SA"/>
              </w:rPr>
              <w:t>识别标志设置技术规范</w:t>
            </w:r>
            <w:r>
              <w:rPr>
                <w:rFonts w:hint="default" w:ascii="Times New Roman" w:hAnsi="Times New Roman" w:eastAsia="宋体" w:cs="Times New Roman"/>
                <w:color w:val="auto"/>
                <w:kern w:val="2"/>
                <w:sz w:val="24"/>
                <w:szCs w:val="24"/>
                <w:lang w:val="en-US" w:eastAsia="zh-CN" w:bidi="ar-SA"/>
              </w:rPr>
              <w:t>标准》(</w:t>
            </w:r>
            <w:r>
              <w:rPr>
                <w:rFonts w:hint="eastAsia" w:cs="Times New Roman"/>
                <w:color w:val="auto"/>
                <w:kern w:val="2"/>
                <w:sz w:val="24"/>
                <w:szCs w:val="24"/>
                <w:lang w:val="en-US" w:eastAsia="zh-CN" w:bidi="ar-SA"/>
              </w:rPr>
              <w:t>HJ1276</w:t>
            </w:r>
            <w:r>
              <w:rPr>
                <w:rFonts w:hint="default" w:ascii="Times New Roman" w:hAnsi="Times New Roman" w:eastAsia="宋体" w:cs="Times New Roman"/>
                <w:color w:val="auto"/>
                <w:kern w:val="2"/>
                <w:sz w:val="24"/>
                <w:szCs w:val="24"/>
                <w:lang w:val="en-US" w:eastAsia="zh-CN" w:bidi="ar-SA"/>
              </w:rPr>
              <w:t>-20</w:t>
            </w:r>
            <w:r>
              <w:rPr>
                <w:rFonts w:hint="eastAsia" w:eastAsia="宋体" w:cs="Times New Roman"/>
                <w:color w:val="auto"/>
                <w:kern w:val="2"/>
                <w:sz w:val="24"/>
                <w:szCs w:val="24"/>
                <w:lang w:val="en-US" w:eastAsia="zh-CN" w:bidi="ar-SA"/>
              </w:rPr>
              <w:t>2</w:t>
            </w:r>
            <w:r>
              <w:rPr>
                <w:rFonts w:hint="eastAsia"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中相关规定，在危废间门口处设置危险废物贮存标识，若有多种危险废物分区堆放应设置危险废物分区标识，并在每一个危险废物包装容器上设置危险废物标签。</w:t>
            </w:r>
          </w:p>
          <w:p w14:paraId="37870DC1">
            <w:pPr>
              <w:pStyle w:val="124"/>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本项目危险废物为：</w:t>
            </w:r>
            <w:r>
              <w:rPr>
                <w:rFonts w:hint="eastAsia" w:ascii="Times New Roman" w:hAnsi="Times New Roman" w:eastAsia="宋体" w:cs="Times New Roman"/>
                <w:b w:val="0"/>
                <w:bCs w:val="0"/>
                <w:color w:val="auto"/>
                <w:sz w:val="24"/>
                <w:highlight w:val="none"/>
                <w:lang w:val="en-US" w:eastAsia="zh-CN"/>
              </w:rPr>
              <w:t>废机油</w:t>
            </w:r>
            <w:r>
              <w:rPr>
                <w:rFonts w:hint="eastAsia" w:cs="Times New Roman"/>
                <w:b w:val="0"/>
                <w:bCs w:val="0"/>
                <w:color w:val="auto"/>
                <w:sz w:val="24"/>
                <w:highlight w:val="none"/>
                <w:lang w:val="en-US" w:eastAsia="zh-CN"/>
              </w:rPr>
              <w:t>及</w:t>
            </w:r>
            <w:r>
              <w:rPr>
                <w:rFonts w:hint="eastAsia" w:ascii="Times New Roman" w:hAnsi="Times New Roman" w:eastAsia="宋体" w:cs="Times New Roman"/>
                <w:b w:val="0"/>
                <w:bCs w:val="0"/>
                <w:color w:val="auto"/>
                <w:sz w:val="24"/>
                <w:highlight w:val="none"/>
                <w:lang w:val="en-US" w:eastAsia="zh-CN"/>
              </w:rPr>
              <w:t>废</w:t>
            </w:r>
            <w:r>
              <w:rPr>
                <w:rFonts w:hint="eastAsia" w:cs="Times New Roman"/>
                <w:b w:val="0"/>
                <w:bCs w:val="0"/>
                <w:color w:val="auto"/>
                <w:sz w:val="24"/>
                <w:highlight w:val="none"/>
                <w:lang w:val="en-US" w:eastAsia="zh-CN"/>
              </w:rPr>
              <w:t>含油</w:t>
            </w:r>
            <w:r>
              <w:rPr>
                <w:rFonts w:hint="eastAsia" w:ascii="Times New Roman" w:hAnsi="Times New Roman" w:eastAsia="宋体" w:cs="Times New Roman"/>
                <w:b w:val="0"/>
                <w:bCs w:val="0"/>
                <w:color w:val="auto"/>
                <w:sz w:val="24"/>
                <w:highlight w:val="none"/>
                <w:lang w:val="en-US" w:eastAsia="zh-CN"/>
              </w:rPr>
              <w:t>抹布、</w:t>
            </w:r>
            <w:r>
              <w:rPr>
                <w:rFonts w:hint="eastAsia" w:cs="Times New Roman"/>
                <w:color w:val="000000" w:themeColor="text1"/>
                <w:lang w:val="en-US" w:eastAsia="zh-CN"/>
                <w14:textFill>
                  <w14:solidFill>
                    <w14:schemeClr w14:val="tx1"/>
                  </w14:solidFill>
                </w14:textFill>
              </w:rPr>
              <w:t>废紫外线灯管</w:t>
            </w:r>
            <w:r>
              <w:rPr>
                <w:rFonts w:hint="default" w:ascii="Times New Roman" w:hAnsi="Times New Roman" w:eastAsia="宋体" w:cs="Times New Roman"/>
                <w:color w:val="auto"/>
                <w:sz w:val="24"/>
                <w:szCs w:val="24"/>
                <w:highlight w:val="none"/>
              </w:rPr>
              <w:t>等危险废物产生量合计为</w:t>
            </w:r>
            <w:r>
              <w:rPr>
                <w:rFonts w:hint="eastAsia" w:cs="Times New Roman"/>
                <w:color w:val="auto"/>
                <w:sz w:val="24"/>
                <w:szCs w:val="24"/>
                <w:highlight w:val="none"/>
                <w:lang w:val="en-US" w:eastAsia="zh-CN"/>
              </w:rPr>
              <w:t>0.152</w:t>
            </w:r>
            <w:r>
              <w:rPr>
                <w:rFonts w:hint="default" w:ascii="Times New Roman" w:hAnsi="Times New Roman" w:eastAsia="宋体" w:cs="Times New Roman"/>
                <w:color w:val="auto"/>
                <w:sz w:val="24"/>
                <w:szCs w:val="24"/>
                <w:highlight w:val="none"/>
              </w:rPr>
              <w:t>t/a，转运周期为</w:t>
            </w:r>
            <w:r>
              <w:rPr>
                <w:rFonts w:hint="eastAsia" w:cs="Times New Roman"/>
                <w:color w:val="auto"/>
                <w:sz w:val="24"/>
                <w:szCs w:val="24"/>
                <w:highlight w:val="none"/>
                <w:lang w:val="en-US" w:eastAsia="zh-CN"/>
              </w:rPr>
              <w:t>3个</w:t>
            </w:r>
            <w:r>
              <w:rPr>
                <w:rFonts w:hint="eastAsia"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rPr>
              <w:t>/次，危险废物暂存间</w:t>
            </w:r>
            <w:r>
              <w:rPr>
                <w:rFonts w:hint="default" w:ascii="Times New Roman" w:hAnsi="Times New Roman" w:eastAsia="宋体" w:cs="Times New Roman"/>
                <w:color w:val="auto"/>
                <w:sz w:val="24"/>
                <w:szCs w:val="24"/>
                <w:highlight w:val="none"/>
                <w:lang w:val="en-US" w:eastAsia="zh-CN"/>
              </w:rPr>
              <w:t>占地面积为</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有效容积为</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t，周期内危险废物最大停留量为</w:t>
            </w:r>
            <w:r>
              <w:rPr>
                <w:rFonts w:hint="eastAsia" w:cs="Times New Roman"/>
                <w:color w:val="auto"/>
                <w:sz w:val="24"/>
                <w:szCs w:val="24"/>
                <w:highlight w:val="none"/>
                <w:lang w:val="en-US" w:eastAsia="zh-CN"/>
              </w:rPr>
              <w:t>0.038</w:t>
            </w:r>
            <w:r>
              <w:rPr>
                <w:rFonts w:hint="default" w:ascii="Times New Roman" w:hAnsi="Times New Roman" w:eastAsia="宋体" w:cs="Times New Roman"/>
                <w:color w:val="auto"/>
                <w:sz w:val="24"/>
                <w:szCs w:val="24"/>
                <w:highlight w:val="none"/>
              </w:rPr>
              <w:t>t，生产运营期间具备储存能力。</w:t>
            </w:r>
          </w:p>
          <w:p w14:paraId="65A36E04">
            <w:pPr>
              <w:numPr>
                <w:ilvl w:val="0"/>
                <w:numId w:val="0"/>
              </w:numPr>
              <w:spacing w:beforeLines="0" w:afterLines="0" w:line="360" w:lineRule="auto"/>
              <w:ind w:firstLine="480" w:firstLineChars="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Times New Roman" w:cs="Times New Roman"/>
                <w:color w:val="auto"/>
                <w:kern w:val="2"/>
                <w:sz w:val="24"/>
                <w:szCs w:val="24"/>
                <w:lang w:val="zh-CN" w:eastAsia="zh-CN" w:bidi="ar-SA"/>
              </w:rPr>
              <w:t>（3）</w:t>
            </w:r>
            <w:r>
              <w:rPr>
                <w:rFonts w:hint="default" w:ascii="Times New Roman" w:hAnsi="Times New Roman" w:eastAsia="Times New Roman"/>
                <w:color w:val="auto"/>
                <w:sz w:val="24"/>
                <w:lang w:val="zh-CN"/>
              </w:rPr>
              <w:t>严格落实《排污口规范化整治技术要求（试行）》（1996年5月20日，国家环保局环监[1996]470号）要求，按规定设置</w:t>
            </w:r>
            <w:r>
              <w:rPr>
                <w:rFonts w:hint="eastAsia" w:ascii="Times New Roman" w:hAnsi="Times New Roman" w:eastAsia="宋体"/>
                <w:color w:val="auto"/>
                <w:sz w:val="24"/>
                <w:lang w:val="en-US" w:eastAsia="zh-CN"/>
              </w:rPr>
              <w:t>废水、废气</w:t>
            </w:r>
            <w:r>
              <w:rPr>
                <w:rFonts w:hint="default" w:ascii="Times New Roman" w:hAnsi="Times New Roman" w:eastAsia="Times New Roman"/>
                <w:color w:val="auto"/>
                <w:sz w:val="24"/>
                <w:lang w:val="zh-CN"/>
              </w:rPr>
              <w:t>排放口，</w:t>
            </w:r>
            <w:r>
              <w:rPr>
                <w:rFonts w:hint="eastAsia" w:ascii="Times New Roman" w:hAnsi="Times New Roman" w:eastAsia="宋体"/>
                <w:color w:val="auto"/>
                <w:sz w:val="24"/>
                <w:lang w:val="en-US" w:eastAsia="zh-CN"/>
              </w:rPr>
              <w:t>并</w:t>
            </w:r>
            <w:r>
              <w:rPr>
                <w:rFonts w:hint="eastAsia" w:ascii="Times New Roman" w:hAnsi="Times New Roman"/>
                <w:color w:val="auto"/>
                <w:sz w:val="24"/>
                <w:lang w:val="en-US" w:eastAsia="zh-CN"/>
              </w:rPr>
              <w:t>排放口</w:t>
            </w:r>
            <w:r>
              <w:rPr>
                <w:rFonts w:hint="default" w:ascii="Times New Roman" w:hAnsi="Times New Roman" w:eastAsia="Times New Roman"/>
                <w:color w:val="auto"/>
                <w:sz w:val="24"/>
                <w:lang w:val="zh-CN"/>
              </w:rPr>
              <w:t>醒目处张贴能长久保留</w:t>
            </w:r>
            <w:r>
              <w:rPr>
                <w:rFonts w:hint="eastAsia" w:eastAsia="宋体"/>
                <w:color w:val="auto"/>
                <w:sz w:val="24"/>
                <w:lang w:val="en-US" w:eastAsia="zh-CN"/>
              </w:rPr>
              <w:t>的</w:t>
            </w:r>
            <w:r>
              <w:rPr>
                <w:rFonts w:hint="default" w:ascii="Times New Roman" w:hAnsi="Times New Roman" w:eastAsia="Times New Roman"/>
                <w:color w:val="auto"/>
                <w:sz w:val="24"/>
                <w:lang w:val="zh-CN"/>
              </w:rPr>
              <w:t>环境保护图形标志牌。</w:t>
            </w:r>
          </w:p>
          <w:p w14:paraId="75B3FABF">
            <w:pPr>
              <w:widowControl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综上所述，本项目严格按照国家固体废物贮存有关要求设置，在厂区内设置专门的区域作为固废堆放场地，树立显著的标志，由专门的人员进行管理，避免其对周围环境产生二次污染，采取上述措施后，建设项目产生的固废经妥善处理、处置后，对周围环境影响很小。</w:t>
            </w:r>
          </w:p>
          <w:p w14:paraId="04CE20FF">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（五）</w:t>
            </w:r>
            <w:r>
              <w:rPr>
                <w:rFonts w:hint="default" w:ascii="Times New Roman" w:hAnsi="Times New Roman" w:eastAsia="宋体" w:cs="Times New Roman"/>
                <w:b/>
                <w:bCs w:val="0"/>
                <w:color w:val="auto"/>
                <w:sz w:val="24"/>
                <w:szCs w:val="24"/>
                <w:highlight w:val="none"/>
                <w:lang w:val="en-US" w:eastAsia="zh-CN"/>
              </w:rPr>
              <w:t>地下水</w:t>
            </w:r>
            <w:r>
              <w:rPr>
                <w:rFonts w:hint="eastAsia" w:ascii="Times New Roman" w:hAnsi="Times New Roman" w:eastAsia="宋体" w:cs="Times New Roman"/>
                <w:b/>
                <w:bCs w:val="0"/>
                <w:color w:val="auto"/>
                <w:sz w:val="24"/>
                <w:szCs w:val="24"/>
                <w:highlight w:val="none"/>
                <w:lang w:val="en-US" w:eastAsia="zh-CN"/>
              </w:rPr>
              <w:t>、土壤</w:t>
            </w:r>
            <w:r>
              <w:rPr>
                <w:rFonts w:hint="default" w:ascii="Times New Roman" w:hAnsi="Times New Roman" w:eastAsia="宋体" w:cs="Times New Roman"/>
                <w:b/>
                <w:bCs w:val="0"/>
                <w:color w:val="auto"/>
                <w:sz w:val="24"/>
                <w:szCs w:val="24"/>
                <w:highlight w:val="none"/>
                <w:lang w:val="en-US" w:eastAsia="zh-CN"/>
              </w:rPr>
              <w:t>环境影响分析</w:t>
            </w:r>
          </w:p>
          <w:p w14:paraId="1AE0BA0B">
            <w:pPr>
              <w:pStyle w:val="12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1、地下水、土壤污染源分析</w:t>
            </w:r>
          </w:p>
          <w:p w14:paraId="59DF1B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val="en-US" w:eastAsia="zh-CN"/>
              </w:rPr>
              <w:t>项目用水均来自市政供水管网，不进行地下水的开采，不会造成因取用地下水而引起的环境水文地质问题</w:t>
            </w:r>
            <w:r>
              <w:rPr>
                <w:rFonts w:hint="eastAsia" w:cs="Times New Roman"/>
                <w:color w:val="auto"/>
                <w:sz w:val="24"/>
                <w:szCs w:val="24"/>
                <w:lang w:val="en-US" w:eastAsia="zh-CN"/>
              </w:rPr>
              <w:t>；园区</w:t>
            </w:r>
            <w:r>
              <w:rPr>
                <w:rFonts w:hint="eastAsia" w:ascii="Times New Roman" w:hAnsi="Times New Roman" w:eastAsia="宋体" w:cs="Times New Roman"/>
                <w:color w:val="auto"/>
                <w:sz w:val="24"/>
                <w:szCs w:val="24"/>
                <w:lang w:val="en-US" w:eastAsia="zh-CN"/>
              </w:rPr>
              <w:t>排水采取雨污分流，雨水地面径流就近排入</w:t>
            </w:r>
            <w:r>
              <w:rPr>
                <w:rFonts w:hint="eastAsia" w:cs="Times New Roman"/>
                <w:color w:val="auto"/>
                <w:sz w:val="24"/>
                <w:szCs w:val="24"/>
                <w:lang w:val="en-US" w:eastAsia="zh-CN"/>
              </w:rPr>
              <w:t>厂区雨水管道最终进入</w:t>
            </w:r>
            <w:r>
              <w:rPr>
                <w:rFonts w:hint="eastAsia" w:ascii="Times New Roman" w:hAnsi="Times New Roman" w:eastAsia="宋体" w:cs="Times New Roman"/>
                <w:color w:val="auto"/>
                <w:sz w:val="24"/>
                <w:szCs w:val="24"/>
                <w:lang w:val="en-US" w:eastAsia="zh-CN"/>
              </w:rPr>
              <w:t>雨水管网，</w:t>
            </w:r>
            <w:r>
              <w:rPr>
                <w:rFonts w:hint="default" w:ascii="Times New Roman" w:hAnsi="Times New Roman" w:eastAsia="宋体" w:cs="Times New Roman"/>
                <w:color w:val="000000"/>
                <w:kern w:val="0"/>
                <w:sz w:val="24"/>
                <w:szCs w:val="24"/>
                <w:lang w:val="en-US" w:eastAsia="zh-CN" w:bidi="ar"/>
              </w:rPr>
              <w:t>本项目废水主要分为生活污水、生产废水</w:t>
            </w:r>
            <w:r>
              <w:rPr>
                <w:rFonts w:hint="eastAsia" w:cs="Times New Roman"/>
                <w:color w:val="000000"/>
                <w:kern w:val="0"/>
                <w:sz w:val="24"/>
                <w:szCs w:val="24"/>
                <w:lang w:val="en-US" w:eastAsia="zh-CN" w:bidi="ar"/>
              </w:rPr>
              <w:t>和纯水制备浓水</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纯水制备浓水可</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生活污水经化粪池处理后和生产废水一起</w:t>
            </w:r>
            <w:r>
              <w:rPr>
                <w:rFonts w:hint="default" w:ascii="Times New Roman" w:hAnsi="Times New Roman" w:eastAsia="宋体" w:cs="Times New Roman"/>
                <w:color w:val="000000"/>
                <w:kern w:val="0"/>
                <w:sz w:val="24"/>
                <w:szCs w:val="24"/>
                <w:lang w:val="en-US" w:eastAsia="zh-CN" w:bidi="ar"/>
              </w:rPr>
              <w:t>进入自建污水处理站处理达标后通过污水管网进入宁都县第二污水处理厂处理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000000"/>
                <w:kern w:val="0"/>
                <w:sz w:val="24"/>
                <w:szCs w:val="24"/>
                <w:lang w:val="en-US" w:eastAsia="zh-CN" w:bidi="ar"/>
              </w:rPr>
              <w:t>，最终排入梅江。</w:t>
            </w:r>
          </w:p>
          <w:p w14:paraId="02B372B8">
            <w:pPr>
              <w:pStyle w:val="124"/>
              <w:bidi w:val="0"/>
              <w:rPr>
                <w:rStyle w:val="140"/>
                <w:rFonts w:hint="default" w:eastAsia="宋体"/>
                <w:b w:val="0"/>
                <w:bCs w:val="0"/>
                <w:color w:val="auto"/>
                <w:lang w:val="en-US" w:eastAsia="zh-CN"/>
              </w:rPr>
            </w:pPr>
            <w:r>
              <w:rPr>
                <w:rStyle w:val="140"/>
                <w:rFonts w:hint="eastAsia"/>
                <w:color w:val="auto"/>
                <w:lang w:val="en-US" w:eastAsia="zh-CN"/>
              </w:rPr>
              <w:t>项目生产过程中需将危废间、一般固废间、中央厨房、果蔬车间、肉类车间、预制菜车间</w:t>
            </w:r>
            <w:r>
              <w:rPr>
                <w:rStyle w:val="140"/>
                <w:color w:val="auto"/>
              </w:rPr>
              <w:t>及相应管道均做好防渗措施，建设项目对土壤、地下水环境基本不存在污染途径，基本不对地下水及土壤产生不良影响</w:t>
            </w:r>
            <w:r>
              <w:rPr>
                <w:rStyle w:val="140"/>
                <w:rFonts w:hint="eastAsia"/>
                <w:color w:val="auto"/>
                <w:lang w:eastAsia="zh-CN"/>
              </w:rPr>
              <w:t>。</w:t>
            </w:r>
            <w:r>
              <w:rPr>
                <w:rStyle w:val="140"/>
                <w:rFonts w:hint="default"/>
                <w:color w:val="auto"/>
                <w:lang w:val="en-US" w:eastAsia="zh-CN"/>
              </w:rPr>
              <w:t>因此，本项目不开展土壤、地下水环境影响监测与评价</w:t>
            </w:r>
          </w:p>
          <w:p w14:paraId="43DD3F50">
            <w:pPr>
              <w:pStyle w:val="124"/>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2、地下水、土壤防治措施</w:t>
            </w:r>
          </w:p>
          <w:p w14:paraId="7024E575">
            <w:pPr>
              <w:pStyle w:val="1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为确保不对地下水和土壤环境产生不利影响，本项目采取的地下水、土壤的防治措施如下：</w:t>
            </w:r>
          </w:p>
          <w:p w14:paraId="514DEED4">
            <w:pPr>
              <w:pStyle w:val="124"/>
              <w:bidi w:val="0"/>
              <w:rPr>
                <w:rFonts w:hint="default"/>
                <w:color w:val="auto"/>
                <w:lang w:val="en-US" w:eastAsia="zh-CN"/>
              </w:rPr>
            </w:pPr>
            <w:r>
              <w:rPr>
                <w:rFonts w:hint="eastAsia"/>
                <w:color w:val="auto"/>
                <w:lang w:val="en-US" w:eastAsia="zh-CN"/>
              </w:rPr>
              <w:t>（1）</w:t>
            </w:r>
            <w:r>
              <w:rPr>
                <w:rFonts w:hint="default"/>
                <w:color w:val="auto"/>
                <w:lang w:val="en-US" w:eastAsia="zh-CN"/>
              </w:rPr>
              <w:t>本项目应做好防渗防漏，地面采用水泥硬底化，需对地面水泥砂浆抹面，找平、压实、抹光，基础必须防渗，防渗层必须为砼结构，各功能区均采取“源头控制”、“分区控制”的防渗防漏措施，可以有效防止污染物进入地下水、土壤环境，防止污染地下水、土壤。</w:t>
            </w:r>
          </w:p>
          <w:p w14:paraId="01C21BC8">
            <w:pPr>
              <w:pStyle w:val="124"/>
              <w:bidi w:val="0"/>
              <w:rPr>
                <w:rFonts w:hint="default" w:ascii="Times New Roman" w:hAnsi="Times New Roman" w:eastAsia="宋体" w:cs="Times New Roman"/>
                <w:color w:val="auto"/>
                <w:lang w:val="en-US" w:eastAsia="zh-CN"/>
              </w:rPr>
            </w:pPr>
            <w:r>
              <w:rPr>
                <w:rFonts w:hint="eastAsia"/>
                <w:color w:val="auto"/>
                <w:lang w:val="en-US" w:eastAsia="zh-CN"/>
              </w:rPr>
              <w:t>（2）</w:t>
            </w:r>
            <w:r>
              <w:rPr>
                <w:rFonts w:hint="default"/>
                <w:color w:val="auto"/>
                <w:lang w:val="en-US" w:eastAsia="zh-CN"/>
              </w:rPr>
              <w:t>本项目产生的固体废物均在室内堆放，满足“防风、防雨、防晒、防渗、防漏”的要求，经收集后均进行妥善处理，禁止直接排入污染土壤环境。项目一般工业固体废物暂时贮存场满足《一般工业固体废物贮存和填埋污染控制标准》（GB18599-2020），交有一般工业固体废物处理资质的单位处理，并按有关规定落实工业固体废物申报登记制度。危险废物临时贮存设施要符合《危险废物贮存污染控制标准》（GB18597-20</w:t>
            </w:r>
            <w:r>
              <w:rPr>
                <w:rFonts w:hint="eastAsia"/>
                <w:color w:val="auto"/>
                <w:lang w:val="en-US" w:eastAsia="zh-CN"/>
              </w:rPr>
              <w:t>23</w:t>
            </w:r>
            <w:r>
              <w:rPr>
                <w:rFonts w:hint="default"/>
                <w:color w:val="auto"/>
                <w:lang w:val="en-US" w:eastAsia="zh-CN"/>
              </w:rPr>
              <w:t>）的要求</w:t>
            </w:r>
            <w:r>
              <w:rPr>
                <w:rFonts w:hint="eastAsia"/>
                <w:color w:val="auto"/>
                <w:lang w:val="en-US" w:eastAsia="zh-CN"/>
              </w:rPr>
              <w:t>，将危险废物</w:t>
            </w:r>
            <w:r>
              <w:rPr>
                <w:rFonts w:hint="default"/>
                <w:color w:val="auto"/>
                <w:lang w:val="en-US" w:eastAsia="zh-CN"/>
              </w:rPr>
              <w:t>收集后</w:t>
            </w:r>
            <w:r>
              <w:rPr>
                <w:rFonts w:hint="eastAsia"/>
                <w:color w:val="auto"/>
                <w:lang w:val="en-US" w:eastAsia="zh-CN"/>
              </w:rPr>
              <w:t>放入危废间分区暂存，并委托</w:t>
            </w:r>
            <w:r>
              <w:rPr>
                <w:rFonts w:hint="default"/>
                <w:color w:val="auto"/>
                <w:lang w:val="en-US" w:eastAsia="zh-CN"/>
              </w:rPr>
              <w:t>有资质的单位处置。同时，项目场地地面做好硬化、防渗漏处理，运营期整个过程基本上可以杜绝固体废物等接触土壤、地下水。</w:t>
            </w:r>
          </w:p>
          <w:p w14:paraId="4C2EBF71">
            <w:pPr>
              <w:pStyle w:val="1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3</w:t>
            </w:r>
            <w:r>
              <w:rPr>
                <w:rFonts w:hint="default" w:ascii="Times New Roman" w:hAnsi="Times New Roman" w:cs="Times New Roman"/>
                <w:color w:val="auto"/>
                <w:lang w:val="en-US" w:eastAsia="zh-CN"/>
              </w:rPr>
              <w:t>）分区防渗措施如下表：</w:t>
            </w:r>
          </w:p>
          <w:p w14:paraId="03173485">
            <w:pPr>
              <w:widowControl/>
              <w:spacing w:line="360" w:lineRule="auto"/>
              <w:ind w:firstLine="480" w:firstLineChars="200"/>
              <w:contextualSpacing/>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本项目将厂区内不同区域为划分重点防渗区、一般防渗区和简单防渗区三大区域，具体见厂区内污染防治分区划分表4-</w:t>
            </w:r>
            <w:r>
              <w:rPr>
                <w:rFonts w:hint="eastAsia" w:cs="Times New Roman"/>
                <w:color w:val="auto"/>
                <w:kern w:val="2"/>
                <w:sz w:val="24"/>
                <w:szCs w:val="24"/>
                <w:lang w:val="en-US" w:eastAsia="zh-CN" w:bidi="ar-SA"/>
              </w:rPr>
              <w:t>34</w:t>
            </w:r>
            <w:r>
              <w:rPr>
                <w:rFonts w:hint="eastAsia" w:ascii="Times New Roman" w:hAnsi="Times New Roman" w:eastAsia="宋体" w:cs="Times New Roman"/>
                <w:color w:val="auto"/>
                <w:kern w:val="2"/>
                <w:sz w:val="24"/>
                <w:szCs w:val="24"/>
                <w:lang w:val="en-US" w:eastAsia="zh-CN" w:bidi="ar-SA"/>
              </w:rPr>
              <w:t>。</w:t>
            </w:r>
          </w:p>
          <w:p w14:paraId="2D0A2CB2">
            <w:pPr>
              <w:pStyle w:val="125"/>
              <w:bidi w:val="0"/>
              <w:rPr>
                <w:rFonts w:hint="default" w:ascii="Times New Roman" w:hAnsi="Times New Roman" w:eastAsia="宋体" w:cs="Times New Roman"/>
                <w:color w:val="auto"/>
                <w:lang w:val="en-US" w:eastAsia="zh-CN"/>
              </w:rPr>
            </w:pPr>
          </w:p>
          <w:p w14:paraId="5EA9B3AD">
            <w:pPr>
              <w:pStyle w:val="12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eastAsia="宋体" w:cs="Times New Roman"/>
                <w:color w:val="auto"/>
                <w:lang w:val="en-US" w:eastAsia="zh-CN"/>
              </w:rPr>
              <w:t>4-</w:t>
            </w:r>
            <w:r>
              <w:rPr>
                <w:rFonts w:hint="eastAsia" w:cs="Times New Roman"/>
                <w:color w:val="auto"/>
                <w:lang w:val="en-US" w:eastAsia="zh-CN"/>
              </w:rPr>
              <w:t xml:space="preserve">34 </w:t>
            </w:r>
            <w:r>
              <w:rPr>
                <w:rFonts w:hint="eastAsia" w:ascii="Times New Roman" w:hAnsi="Times New Roman" w:eastAsia="宋体" w:cs="Times New Roman"/>
                <w:color w:val="auto"/>
                <w:lang w:val="en-US" w:eastAsia="zh-CN"/>
              </w:rPr>
              <w:t xml:space="preserve"> 本项目</w:t>
            </w:r>
            <w:r>
              <w:rPr>
                <w:rFonts w:hint="default" w:ascii="Times New Roman" w:hAnsi="Times New Roman" w:eastAsia="宋体" w:cs="Times New Roman"/>
                <w:color w:val="auto"/>
                <w:lang w:val="en-US" w:eastAsia="zh-CN"/>
              </w:rPr>
              <w:t>污染防治分区划分表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5"/>
              <w:gridCol w:w="1609"/>
              <w:gridCol w:w="5306"/>
            </w:tblGrid>
            <w:tr w14:paraId="250473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778" w:type="pct"/>
                  <w:noWrap w:val="0"/>
                  <w:vAlign w:val="center"/>
                </w:tcPr>
                <w:p w14:paraId="4A90F613">
                  <w:pPr>
                    <w:spacing w:line="240" w:lineRule="auto"/>
                    <w:jc w:val="center"/>
                    <w:rPr>
                      <w:b/>
                      <w:bCs/>
                      <w:color w:val="auto"/>
                    </w:rPr>
                  </w:pPr>
                  <w:r>
                    <w:rPr>
                      <w:b/>
                      <w:bCs/>
                      <w:color w:val="auto"/>
                    </w:rPr>
                    <w:t>防渗分区</w:t>
                  </w:r>
                </w:p>
              </w:tc>
              <w:tc>
                <w:tcPr>
                  <w:tcW w:w="982" w:type="pct"/>
                  <w:noWrap w:val="0"/>
                  <w:vAlign w:val="center"/>
                </w:tcPr>
                <w:p w14:paraId="6C16C87F">
                  <w:pPr>
                    <w:spacing w:line="240" w:lineRule="auto"/>
                    <w:jc w:val="center"/>
                    <w:rPr>
                      <w:rFonts w:hint="eastAsia" w:eastAsia="宋体"/>
                      <w:b/>
                      <w:bCs/>
                      <w:color w:val="auto"/>
                      <w:lang w:eastAsia="zh-CN"/>
                    </w:rPr>
                  </w:pPr>
                  <w:r>
                    <w:rPr>
                      <w:rFonts w:hint="eastAsia"/>
                      <w:b/>
                      <w:bCs/>
                      <w:color w:val="auto"/>
                      <w:lang w:val="en-US" w:eastAsia="zh-CN"/>
                    </w:rPr>
                    <w:t>区域</w:t>
                  </w:r>
                </w:p>
              </w:tc>
              <w:tc>
                <w:tcPr>
                  <w:tcW w:w="3239" w:type="pct"/>
                  <w:noWrap w:val="0"/>
                  <w:vAlign w:val="center"/>
                </w:tcPr>
                <w:p w14:paraId="279363FB">
                  <w:pPr>
                    <w:spacing w:line="240" w:lineRule="auto"/>
                    <w:jc w:val="center"/>
                    <w:rPr>
                      <w:b/>
                      <w:bCs/>
                      <w:color w:val="auto"/>
                    </w:rPr>
                  </w:pPr>
                  <w:r>
                    <w:rPr>
                      <w:rFonts w:hint="eastAsia"/>
                      <w:b/>
                      <w:bCs/>
                      <w:color w:val="auto"/>
                    </w:rPr>
                    <w:t>防渗技术要求</w:t>
                  </w:r>
                </w:p>
              </w:tc>
            </w:tr>
            <w:tr w14:paraId="58344D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778" w:type="pct"/>
                  <w:noWrap w:val="0"/>
                  <w:vAlign w:val="center"/>
                </w:tcPr>
                <w:p w14:paraId="5BDE148C">
                  <w:pPr>
                    <w:spacing w:line="240" w:lineRule="auto"/>
                    <w:jc w:val="center"/>
                    <w:rPr>
                      <w:rFonts w:eastAsia="Courier New"/>
                      <w:bCs/>
                      <w:color w:val="auto"/>
                      <w:sz w:val="21"/>
                      <w:szCs w:val="21"/>
                    </w:rPr>
                  </w:pPr>
                  <w:r>
                    <w:rPr>
                      <w:color w:val="auto"/>
                      <w:sz w:val="21"/>
                      <w:szCs w:val="21"/>
                    </w:rPr>
                    <w:t>重点防渗区</w:t>
                  </w:r>
                </w:p>
              </w:tc>
              <w:tc>
                <w:tcPr>
                  <w:tcW w:w="982" w:type="pct"/>
                  <w:noWrap w:val="0"/>
                  <w:vAlign w:val="center"/>
                </w:tcPr>
                <w:p w14:paraId="4F1B754C">
                  <w:pPr>
                    <w:spacing w:line="240" w:lineRule="auto"/>
                    <w:jc w:val="center"/>
                    <w:rPr>
                      <w:rFonts w:hint="default" w:eastAsia="宋体"/>
                      <w:color w:val="auto"/>
                      <w:sz w:val="21"/>
                      <w:szCs w:val="21"/>
                      <w:lang w:val="en-US" w:eastAsia="zh-CN"/>
                    </w:rPr>
                  </w:pPr>
                  <w:r>
                    <w:rPr>
                      <w:rStyle w:val="140"/>
                      <w:rFonts w:hint="eastAsia"/>
                      <w:color w:val="auto"/>
                      <w:sz w:val="21"/>
                      <w:szCs w:val="21"/>
                      <w:lang w:val="en-US" w:eastAsia="zh-CN"/>
                    </w:rPr>
                    <w:t>危废间、污水处理站</w:t>
                  </w:r>
                </w:p>
              </w:tc>
              <w:tc>
                <w:tcPr>
                  <w:tcW w:w="3239" w:type="pct"/>
                  <w:noWrap w:val="0"/>
                  <w:vAlign w:val="center"/>
                </w:tcPr>
                <w:p w14:paraId="043E407B">
                  <w:pPr>
                    <w:keepNext w:val="0"/>
                    <w:keepLines w:val="0"/>
                    <w:pageBreakBefore w:val="0"/>
                    <w:widowControl w:val="0"/>
                    <w:kinsoku/>
                    <w:wordWrap/>
                    <w:overflowPunct/>
                    <w:topLinePunct w:val="0"/>
                    <w:autoSpaceDE/>
                    <w:autoSpaceDN/>
                    <w:bidi w:val="0"/>
                    <w:adjustRightInd/>
                    <w:snapToGrid/>
                    <w:spacing w:beforeAutospacing="0" w:afterAutospacing="0" w:line="340" w:lineRule="exact"/>
                    <w:ind w:firstLine="0" w:firstLineChars="0"/>
                    <w:jc w:val="center"/>
                    <w:textAlignment w:val="auto"/>
                    <w:rPr>
                      <w:color w:val="auto"/>
                      <w:kern w:val="0"/>
                      <w:sz w:val="21"/>
                      <w:szCs w:val="21"/>
                    </w:rPr>
                  </w:pPr>
                  <w:r>
                    <w:rPr>
                      <w:rFonts w:hint="default"/>
                      <w:color w:val="auto"/>
                      <w:sz w:val="21"/>
                      <w:szCs w:val="21"/>
                      <w:lang w:val="en-US" w:eastAsia="zh-CN"/>
                    </w:rPr>
                    <w:t>依据《危险废物贮存污染控制标准》（GB18597</w:t>
                  </w:r>
                  <w:r>
                    <w:rPr>
                      <w:rFonts w:hint="eastAsia"/>
                      <w:color w:val="auto"/>
                      <w:sz w:val="21"/>
                      <w:szCs w:val="21"/>
                      <w:lang w:val="en-US" w:eastAsia="zh-CN"/>
                    </w:rPr>
                    <w:t>-</w:t>
                  </w:r>
                  <w:r>
                    <w:rPr>
                      <w:rFonts w:hint="default"/>
                      <w:color w:val="auto"/>
                      <w:sz w:val="21"/>
                      <w:szCs w:val="21"/>
                      <w:lang w:val="en-US" w:eastAsia="zh-CN"/>
                    </w:rPr>
                    <w:t>20</w:t>
                  </w:r>
                  <w:r>
                    <w:rPr>
                      <w:rFonts w:hint="eastAsia"/>
                      <w:color w:val="auto"/>
                      <w:sz w:val="21"/>
                      <w:szCs w:val="21"/>
                      <w:lang w:val="en-US" w:eastAsia="zh-CN"/>
                    </w:rPr>
                    <w:t>23</w:t>
                  </w:r>
                  <w:r>
                    <w:rPr>
                      <w:rFonts w:hint="default"/>
                      <w:color w:val="auto"/>
                      <w:sz w:val="21"/>
                      <w:szCs w:val="21"/>
                      <w:lang w:val="en-US" w:eastAsia="zh-CN"/>
                    </w:rPr>
                    <w:t>）的6.</w:t>
                  </w:r>
                  <w:r>
                    <w:rPr>
                      <w:rFonts w:hint="eastAsia"/>
                      <w:color w:val="auto"/>
                      <w:sz w:val="21"/>
                      <w:szCs w:val="21"/>
                      <w:lang w:val="en-US" w:eastAsia="zh-CN"/>
                    </w:rPr>
                    <w:t>1.4</w:t>
                  </w:r>
                  <w:r>
                    <w:rPr>
                      <w:rFonts w:hint="default"/>
                      <w:color w:val="auto"/>
                      <w:sz w:val="21"/>
                      <w:szCs w:val="21"/>
                      <w:lang w:val="en-US" w:eastAsia="zh-CN"/>
                    </w:rPr>
                    <w:t>项规定：</w:t>
                  </w:r>
                  <w:r>
                    <w:rPr>
                      <w:rFonts w:hint="eastAsia"/>
                      <w:color w:val="auto"/>
                      <w:sz w:val="21"/>
                      <w:szCs w:val="21"/>
                      <w:lang w:val="en-US" w:eastAsia="zh-CN"/>
                    </w:rPr>
                    <w:t>“采用抗渗混凝土、高密度聚乙烯膜、钠基膨润土防水毯或其他防渗性能等效的材料。贮存的危险废物直接接触地面的，</w:t>
                  </w:r>
                  <w:r>
                    <w:rPr>
                      <w:rFonts w:hint="default"/>
                      <w:color w:val="auto"/>
                      <w:sz w:val="21"/>
                      <w:szCs w:val="21"/>
                      <w:lang w:val="en-US" w:eastAsia="zh-CN"/>
                    </w:rPr>
                    <w:t>基础必须防渗，防渗层至少1m厚粘土层（渗透系数</w:t>
                  </w:r>
                  <m:oMath>
                    <m:r>
                      <m:rPr>
                        <m:sty m:val="p"/>
                      </m:rPr>
                      <w:rPr>
                        <w:rFonts w:hint="default" w:ascii="Cambria Math" w:hAnsi="Cambria Math" w:cs="Times New Roman"/>
                        <w:color w:val="auto"/>
                        <w:kern w:val="2"/>
                        <w:sz w:val="21"/>
                        <w:szCs w:val="21"/>
                        <w:lang w:val="en-US" w:eastAsia="zh-CN" w:bidi="ar-SA"/>
                      </w:rPr>
                      <m:t>≤</m:t>
                    </m:r>
                  </m:oMath>
                  <w:r>
                    <w:rPr>
                      <w:rFonts w:hint="default"/>
                      <w:color w:val="auto"/>
                      <w:sz w:val="21"/>
                      <w:szCs w:val="21"/>
                      <w:lang w:val="en-US" w:eastAsia="zh-CN"/>
                    </w:rPr>
                    <w:t>1×10</w:t>
                  </w:r>
                  <w:r>
                    <w:rPr>
                      <w:rFonts w:hint="eastAsia"/>
                      <w:color w:val="auto"/>
                      <w:sz w:val="21"/>
                      <w:szCs w:val="21"/>
                      <w:vertAlign w:val="superscript"/>
                      <w:lang w:val="en-US" w:eastAsia="zh-CN"/>
                    </w:rPr>
                    <w:t>-7</w:t>
                  </w:r>
                  <w:r>
                    <w:rPr>
                      <w:rFonts w:hint="default"/>
                      <w:color w:val="auto"/>
                      <w:sz w:val="21"/>
                      <w:szCs w:val="21"/>
                      <w:lang w:val="en-US" w:eastAsia="zh-CN"/>
                    </w:rPr>
                    <w:t>cm/s），或</w:t>
                  </w:r>
                  <w:r>
                    <w:rPr>
                      <w:rFonts w:hint="eastAsia"/>
                      <w:color w:val="auto"/>
                      <w:sz w:val="21"/>
                      <w:szCs w:val="21"/>
                      <w:lang w:val="en-US" w:eastAsia="zh-CN"/>
                    </w:rPr>
                    <w:t>至少</w:t>
                  </w:r>
                  <w:r>
                    <w:rPr>
                      <w:rFonts w:hint="default"/>
                      <w:color w:val="auto"/>
                      <w:sz w:val="21"/>
                      <w:szCs w:val="21"/>
                      <w:lang w:val="en-US" w:eastAsia="zh-CN"/>
                    </w:rPr>
                    <w:t>2mm厚高密度聚乙烯</w:t>
                  </w:r>
                  <w:r>
                    <w:rPr>
                      <w:rFonts w:hint="eastAsia"/>
                      <w:color w:val="auto"/>
                      <w:sz w:val="21"/>
                      <w:szCs w:val="21"/>
                      <w:lang w:val="en-US" w:eastAsia="zh-CN"/>
                    </w:rPr>
                    <w:t>膜等人工防渗材料</w:t>
                  </w:r>
                  <w:r>
                    <w:rPr>
                      <w:rFonts w:hint="default"/>
                      <w:color w:val="auto"/>
                      <w:sz w:val="21"/>
                      <w:szCs w:val="21"/>
                      <w:lang w:val="en-US" w:eastAsia="zh-CN"/>
                    </w:rPr>
                    <w:t>，渗透系数≤1×10</w:t>
                  </w:r>
                  <w:r>
                    <w:rPr>
                      <w:rFonts w:hint="eastAsia"/>
                      <w:color w:val="auto"/>
                      <w:sz w:val="21"/>
                      <w:szCs w:val="21"/>
                      <w:lang w:val="en-US" w:eastAsia="zh-CN"/>
                    </w:rPr>
                    <w:t>-</w:t>
                  </w:r>
                  <w:r>
                    <w:rPr>
                      <w:rFonts w:hint="default"/>
                      <w:color w:val="auto"/>
                      <w:sz w:val="21"/>
                      <w:szCs w:val="21"/>
                      <w:vertAlign w:val="superscript"/>
                      <w:lang w:val="en-US" w:eastAsia="zh-CN"/>
                    </w:rPr>
                    <w:t>10</w:t>
                  </w:r>
                  <w:r>
                    <w:rPr>
                      <w:rFonts w:hint="default"/>
                      <w:color w:val="auto"/>
                      <w:sz w:val="21"/>
                      <w:szCs w:val="21"/>
                      <w:lang w:val="en-US" w:eastAsia="zh-CN"/>
                    </w:rPr>
                    <w:t xml:space="preserve"> cm/s</w:t>
                  </w:r>
                  <w:r>
                    <w:rPr>
                      <w:rFonts w:hint="eastAsia"/>
                      <w:color w:val="auto"/>
                      <w:sz w:val="21"/>
                      <w:szCs w:val="21"/>
                      <w:lang w:val="en-US" w:eastAsia="zh-CN"/>
                    </w:rPr>
                    <w:t>”，或其他防渗性能等效的材料。</w:t>
                  </w:r>
                </w:p>
              </w:tc>
            </w:tr>
            <w:tr w14:paraId="0D2D1A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7" w:hRule="atLeast"/>
              </w:trPr>
              <w:tc>
                <w:tcPr>
                  <w:tcW w:w="778" w:type="pct"/>
                  <w:noWrap w:val="0"/>
                  <w:vAlign w:val="center"/>
                </w:tcPr>
                <w:p w14:paraId="7A469442">
                  <w:pPr>
                    <w:spacing w:line="240" w:lineRule="auto"/>
                    <w:jc w:val="center"/>
                    <w:rPr>
                      <w:color w:val="auto"/>
                      <w:sz w:val="21"/>
                      <w:szCs w:val="21"/>
                    </w:rPr>
                  </w:pPr>
                  <w:r>
                    <w:rPr>
                      <w:rFonts w:hint="eastAsia"/>
                      <w:color w:val="auto"/>
                      <w:sz w:val="21"/>
                      <w:szCs w:val="21"/>
                    </w:rPr>
                    <w:t>一般防渗区</w:t>
                  </w:r>
                </w:p>
              </w:tc>
              <w:tc>
                <w:tcPr>
                  <w:tcW w:w="982" w:type="pct"/>
                  <w:noWrap w:val="0"/>
                  <w:vAlign w:val="center"/>
                </w:tcPr>
                <w:p w14:paraId="72D106FA">
                  <w:pPr>
                    <w:adjustRightInd w:val="0"/>
                    <w:snapToGrid w:val="0"/>
                    <w:spacing w:line="240" w:lineRule="auto"/>
                    <w:ind w:left="-105" w:leftChars="-50" w:right="-105" w:rightChars="-50"/>
                    <w:jc w:val="center"/>
                    <w:rPr>
                      <w:rFonts w:hint="default" w:eastAsia="宋体"/>
                      <w:color w:val="auto"/>
                      <w:sz w:val="21"/>
                      <w:szCs w:val="21"/>
                      <w:lang w:val="en-US" w:eastAsia="zh-CN"/>
                    </w:rPr>
                  </w:pPr>
                  <w:r>
                    <w:rPr>
                      <w:rStyle w:val="140"/>
                      <w:rFonts w:hint="eastAsia"/>
                      <w:color w:val="auto"/>
                      <w:sz w:val="21"/>
                      <w:szCs w:val="21"/>
                      <w:lang w:val="en-US" w:eastAsia="zh-CN"/>
                    </w:rPr>
                    <w:t>一般固废间、中央厨房、果蔬车间、肉类车间、预制菜车间</w:t>
                  </w:r>
                </w:p>
              </w:tc>
              <w:tc>
                <w:tcPr>
                  <w:tcW w:w="3239" w:type="pct"/>
                  <w:noWrap w:val="0"/>
                  <w:vAlign w:val="center"/>
                </w:tcPr>
                <w:p w14:paraId="55FD29B1">
                  <w:pPr>
                    <w:spacing w:line="240" w:lineRule="auto"/>
                    <w:jc w:val="center"/>
                    <w:rPr>
                      <w:rFonts w:eastAsia="Courier New"/>
                      <w:bCs/>
                      <w:color w:val="auto"/>
                      <w:sz w:val="21"/>
                      <w:szCs w:val="21"/>
                    </w:rPr>
                  </w:pPr>
                  <w:r>
                    <w:rPr>
                      <w:rFonts w:hint="default"/>
                      <w:color w:val="auto"/>
                      <w:sz w:val="21"/>
                      <w:szCs w:val="21"/>
                      <w:lang w:val="en-US" w:eastAsia="zh-CN"/>
                    </w:rPr>
                    <w:t>地面防渗层可采用抗渗混凝土（抗渗等级≥P6）或其它防渗性能等效的材料。防渗性能应不低于厚1.5m，渗透系数为1×10</w:t>
                  </w:r>
                  <w:r>
                    <w:rPr>
                      <w:rFonts w:hint="eastAsia"/>
                      <w:color w:val="auto"/>
                      <w:sz w:val="21"/>
                      <w:szCs w:val="21"/>
                      <w:vertAlign w:val="superscript"/>
                      <w:lang w:val="en-US" w:eastAsia="zh-CN"/>
                    </w:rPr>
                    <w:t>-</w:t>
                  </w:r>
                  <w:r>
                    <w:rPr>
                      <w:rFonts w:hint="default"/>
                      <w:color w:val="auto"/>
                      <w:sz w:val="21"/>
                      <w:szCs w:val="21"/>
                      <w:vertAlign w:val="superscript"/>
                      <w:lang w:val="en-US" w:eastAsia="zh-CN"/>
                    </w:rPr>
                    <w:t>7</w:t>
                  </w:r>
                  <w:r>
                    <w:rPr>
                      <w:rFonts w:hint="default"/>
                      <w:color w:val="auto"/>
                      <w:sz w:val="21"/>
                      <w:szCs w:val="21"/>
                      <w:lang w:val="en-US" w:eastAsia="zh-CN"/>
                    </w:rPr>
                    <w:t>cm/s的粘土层的防渗性能，</w:t>
                  </w:r>
                  <w:r>
                    <w:rPr>
                      <w:rFonts w:hint="eastAsia"/>
                      <w:color w:val="auto"/>
                      <w:sz w:val="21"/>
                      <w:szCs w:val="21"/>
                      <w:lang w:val="en-US" w:eastAsia="zh-CN"/>
                    </w:rPr>
                    <w:t>或</w:t>
                  </w:r>
                  <w:r>
                    <w:rPr>
                      <w:rFonts w:hint="default"/>
                      <w:color w:val="auto"/>
                      <w:sz w:val="21"/>
                      <w:szCs w:val="21"/>
                      <w:lang w:val="en-US" w:eastAsia="zh-CN"/>
                    </w:rPr>
                    <w:t>参照</w:t>
                  </w:r>
                  <w:r>
                    <w:rPr>
                      <w:rFonts w:hint="default" w:ascii="Times New Roman" w:hAnsi="Times New Roman" w:eastAsia="宋体" w:cs="Times New Roman"/>
                      <w:b w:val="0"/>
                      <w:bCs/>
                      <w:color w:val="auto"/>
                      <w:sz w:val="21"/>
                      <w:szCs w:val="21"/>
                      <w:highlight w:val="none"/>
                      <w:lang w:val="en-US" w:eastAsia="zh-CN"/>
                    </w:rPr>
                    <w:t>《生活垃圾填埋场污染控制标准》(GB16889-2008)</w:t>
                  </w:r>
                  <w:r>
                    <w:rPr>
                      <w:rFonts w:hint="eastAsia" w:ascii="Times New Roman" w:hAnsi="Times New Roman" w:eastAsia="宋体" w:cs="Times New Roman"/>
                      <w:b w:val="0"/>
                      <w:bCs/>
                      <w:color w:val="auto"/>
                      <w:sz w:val="21"/>
                      <w:szCs w:val="21"/>
                      <w:highlight w:val="none"/>
                      <w:lang w:val="en-US" w:eastAsia="zh-CN"/>
                    </w:rPr>
                    <w:t>中5.4、5.5、5.6的标准要求</w:t>
                  </w:r>
                </w:p>
              </w:tc>
            </w:tr>
            <w:tr w14:paraId="3DEE0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42" w:hRule="atLeast"/>
              </w:trPr>
              <w:tc>
                <w:tcPr>
                  <w:tcW w:w="778" w:type="pct"/>
                  <w:noWrap w:val="0"/>
                  <w:vAlign w:val="center"/>
                </w:tcPr>
                <w:p w14:paraId="164FAC0B">
                  <w:pPr>
                    <w:spacing w:line="240" w:lineRule="auto"/>
                    <w:jc w:val="center"/>
                    <w:rPr>
                      <w:rFonts w:hint="eastAsia"/>
                      <w:color w:val="auto"/>
                      <w:sz w:val="21"/>
                      <w:szCs w:val="21"/>
                    </w:rPr>
                  </w:pPr>
                  <w:r>
                    <w:rPr>
                      <w:rFonts w:hint="eastAsia"/>
                      <w:color w:val="auto"/>
                      <w:sz w:val="21"/>
                      <w:szCs w:val="21"/>
                    </w:rPr>
                    <w:t>简单防渗区</w:t>
                  </w:r>
                </w:p>
              </w:tc>
              <w:tc>
                <w:tcPr>
                  <w:tcW w:w="982" w:type="pct"/>
                  <w:noWrap w:val="0"/>
                  <w:vAlign w:val="center"/>
                </w:tcPr>
                <w:p w14:paraId="50F2BDDE">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办公楼等</w:t>
                  </w:r>
                </w:p>
              </w:tc>
              <w:tc>
                <w:tcPr>
                  <w:tcW w:w="3239" w:type="pct"/>
                  <w:noWrap w:val="0"/>
                  <w:vAlign w:val="center"/>
                </w:tcPr>
                <w:p w14:paraId="2E7183AF">
                  <w:pPr>
                    <w:spacing w:line="240" w:lineRule="auto"/>
                    <w:jc w:val="center"/>
                    <w:rPr>
                      <w:rFonts w:hint="eastAsia"/>
                      <w:bCs/>
                      <w:color w:val="auto"/>
                      <w:sz w:val="21"/>
                      <w:szCs w:val="21"/>
                    </w:rPr>
                  </w:pPr>
                  <w:r>
                    <w:rPr>
                      <w:rFonts w:hint="eastAsia"/>
                      <w:bCs/>
                      <w:color w:val="auto"/>
                      <w:sz w:val="21"/>
                      <w:szCs w:val="21"/>
                    </w:rPr>
                    <w:t>一般地面硬化</w:t>
                  </w:r>
                </w:p>
              </w:tc>
            </w:tr>
          </w:tbl>
          <w:p w14:paraId="39F351E1">
            <w:pPr>
              <w:pStyle w:val="124"/>
              <w:bidi w:val="0"/>
              <w:rPr>
                <w:rFonts w:hint="eastAsia" w:ascii="Times New Roman" w:hAnsi="Times New Roman" w:eastAsia="宋体" w:cs="Times New Roman"/>
                <w:b/>
                <w:bCs w:val="0"/>
                <w:color w:val="auto"/>
                <w:sz w:val="24"/>
                <w:szCs w:val="24"/>
                <w:highlight w:val="none"/>
                <w:lang w:val="en-US" w:eastAsia="zh-CN"/>
              </w:rPr>
            </w:pPr>
            <w:r>
              <w:rPr>
                <w:rFonts w:hint="default"/>
                <w:color w:val="auto"/>
                <w:lang w:val="en-US" w:eastAsia="zh-CN"/>
              </w:rPr>
              <w:t>综上所述，采取分区防护措施，各个环节得到良好控制的情况下，本项目不会对土壤和地下水造成明显影响。</w:t>
            </w:r>
          </w:p>
          <w:p w14:paraId="6D4A0B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（六）环境风险影响分析</w:t>
            </w:r>
          </w:p>
          <w:p w14:paraId="5B7540F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风险评价的目的是分析和预测建设项目存在的潜在危险、有害因素，建设项目在建设和运行期间可能发生的突发性事件或事故（一般不包括人为破坏及自然灾害），引起有毒有害和易燃易爆等物质的泄漏，所造成的人身安全与环境影响和损害程度，提出合理可行的防范、应急与减缓措施，以使建设项目事故率、损失和环境影响达到可接受的水平。</w:t>
            </w:r>
          </w:p>
          <w:p w14:paraId="61A81CB0">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bCs/>
                <w:color w:val="auto"/>
                <w:kern w:val="0"/>
                <w:sz w:val="24"/>
                <w:highlight w:val="none"/>
              </w:rPr>
            </w:pPr>
            <w:r>
              <w:rPr>
                <w:rFonts w:hint="eastAsia" w:cs="Times New Roman"/>
                <w:b/>
                <w:bCs/>
                <w:color w:val="auto"/>
                <w:kern w:val="0"/>
                <w:sz w:val="24"/>
                <w:highlight w:val="none"/>
                <w:lang w:val="en-US" w:eastAsia="zh-CN"/>
              </w:rPr>
              <w:t>1</w:t>
            </w:r>
            <w:r>
              <w:rPr>
                <w:rFonts w:hint="eastAsia" w:ascii="Times New Roman" w:hAnsi="Times New Roman" w:eastAsia="宋体" w:cs="Times New Roman"/>
                <w:b/>
                <w:bCs/>
                <w:color w:val="auto"/>
                <w:kern w:val="0"/>
                <w:sz w:val="24"/>
                <w:highlight w:val="none"/>
                <w:lang w:val="en-US" w:eastAsia="zh-CN"/>
              </w:rPr>
              <w:t>、</w:t>
            </w:r>
            <w:r>
              <w:rPr>
                <w:rFonts w:hint="default" w:ascii="Times New Roman" w:hAnsi="Times New Roman" w:eastAsia="宋体" w:cs="Times New Roman"/>
                <w:b/>
                <w:bCs/>
                <w:color w:val="auto"/>
                <w:kern w:val="0"/>
                <w:sz w:val="24"/>
                <w:highlight w:val="none"/>
              </w:rPr>
              <w:t>环境风险等级判定</w:t>
            </w:r>
          </w:p>
          <w:p w14:paraId="08DD4B15">
            <w:pPr>
              <w:pStyle w:val="45"/>
              <w:spacing w:line="360" w:lineRule="auto"/>
              <w:rPr>
                <w:rFonts w:hint="eastAsia"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按照《建设项目环境风险评价技术导则》（HJ 169-2018）中附录B的要求，对项目涉及的原辅料、最终产品等主要物质进行危险性识别，筛选环境风险评价因子。本项目生产涉及的环境风险物质为</w:t>
            </w:r>
            <w:r>
              <w:rPr>
                <w:rFonts w:hint="eastAsia" w:ascii="Times New Roman" w:hAnsi="Times New Roman" w:eastAsia="宋体" w:cs="Times New Roman"/>
                <w:b w:val="0"/>
                <w:bCs w:val="0"/>
                <w:color w:val="auto"/>
                <w:lang w:val="en-US" w:eastAsia="zh-CN"/>
              </w:rPr>
              <w:t>废机油</w:t>
            </w:r>
            <w:r>
              <w:rPr>
                <w:rFonts w:hint="eastAsia" w:cs="Times New Roman"/>
                <w:b w:val="0"/>
                <w:bCs w:val="0"/>
                <w:color w:val="auto"/>
                <w:lang w:val="en-US" w:eastAsia="zh-CN"/>
              </w:rPr>
              <w:t>、废紫外线灯管</w:t>
            </w:r>
            <w:r>
              <w:rPr>
                <w:rFonts w:hint="eastAsia" w:ascii="Times New Roman" w:hAnsi="Times New Roman" w:eastAsia="宋体" w:cs="Times New Roman"/>
                <w:b w:val="0"/>
                <w:bCs w:val="0"/>
                <w:color w:val="auto"/>
                <w:lang w:val="en-US" w:eastAsia="zh-CN"/>
              </w:rPr>
              <w:t>。</w:t>
            </w:r>
          </w:p>
          <w:p w14:paraId="026D9A12">
            <w:pPr>
              <w:pStyle w:val="45"/>
              <w:spacing w:line="360" w:lineRule="auto"/>
              <w:jc w:val="both"/>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依据《建设项目环境风险评价技术导则》（HJ169-2018）附录C危险物质及工艺系统危险性(P)的分级方法，分析本项目生产、使用、储存过程中涉及的有毒有害、易燃易爆物质，定量分析危险物质数量与临界量的比值(Q)。</w:t>
            </w:r>
            <w:r>
              <w:rPr>
                <w:rFonts w:hint="eastAsia" w:ascii="Times New Roman" w:hAnsi="Times New Roman" w:eastAsia="宋体" w:cs="Times New Roman"/>
                <w:b w:val="0"/>
                <w:bCs w:val="0"/>
                <w:color w:val="auto"/>
                <w:lang w:val="en-US" w:eastAsia="zh-CN"/>
              </w:rPr>
              <w:t xml:space="preserve">    </w:t>
            </w:r>
          </w:p>
          <w:p w14:paraId="4B60D712">
            <w:pPr>
              <w:pStyle w:val="45"/>
              <w:spacing w:line="360" w:lineRule="auto"/>
              <w:jc w:val="both"/>
              <w:rPr>
                <w:rFonts w:hint="default" w:ascii="Times New Roman" w:hAnsi="Times New Roman" w:cs="Times New Roman"/>
                <w:b w:val="0"/>
                <w:bCs w:val="0"/>
                <w:color w:val="auto"/>
                <w:lang w:val="en-US" w:eastAsia="zh-CN"/>
              </w:rPr>
            </w:pPr>
            <w:r>
              <w:rPr>
                <w:rFonts w:hint="default" w:ascii="Times New Roman" w:hAnsi="Times New Roman" w:eastAsia="宋体" w:cs="Times New Roman"/>
                <w:b w:val="0"/>
                <w:bCs w:val="0"/>
                <w:color w:val="auto"/>
                <w:lang w:val="en-US" w:eastAsia="zh-CN"/>
              </w:rPr>
              <w:t>当只涉及一种环境风险物质时，计算该物质的总数量与其临界量比值，即为Q；当存在多种环境风险物质时，则按下式计算物质总量与其临界量比值(Q)：</w:t>
            </w:r>
          </w:p>
          <w:p w14:paraId="0BD30A9E">
            <w:pPr>
              <w:pStyle w:val="45"/>
              <w:spacing w:line="360" w:lineRule="auto"/>
              <w:ind w:left="0" w:leftChars="0" w:firstLine="0" w:firstLineChars="0"/>
              <w:jc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drawing>
                <wp:inline distT="0" distB="0" distL="114300" distR="114300">
                  <wp:extent cx="2105025" cy="533400"/>
                  <wp:effectExtent l="0" t="0" r="9525" b="0"/>
                  <wp:docPr id="17" name="图片 6" descr="微信图片_2022021114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微信图片_20220211144413"/>
                          <pic:cNvPicPr>
                            <a:picLocks noChangeAspect="1"/>
                          </pic:cNvPicPr>
                        </pic:nvPicPr>
                        <pic:blipFill>
                          <a:blip r:embed="rId41"/>
                          <a:stretch>
                            <a:fillRect/>
                          </a:stretch>
                        </pic:blipFill>
                        <pic:spPr>
                          <a:xfrm>
                            <a:off x="0" y="0"/>
                            <a:ext cx="2105025" cy="533400"/>
                          </a:xfrm>
                          <a:prstGeom prst="rect">
                            <a:avLst/>
                          </a:prstGeom>
                          <a:noFill/>
                          <a:ln>
                            <a:noFill/>
                          </a:ln>
                        </pic:spPr>
                      </pic:pic>
                    </a:graphicData>
                  </a:graphic>
                </wp:inline>
              </w:drawing>
            </w:r>
          </w:p>
          <w:p w14:paraId="48BE1983">
            <w:pPr>
              <w:pStyle w:val="45"/>
              <w:spacing w:line="360" w:lineRule="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式中：q1，q2，……qn——每种危险物质的最大存在总量，单位为t；</w:t>
            </w:r>
          </w:p>
          <w:p w14:paraId="6CDD867F">
            <w:pPr>
              <w:pStyle w:val="45"/>
              <w:spacing w:line="360" w:lineRule="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Q1，Q2，……Qn——每种危险物质的临界量，单位为t</w:t>
            </w:r>
            <w:r>
              <w:rPr>
                <w:rFonts w:hint="eastAsia" w:hAnsi="Times New Roman" w:cs="Times New Roman"/>
                <w:b w:val="0"/>
                <w:bCs w:val="0"/>
                <w:color w:val="auto"/>
                <w:lang w:val="en-US" w:eastAsia="zh-CN"/>
              </w:rPr>
              <w:t>；</w:t>
            </w:r>
          </w:p>
          <w:p w14:paraId="05997ABF">
            <w:pPr>
              <w:pStyle w:val="45"/>
              <w:spacing w:line="360" w:lineRule="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当Q&lt;1时，该项目环境风险潜势为I</w:t>
            </w:r>
            <w:r>
              <w:rPr>
                <w:rFonts w:hint="eastAsia" w:hAnsi="Times New Roman" w:cs="Times New Roman"/>
                <w:b w:val="0"/>
                <w:bCs w:val="0"/>
                <w:color w:val="auto"/>
                <w:lang w:val="en-US" w:eastAsia="zh-CN"/>
              </w:rPr>
              <w:t>；</w:t>
            </w:r>
          </w:p>
          <w:p w14:paraId="2BFB4B6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 w:val="0"/>
                <w:bCs w:val="0"/>
                <w:color w:val="auto"/>
                <w:sz w:val="24"/>
                <w:szCs w:val="24"/>
                <w:lang w:val="en-US" w:eastAsia="zh-CN"/>
              </w:rPr>
              <w:t>当Q≥1时，将Q值划分为：（1）1≤Q&lt;10；（2）10≤Q&lt;100；（3）Q≥100。</w:t>
            </w:r>
          </w:p>
          <w:p w14:paraId="43BB5FC3">
            <w:pPr>
              <w:pStyle w:val="45"/>
              <w:spacing w:line="360" w:lineRule="auto"/>
              <w:rPr>
                <w:rFonts w:hint="eastAsia"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lang w:val="en-US" w:eastAsia="zh-CN"/>
              </w:rPr>
              <w:t>依据《建设项目环境风险</w:t>
            </w:r>
            <w:r>
              <w:rPr>
                <w:rFonts w:hint="eastAsia" w:cs="Times New Roman"/>
                <w:b w:val="0"/>
                <w:bCs w:val="0"/>
                <w:color w:val="auto"/>
                <w:lang w:val="en-US" w:eastAsia="zh-CN"/>
              </w:rPr>
              <w:t>评价</w:t>
            </w:r>
            <w:r>
              <w:rPr>
                <w:rFonts w:hint="default" w:ascii="Times New Roman" w:hAnsi="Times New Roman" w:cs="Times New Roman"/>
                <w:b w:val="0"/>
                <w:bCs w:val="0"/>
                <w:color w:val="auto"/>
                <w:lang w:val="en-US" w:eastAsia="zh-CN"/>
              </w:rPr>
              <w:t>技术导则》(HJ169-2018)、《企业突发环境事件风险分级方法》(HJ941-2018)中规定的突发环境事件风险物质及其临界量，计算本项目涉及的危险物质在厂区最大存储量与其临界量的比值Q。计算结果见下表</w:t>
            </w:r>
            <w:r>
              <w:rPr>
                <w:rFonts w:hint="eastAsia" w:ascii="Times New Roman" w:hAnsi="Times New Roman" w:cs="Times New Roman"/>
                <w:b w:val="0"/>
                <w:bCs w:val="0"/>
                <w:color w:val="auto"/>
                <w:lang w:val="en-US" w:eastAsia="zh-CN"/>
              </w:rPr>
              <w:t>4-</w:t>
            </w:r>
            <w:r>
              <w:rPr>
                <w:rFonts w:hint="eastAsia" w:cs="Times New Roman"/>
                <w:b w:val="0"/>
                <w:bCs w:val="0"/>
                <w:color w:val="auto"/>
                <w:lang w:val="en-US" w:eastAsia="zh-CN"/>
              </w:rPr>
              <w:t>35</w:t>
            </w:r>
            <w:r>
              <w:rPr>
                <w:rFonts w:hint="eastAsia" w:ascii="Times New Roman" w:hAnsi="Times New Roman" w:cs="Times New Roman"/>
                <w:b w:val="0"/>
                <w:bCs w:val="0"/>
                <w:color w:val="auto"/>
                <w:lang w:val="en-US" w:eastAsia="zh-CN"/>
              </w:rPr>
              <w:t>。</w:t>
            </w:r>
          </w:p>
          <w:p w14:paraId="73FA59FF">
            <w:pPr>
              <w:pStyle w:val="45"/>
              <w:spacing w:line="240" w:lineRule="auto"/>
              <w:ind w:left="0" w:leftChars="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35</w:t>
            </w:r>
            <w:r>
              <w:rPr>
                <w:rFonts w:hint="eastAsia"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 xml:space="preserve"> 危险物质数量与临界值比值</w:t>
            </w:r>
          </w:p>
          <w:tbl>
            <w:tblPr>
              <w:tblStyle w:val="33"/>
              <w:tblW w:w="81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93"/>
              <w:gridCol w:w="1886"/>
              <w:gridCol w:w="1304"/>
              <w:gridCol w:w="1156"/>
              <w:gridCol w:w="1208"/>
              <w:gridCol w:w="1711"/>
            </w:tblGrid>
            <w:tr w14:paraId="4940B1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94" w:hRule="atLeast"/>
                <w:jc w:val="center"/>
              </w:trPr>
              <w:tc>
                <w:tcPr>
                  <w:tcW w:w="893" w:type="dxa"/>
                  <w:tcBorders>
                    <w:tl2br w:val="nil"/>
                    <w:tr2bl w:val="nil"/>
                  </w:tcBorders>
                  <w:noWrap w:val="0"/>
                  <w:vAlign w:val="center"/>
                </w:tcPr>
                <w:p w14:paraId="1AC048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886" w:type="dxa"/>
                  <w:tcBorders>
                    <w:tl2br w:val="nil"/>
                    <w:tr2bl w:val="nil"/>
                  </w:tcBorders>
                  <w:noWrap w:val="0"/>
                  <w:vAlign w:val="center"/>
                </w:tcPr>
                <w:p w14:paraId="66760E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物质名称</w:t>
                  </w:r>
                </w:p>
              </w:tc>
              <w:tc>
                <w:tcPr>
                  <w:tcW w:w="1304" w:type="dxa"/>
                  <w:tcBorders>
                    <w:tl2br w:val="nil"/>
                    <w:tr2bl w:val="nil"/>
                  </w:tcBorders>
                  <w:noWrap w:val="0"/>
                  <w:vAlign w:val="center"/>
                </w:tcPr>
                <w:p w14:paraId="097483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color w:val="auto"/>
                      <w:sz w:val="21"/>
                      <w:szCs w:val="21"/>
                      <w:highlight w:val="none"/>
                    </w:rPr>
                    <w:t>CAS号</w:t>
                  </w:r>
                </w:p>
              </w:tc>
              <w:tc>
                <w:tcPr>
                  <w:tcW w:w="1156" w:type="dxa"/>
                  <w:tcBorders>
                    <w:tl2br w:val="nil"/>
                    <w:tr2bl w:val="nil"/>
                  </w:tcBorders>
                  <w:noWrap w:val="0"/>
                  <w:vAlign w:val="center"/>
                </w:tcPr>
                <w:p w14:paraId="7420DD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最大存储量（</w:t>
                  </w:r>
                  <w:r>
                    <w:rPr>
                      <w:rFonts w:hint="default" w:ascii="Times New Roman" w:hAnsi="Times New Roman" w:eastAsia="宋体" w:cs="Times New Roman"/>
                      <w:i w:val="0"/>
                      <w:iCs w:val="0"/>
                      <w:color w:val="auto"/>
                      <w:kern w:val="0"/>
                      <w:sz w:val="21"/>
                      <w:szCs w:val="21"/>
                      <w:u w:val="none"/>
                      <w:lang w:val="en-US" w:eastAsia="zh-CN" w:bidi="ar"/>
                    </w:rPr>
                    <w:t>t</w:t>
                  </w:r>
                  <w:r>
                    <w:rPr>
                      <w:rFonts w:hint="eastAsia" w:ascii="宋体" w:hAnsi="宋体" w:eastAsia="宋体" w:cs="宋体"/>
                      <w:i w:val="0"/>
                      <w:iCs w:val="0"/>
                      <w:color w:val="auto"/>
                      <w:kern w:val="0"/>
                      <w:sz w:val="21"/>
                      <w:szCs w:val="21"/>
                      <w:u w:val="none"/>
                      <w:lang w:val="en-US" w:eastAsia="zh-CN" w:bidi="ar"/>
                    </w:rPr>
                    <w:t>）</w:t>
                  </w:r>
                </w:p>
              </w:tc>
              <w:tc>
                <w:tcPr>
                  <w:tcW w:w="1208" w:type="dxa"/>
                  <w:tcBorders>
                    <w:tl2br w:val="nil"/>
                    <w:tr2bl w:val="nil"/>
                  </w:tcBorders>
                  <w:noWrap w:val="0"/>
                  <w:vAlign w:val="center"/>
                </w:tcPr>
                <w:p w14:paraId="560B98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存储场所临界量（</w:t>
                  </w:r>
                  <w:r>
                    <w:rPr>
                      <w:rFonts w:hint="default" w:ascii="Times New Roman" w:hAnsi="Times New Roman" w:eastAsia="宋体" w:cs="Times New Roman"/>
                      <w:i w:val="0"/>
                      <w:iCs w:val="0"/>
                      <w:color w:val="auto"/>
                      <w:kern w:val="0"/>
                      <w:sz w:val="21"/>
                      <w:szCs w:val="21"/>
                      <w:u w:val="none"/>
                      <w:lang w:val="en-US" w:eastAsia="zh-CN" w:bidi="ar"/>
                    </w:rPr>
                    <w:t>t</w:t>
                  </w:r>
                  <w:r>
                    <w:rPr>
                      <w:rFonts w:hint="eastAsia" w:ascii="宋体" w:hAnsi="宋体" w:eastAsia="宋体" w:cs="宋体"/>
                      <w:i w:val="0"/>
                      <w:iCs w:val="0"/>
                      <w:color w:val="auto"/>
                      <w:kern w:val="0"/>
                      <w:sz w:val="21"/>
                      <w:szCs w:val="21"/>
                      <w:u w:val="none"/>
                      <w:lang w:val="en-US" w:eastAsia="zh-CN" w:bidi="ar"/>
                    </w:rPr>
                    <w:t>）</w:t>
                  </w:r>
                </w:p>
              </w:tc>
              <w:tc>
                <w:tcPr>
                  <w:tcW w:w="1711" w:type="dxa"/>
                  <w:tcBorders>
                    <w:tl2br w:val="nil"/>
                    <w:tr2bl w:val="nil"/>
                  </w:tcBorders>
                  <w:noWrap w:val="0"/>
                  <w:vAlign w:val="center"/>
                </w:tcPr>
                <w:p w14:paraId="06C70A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q</w:t>
                  </w:r>
                  <w:r>
                    <w:rPr>
                      <w:rFonts w:hint="default" w:ascii="Times New Roman" w:hAnsi="Times New Roman" w:eastAsia="宋体" w:cs="Times New Roman"/>
                      <w:i w:val="0"/>
                      <w:iCs w:val="0"/>
                      <w:color w:val="auto"/>
                      <w:kern w:val="0"/>
                      <w:sz w:val="21"/>
                      <w:szCs w:val="21"/>
                      <w:u w:val="none"/>
                      <w:vertAlign w:val="subscript"/>
                      <w:lang w:val="en-US" w:eastAsia="zh-CN" w:bidi="ar"/>
                    </w:rPr>
                    <w:t>i</w:t>
                  </w:r>
                  <w:r>
                    <w:rPr>
                      <w:rFonts w:hint="default" w:ascii="Times New Roman" w:hAnsi="Times New Roman" w:eastAsia="宋体" w:cs="Times New Roman"/>
                      <w:i w:val="0"/>
                      <w:iCs w:val="0"/>
                      <w:color w:val="auto"/>
                      <w:kern w:val="0"/>
                      <w:sz w:val="21"/>
                      <w:szCs w:val="21"/>
                      <w:u w:val="none"/>
                      <w:lang w:val="en-US" w:eastAsia="zh-CN" w:bidi="ar"/>
                    </w:rPr>
                    <w:t>/Q</w:t>
                  </w:r>
                  <w:r>
                    <w:rPr>
                      <w:rFonts w:hint="default" w:ascii="Times New Roman" w:hAnsi="Times New Roman" w:eastAsia="宋体" w:cs="Times New Roman"/>
                      <w:i w:val="0"/>
                      <w:iCs w:val="0"/>
                      <w:color w:val="auto"/>
                      <w:kern w:val="0"/>
                      <w:sz w:val="21"/>
                      <w:szCs w:val="21"/>
                      <w:u w:val="none"/>
                      <w:vertAlign w:val="subscript"/>
                      <w:lang w:val="en-US" w:eastAsia="zh-CN" w:bidi="ar"/>
                    </w:rPr>
                    <w:t>i</w:t>
                  </w:r>
                </w:p>
              </w:tc>
            </w:tr>
            <w:tr w14:paraId="1F4D5E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893" w:type="dxa"/>
                  <w:tcBorders>
                    <w:tl2br w:val="nil"/>
                    <w:tr2bl w:val="nil"/>
                  </w:tcBorders>
                  <w:noWrap w:val="0"/>
                  <w:vAlign w:val="center"/>
                </w:tcPr>
                <w:p w14:paraId="5258D0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886" w:type="dxa"/>
                  <w:tcBorders>
                    <w:tl2br w:val="nil"/>
                    <w:tr2bl w:val="nil"/>
                  </w:tcBorders>
                  <w:noWrap w:val="0"/>
                  <w:vAlign w:val="center"/>
                </w:tcPr>
                <w:p w14:paraId="33CFD3D5">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废机油</w:t>
                  </w:r>
                </w:p>
              </w:tc>
              <w:tc>
                <w:tcPr>
                  <w:tcW w:w="1304" w:type="dxa"/>
                  <w:tcBorders>
                    <w:tl2br w:val="nil"/>
                    <w:tr2bl w:val="nil"/>
                  </w:tcBorders>
                  <w:noWrap/>
                  <w:vAlign w:val="center"/>
                </w:tcPr>
                <w:p w14:paraId="115301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56" w:type="dxa"/>
                  <w:tcBorders>
                    <w:tl2br w:val="nil"/>
                    <w:tr2bl w:val="nil"/>
                  </w:tcBorders>
                  <w:noWrap w:val="0"/>
                  <w:vAlign w:val="center"/>
                </w:tcPr>
                <w:p w14:paraId="2E0487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0.025</w:t>
                  </w:r>
                </w:p>
              </w:tc>
              <w:tc>
                <w:tcPr>
                  <w:tcW w:w="1208" w:type="dxa"/>
                  <w:tcBorders>
                    <w:tl2br w:val="nil"/>
                    <w:tr2bl w:val="nil"/>
                  </w:tcBorders>
                  <w:noWrap w:val="0"/>
                  <w:vAlign w:val="center"/>
                </w:tcPr>
                <w:p w14:paraId="4CFE44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2500</w:t>
                  </w:r>
                </w:p>
              </w:tc>
              <w:tc>
                <w:tcPr>
                  <w:tcW w:w="1711" w:type="dxa"/>
                  <w:tcBorders>
                    <w:tl2br w:val="nil"/>
                    <w:tr2bl w:val="nil"/>
                  </w:tcBorders>
                  <w:noWrap w:val="0"/>
                  <w:vAlign w:val="center"/>
                </w:tcPr>
                <w:p w14:paraId="5D0E8D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01</w:t>
                  </w:r>
                </w:p>
              </w:tc>
            </w:tr>
            <w:tr w14:paraId="56EDB8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893" w:type="dxa"/>
                  <w:tcBorders>
                    <w:tl2br w:val="nil"/>
                    <w:tr2bl w:val="nil"/>
                  </w:tcBorders>
                  <w:noWrap w:val="0"/>
                  <w:vAlign w:val="center"/>
                </w:tcPr>
                <w:p w14:paraId="3FF0B45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1886" w:type="dxa"/>
                  <w:tcBorders>
                    <w:tl2br w:val="nil"/>
                    <w:tr2bl w:val="nil"/>
                  </w:tcBorders>
                  <w:noWrap w:val="0"/>
                  <w:vAlign w:val="center"/>
                </w:tcPr>
                <w:p w14:paraId="5F8A10AB">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废紫外线灯管</w:t>
                  </w:r>
                </w:p>
              </w:tc>
              <w:tc>
                <w:tcPr>
                  <w:tcW w:w="1304" w:type="dxa"/>
                  <w:tcBorders>
                    <w:tl2br w:val="nil"/>
                    <w:tr2bl w:val="nil"/>
                  </w:tcBorders>
                  <w:noWrap/>
                  <w:vAlign w:val="center"/>
                </w:tcPr>
                <w:p w14:paraId="604F0A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156" w:type="dxa"/>
                  <w:tcBorders>
                    <w:tl2br w:val="nil"/>
                    <w:tr2bl w:val="nil"/>
                  </w:tcBorders>
                  <w:noWrap w:val="0"/>
                  <w:vAlign w:val="center"/>
                </w:tcPr>
                <w:p w14:paraId="65B7B666">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0.0005</w:t>
                  </w:r>
                </w:p>
              </w:tc>
              <w:tc>
                <w:tcPr>
                  <w:tcW w:w="1208" w:type="dxa"/>
                  <w:tcBorders>
                    <w:tl2br w:val="nil"/>
                    <w:tr2bl w:val="nil"/>
                  </w:tcBorders>
                  <w:noWrap w:val="0"/>
                  <w:vAlign w:val="center"/>
                </w:tcPr>
                <w:p w14:paraId="48E7176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p>
              </w:tc>
              <w:tc>
                <w:tcPr>
                  <w:tcW w:w="1711" w:type="dxa"/>
                  <w:tcBorders>
                    <w:tl2br w:val="nil"/>
                    <w:tr2bl w:val="nil"/>
                  </w:tcBorders>
                  <w:noWrap w:val="0"/>
                  <w:vAlign w:val="center"/>
                </w:tcPr>
                <w:p w14:paraId="1843AD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0.00001</w:t>
                  </w:r>
                </w:p>
              </w:tc>
            </w:tr>
            <w:tr w14:paraId="0D5069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893" w:type="dxa"/>
                  <w:tcBorders>
                    <w:tl2br w:val="nil"/>
                    <w:tr2bl w:val="nil"/>
                  </w:tcBorders>
                  <w:noWrap w:val="0"/>
                  <w:vAlign w:val="center"/>
                </w:tcPr>
                <w:p w14:paraId="6FF5656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合计</w:t>
                  </w:r>
                </w:p>
              </w:tc>
              <w:tc>
                <w:tcPr>
                  <w:tcW w:w="1886" w:type="dxa"/>
                  <w:tcBorders>
                    <w:tl2br w:val="nil"/>
                    <w:tr2bl w:val="nil"/>
                  </w:tcBorders>
                  <w:noWrap w:val="0"/>
                  <w:vAlign w:val="center"/>
                </w:tcPr>
                <w:p w14:paraId="415BF4C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w:t>
                  </w:r>
                </w:p>
              </w:tc>
              <w:tc>
                <w:tcPr>
                  <w:tcW w:w="1304" w:type="dxa"/>
                  <w:tcBorders>
                    <w:tl2br w:val="nil"/>
                    <w:tr2bl w:val="nil"/>
                  </w:tcBorders>
                  <w:noWrap/>
                  <w:vAlign w:val="center"/>
                </w:tcPr>
                <w:p w14:paraId="1ED1996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56" w:type="dxa"/>
                  <w:tcBorders>
                    <w:tl2br w:val="nil"/>
                    <w:tr2bl w:val="nil"/>
                  </w:tcBorders>
                  <w:noWrap w:val="0"/>
                  <w:vAlign w:val="center"/>
                </w:tcPr>
                <w:p w14:paraId="1B9D883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208" w:type="dxa"/>
                  <w:tcBorders>
                    <w:tl2br w:val="nil"/>
                    <w:tr2bl w:val="nil"/>
                  </w:tcBorders>
                  <w:noWrap w:val="0"/>
                  <w:vAlign w:val="center"/>
                </w:tcPr>
                <w:p w14:paraId="5A04682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711" w:type="dxa"/>
                  <w:tcBorders>
                    <w:tl2br w:val="nil"/>
                    <w:tr2bl w:val="nil"/>
                  </w:tcBorders>
                  <w:noWrap w:val="0"/>
                  <w:vAlign w:val="center"/>
                </w:tcPr>
                <w:p w14:paraId="26730F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02</w:t>
                  </w:r>
                </w:p>
              </w:tc>
            </w:tr>
          </w:tbl>
          <w:p w14:paraId="70B258C5">
            <w:pPr>
              <w:pStyle w:val="45"/>
              <w:spacing w:line="360" w:lineRule="auto"/>
              <w:ind w:left="0" w:leftChars="0" w:firstLine="480" w:firstLineChars="20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由上表可见，</w:t>
            </w:r>
            <w:r>
              <w:rPr>
                <w:rFonts w:hint="default" w:ascii="Times New Roman" w:hAnsi="Times New Roman" w:cs="Times New Roman"/>
                <w:b w:val="0"/>
                <w:bCs w:val="0"/>
                <w:color w:val="auto"/>
                <w:sz w:val="24"/>
                <w:szCs w:val="24"/>
                <w:lang w:val="en-US" w:eastAsia="zh-CN"/>
              </w:rPr>
              <w:t>Q</w:t>
            </w:r>
            <w:r>
              <w:rPr>
                <w:rFonts w:hint="eastAsia" w:cs="Times New Roman"/>
                <w:b w:val="0"/>
                <w:bCs w:val="0"/>
                <w:color w:val="auto"/>
                <w:sz w:val="24"/>
                <w:szCs w:val="24"/>
                <w:lang w:val="en-US" w:eastAsia="zh-CN"/>
              </w:rPr>
              <w:t>=</w:t>
            </w:r>
            <w:r>
              <w:rPr>
                <w:rFonts w:hint="default" w:ascii="Times New Roman" w:hAnsi="Times New Roman" w:eastAsia="宋体" w:cs="Times New Roman"/>
                <w:i w:val="0"/>
                <w:iCs w:val="0"/>
                <w:color w:val="auto"/>
                <w:kern w:val="0"/>
                <w:sz w:val="24"/>
                <w:szCs w:val="24"/>
                <w:u w:val="none"/>
                <w:lang w:val="en-US" w:eastAsia="zh-CN" w:bidi="ar"/>
              </w:rPr>
              <w:t>0.000</w:t>
            </w:r>
            <w:r>
              <w:rPr>
                <w:rFonts w:hint="eastAsia" w:cs="Times New Roman"/>
                <w:i w:val="0"/>
                <w:iCs w:val="0"/>
                <w:color w:val="auto"/>
                <w:kern w:val="0"/>
                <w:sz w:val="24"/>
                <w:szCs w:val="24"/>
                <w:u w:val="none"/>
                <w:lang w:val="en-US" w:eastAsia="zh-CN" w:bidi="ar"/>
              </w:rPr>
              <w:t>02</w:t>
            </w:r>
            <w:r>
              <w:rPr>
                <w:rFonts w:hint="default" w:ascii="Times New Roman" w:hAnsi="Times New Roman" w:cs="Times New Roman"/>
                <w:b w:val="0"/>
                <w:bCs w:val="0"/>
                <w:color w:val="auto"/>
                <w:sz w:val="24"/>
                <w:szCs w:val="24"/>
                <w:lang w:val="en-US" w:eastAsia="zh-CN"/>
              </w:rPr>
              <w:t xml:space="preserve"> &lt;1，本</w:t>
            </w:r>
            <w:r>
              <w:rPr>
                <w:rFonts w:hint="default" w:ascii="Times New Roman" w:hAnsi="Times New Roman" w:cs="Times New Roman"/>
                <w:b w:val="0"/>
                <w:bCs w:val="0"/>
                <w:color w:val="auto"/>
                <w:lang w:val="en-US" w:eastAsia="zh-CN"/>
              </w:rPr>
              <w:t>建设项目环境风险潜势划分为</w:t>
            </w:r>
            <w:r>
              <w:rPr>
                <w:rFonts w:hint="default" w:ascii="Times New Roman" w:hAnsi="Times New Roman" w:eastAsia="宋体" w:cs="Times New Roman"/>
                <w:b w:val="0"/>
                <w:bCs w:val="0"/>
                <w:color w:val="auto"/>
                <w:lang w:val="en-US" w:eastAsia="zh-CN"/>
              </w:rPr>
              <w:t>Ⅰ</w:t>
            </w:r>
            <w:r>
              <w:rPr>
                <w:rFonts w:hint="default" w:ascii="Times New Roman" w:hAnsi="Times New Roman" w:cs="Times New Roman"/>
                <w:b w:val="0"/>
                <w:bCs w:val="0"/>
                <w:color w:val="auto"/>
                <w:lang w:val="en-US" w:eastAsia="zh-CN"/>
              </w:rPr>
              <w:t>级</w:t>
            </w:r>
            <w:r>
              <w:rPr>
                <w:rFonts w:hint="eastAsia" w:ascii="Times New Roman" w:hAnsi="Times New Roman" w:cs="Times New Roman"/>
                <w:b w:val="0"/>
                <w:bCs w:val="0"/>
                <w:color w:val="auto"/>
                <w:lang w:val="en-US" w:eastAsia="zh-CN"/>
              </w:rPr>
              <w:t>。</w:t>
            </w:r>
          </w:p>
          <w:p w14:paraId="3D2E64FC">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根据《建设项目环境风险评价技术导则》（HJ169-2018），依据建设项目涉及的物质及工艺系统危险性和所在的环境敏感性确定环境风险潜势，按照表</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r>
              <w:rPr>
                <w:rFonts w:hint="eastAsia" w:cs="Times New Roman"/>
                <w:color w:val="auto"/>
                <w:sz w:val="24"/>
                <w:lang w:val="en-US" w:eastAsia="zh-CN"/>
              </w:rPr>
              <w:t>36</w:t>
            </w:r>
            <w:r>
              <w:rPr>
                <w:rFonts w:hint="default" w:ascii="Times New Roman" w:hAnsi="Times New Roman" w:eastAsia="宋体" w:cs="Times New Roman"/>
                <w:color w:val="auto"/>
                <w:sz w:val="24"/>
              </w:rPr>
              <w:t>确定风险评价等级。</w:t>
            </w:r>
          </w:p>
          <w:p w14:paraId="333FB953">
            <w:pPr>
              <w:pStyle w:val="12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表4-</w:t>
            </w:r>
            <w:r>
              <w:rPr>
                <w:rFonts w:hint="eastAsia" w:cs="Times New Roman"/>
                <w:color w:val="auto"/>
                <w:lang w:val="en-US" w:eastAsia="zh-CN"/>
              </w:rPr>
              <w:t>36</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评价工作等级划分</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638"/>
              <w:gridCol w:w="1638"/>
              <w:gridCol w:w="1638"/>
              <w:gridCol w:w="1639"/>
            </w:tblGrid>
            <w:tr w14:paraId="1D377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831" w:type="dxa"/>
                  <w:tcBorders>
                    <w:tl2br w:val="nil"/>
                    <w:tr2bl w:val="nil"/>
                  </w:tcBorders>
                  <w:noWrap w:val="0"/>
                  <w:vAlign w:val="center"/>
                </w:tcPr>
                <w:p w14:paraId="5D7C101C">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环境风险潜势</w:t>
                  </w:r>
                </w:p>
              </w:tc>
              <w:tc>
                <w:tcPr>
                  <w:tcW w:w="1831" w:type="dxa"/>
                  <w:tcBorders>
                    <w:tl2br w:val="nil"/>
                    <w:tr2bl w:val="nil"/>
                  </w:tcBorders>
                  <w:noWrap w:val="0"/>
                  <w:vAlign w:val="center"/>
                </w:tcPr>
                <w:p w14:paraId="7C76A9CF">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Ⅳ、Ⅳ</w:t>
                  </w:r>
                  <w:r>
                    <w:rPr>
                      <w:rFonts w:hint="default" w:ascii="Times New Roman" w:hAnsi="Times New Roman" w:eastAsia="宋体" w:cs="Times New Roman"/>
                      <w:b/>
                      <w:bCs/>
                      <w:color w:val="auto"/>
                      <w:sz w:val="21"/>
                      <w:szCs w:val="21"/>
                      <w:vertAlign w:val="superscript"/>
                    </w:rPr>
                    <w:t>+</w:t>
                  </w:r>
                </w:p>
              </w:tc>
              <w:tc>
                <w:tcPr>
                  <w:tcW w:w="1831" w:type="dxa"/>
                  <w:tcBorders>
                    <w:tl2br w:val="nil"/>
                    <w:tr2bl w:val="nil"/>
                  </w:tcBorders>
                  <w:noWrap w:val="0"/>
                  <w:vAlign w:val="center"/>
                </w:tcPr>
                <w:p w14:paraId="59AA4196">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Ⅲ</w:t>
                  </w:r>
                </w:p>
              </w:tc>
              <w:tc>
                <w:tcPr>
                  <w:tcW w:w="1831" w:type="dxa"/>
                  <w:tcBorders>
                    <w:tl2br w:val="nil"/>
                    <w:tr2bl w:val="nil"/>
                  </w:tcBorders>
                  <w:noWrap w:val="0"/>
                  <w:vAlign w:val="center"/>
                </w:tcPr>
                <w:p w14:paraId="3C2341A3">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Ⅱ</w:t>
                  </w:r>
                </w:p>
              </w:tc>
              <w:tc>
                <w:tcPr>
                  <w:tcW w:w="1833" w:type="dxa"/>
                  <w:tcBorders>
                    <w:tl2br w:val="nil"/>
                    <w:tr2bl w:val="nil"/>
                  </w:tcBorders>
                  <w:noWrap w:val="0"/>
                  <w:vAlign w:val="center"/>
                </w:tcPr>
                <w:p w14:paraId="25CE61E6">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Ⅰ</w:t>
                  </w:r>
                </w:p>
              </w:tc>
            </w:tr>
            <w:tr w14:paraId="7304B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31" w:type="dxa"/>
                  <w:tcBorders>
                    <w:tl2br w:val="nil"/>
                    <w:tr2bl w:val="nil"/>
                  </w:tcBorders>
                  <w:noWrap w:val="0"/>
                  <w:vAlign w:val="center"/>
                </w:tcPr>
                <w:p w14:paraId="2ACD044F">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评价工作等级</w:t>
                  </w:r>
                </w:p>
              </w:tc>
              <w:tc>
                <w:tcPr>
                  <w:tcW w:w="1831" w:type="dxa"/>
                  <w:tcBorders>
                    <w:tl2br w:val="nil"/>
                    <w:tr2bl w:val="nil"/>
                  </w:tcBorders>
                  <w:noWrap w:val="0"/>
                  <w:vAlign w:val="center"/>
                </w:tcPr>
                <w:p w14:paraId="295BEC61">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w:t>
                  </w:r>
                </w:p>
              </w:tc>
              <w:tc>
                <w:tcPr>
                  <w:tcW w:w="1831" w:type="dxa"/>
                  <w:tcBorders>
                    <w:tl2br w:val="nil"/>
                    <w:tr2bl w:val="nil"/>
                  </w:tcBorders>
                  <w:noWrap w:val="0"/>
                  <w:vAlign w:val="center"/>
                </w:tcPr>
                <w:p w14:paraId="366F2A69">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w:t>
                  </w:r>
                </w:p>
              </w:tc>
              <w:tc>
                <w:tcPr>
                  <w:tcW w:w="1831" w:type="dxa"/>
                  <w:tcBorders>
                    <w:tl2br w:val="nil"/>
                    <w:tr2bl w:val="nil"/>
                  </w:tcBorders>
                  <w:noWrap w:val="0"/>
                  <w:vAlign w:val="center"/>
                </w:tcPr>
                <w:p w14:paraId="46FEFB38">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三</w:t>
                  </w:r>
                </w:p>
              </w:tc>
              <w:tc>
                <w:tcPr>
                  <w:tcW w:w="1833" w:type="dxa"/>
                  <w:tcBorders>
                    <w:tl2br w:val="nil"/>
                    <w:tr2bl w:val="nil"/>
                  </w:tcBorders>
                  <w:noWrap w:val="0"/>
                  <w:vAlign w:val="center"/>
                </w:tcPr>
                <w:p w14:paraId="0C1F6EB7">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简单分析</w:t>
                  </w:r>
                  <w:r>
                    <w:rPr>
                      <w:rFonts w:hint="default" w:ascii="Times New Roman" w:hAnsi="Times New Roman" w:eastAsia="宋体" w:cs="Times New Roman"/>
                      <w:color w:val="auto"/>
                      <w:sz w:val="21"/>
                      <w:szCs w:val="21"/>
                      <w:vertAlign w:val="superscript"/>
                    </w:rPr>
                    <w:t>a</w:t>
                  </w:r>
                </w:p>
              </w:tc>
            </w:tr>
            <w:tr w14:paraId="09D72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157" w:type="dxa"/>
                  <w:gridSpan w:val="5"/>
                  <w:tcBorders>
                    <w:tl2br w:val="nil"/>
                    <w:tr2bl w:val="nil"/>
                  </w:tcBorders>
                  <w:noWrap w:val="0"/>
                  <w:vAlign w:val="center"/>
                </w:tcPr>
                <w:p w14:paraId="27496750">
                  <w:pPr>
                    <w:autoSpaceDE w:val="0"/>
                    <w:autoSpaceDN w:val="0"/>
                    <w:adjustRightInd w:val="0"/>
                    <w:snapToGrid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a是相对于详细评价工作内容而言，在描述危险物质、环境影响途径、环境危害后果、风险防范措施等方面给出定性的说明。</w:t>
                  </w:r>
                </w:p>
              </w:tc>
            </w:tr>
          </w:tbl>
          <w:p w14:paraId="58FA75DA">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w:t>因此，本项目环境风险评价工作等级为简单分析。</w:t>
            </w:r>
          </w:p>
          <w:p w14:paraId="0A41E8A5">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3、</w:t>
            </w:r>
            <w:r>
              <w:rPr>
                <w:rFonts w:hint="default" w:ascii="Times New Roman" w:hAnsi="Times New Roman" w:eastAsia="宋体" w:cs="Times New Roman"/>
                <w:b/>
                <w:bCs/>
                <w:color w:val="auto"/>
                <w:kern w:val="0"/>
                <w:sz w:val="24"/>
                <w:highlight w:val="none"/>
                <w:lang w:val="en-US" w:eastAsia="zh-CN"/>
              </w:rPr>
              <w:t>环境风险分析</w:t>
            </w:r>
          </w:p>
          <w:p w14:paraId="25246386">
            <w:pPr>
              <w:pStyle w:val="45"/>
              <w:spacing w:line="360" w:lineRule="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sz w:val="24"/>
                <w:szCs w:val="24"/>
                <w:lang w:val="en-US" w:eastAsia="zh-CN"/>
              </w:rPr>
              <w:t>本项目风险物质</w:t>
            </w:r>
            <w:r>
              <w:rPr>
                <w:rFonts w:hint="eastAsia" w:ascii="Times New Roman" w:hAnsi="Times New Roman" w:eastAsia="宋体" w:cs="Times New Roman"/>
                <w:b w:val="0"/>
                <w:bCs w:val="0"/>
                <w:color w:val="auto"/>
                <w:lang w:val="en-US" w:eastAsia="zh-CN"/>
              </w:rPr>
              <w:t>废机油</w:t>
            </w:r>
            <w:r>
              <w:rPr>
                <w:rFonts w:hint="eastAsia" w:cs="Times New Roman"/>
                <w:b w:val="0"/>
                <w:bCs w:val="0"/>
                <w:color w:val="auto"/>
                <w:lang w:val="en-US" w:eastAsia="zh-CN"/>
              </w:rPr>
              <w:t>和废紫外线灯管，</w:t>
            </w:r>
            <w:r>
              <w:rPr>
                <w:rFonts w:hint="eastAsia" w:cs="Times New Roman"/>
                <w:b w:val="0"/>
                <w:bCs w:val="0"/>
                <w:sz w:val="24"/>
                <w:szCs w:val="24"/>
                <w:lang w:val="en-US" w:eastAsia="zh-CN"/>
              </w:rPr>
              <w:t>废机油</w:t>
            </w:r>
            <w:r>
              <w:rPr>
                <w:rFonts w:hint="eastAsia" w:cs="Times New Roman"/>
                <w:color w:val="auto"/>
                <w:lang w:val="en-US" w:eastAsia="zh-CN"/>
              </w:rPr>
              <w:t>为液体，</w:t>
            </w:r>
            <w:r>
              <w:rPr>
                <w:rFonts w:hint="eastAsia" w:cs="Times New Roman"/>
                <w:b w:val="0"/>
                <w:bCs w:val="0"/>
                <w:lang w:val="en-US" w:eastAsia="zh-CN"/>
              </w:rPr>
              <w:t>废机油</w:t>
            </w:r>
            <w:r>
              <w:rPr>
                <w:rFonts w:hint="default" w:ascii="Times New Roman" w:hAnsi="Times New Roman" w:cs="Times New Roman"/>
                <w:b w:val="0"/>
                <w:bCs w:val="0"/>
                <w:lang w:val="en-US" w:eastAsia="zh-CN"/>
              </w:rPr>
              <w:t>存放在铁桶内，可能发生由于包装的损坏，引起液体泄漏，</w:t>
            </w:r>
            <w:r>
              <w:rPr>
                <w:rFonts w:hint="eastAsia" w:cs="Times New Roman"/>
                <w:b w:val="0"/>
                <w:bCs w:val="0"/>
                <w:color w:val="auto"/>
                <w:lang w:val="en-US" w:eastAsia="zh-CN"/>
              </w:rPr>
              <w:t>废紫外线灯管</w:t>
            </w:r>
            <w:r>
              <w:rPr>
                <w:rFonts w:hint="default" w:ascii="Times New Roman" w:hAnsi="Times New Roman" w:cs="Times New Roman"/>
                <w:b w:val="0"/>
                <w:bCs w:val="0"/>
                <w:lang w:val="en-US" w:eastAsia="zh-CN"/>
              </w:rPr>
              <w:t>存放在</w:t>
            </w:r>
            <w:r>
              <w:rPr>
                <w:rFonts w:hint="eastAsia" w:ascii="Times New Roman" w:hAnsi="Times New Roman" w:cs="Times New Roman"/>
                <w:b w:val="0"/>
                <w:bCs w:val="0"/>
                <w:lang w:val="en-US" w:eastAsia="zh-CN"/>
              </w:rPr>
              <w:t>专用容器中，</w:t>
            </w:r>
            <w:r>
              <w:rPr>
                <w:rFonts w:hint="default" w:ascii="Times New Roman" w:hAnsi="Times New Roman" w:cs="Times New Roman"/>
                <w:b w:val="0"/>
                <w:bCs w:val="0"/>
                <w:lang w:val="en-US" w:eastAsia="zh-CN"/>
              </w:rPr>
              <w:t>可能发生由于包装的损坏，引起</w:t>
            </w:r>
            <w:r>
              <w:rPr>
                <w:rFonts w:hint="eastAsia" w:cs="Times New Roman"/>
                <w:b w:val="0"/>
                <w:bCs w:val="0"/>
                <w:color w:val="auto"/>
                <w:lang w:val="en-US" w:eastAsia="zh-CN"/>
              </w:rPr>
              <w:t>废紫外线灯管中的汞</w:t>
            </w:r>
            <w:r>
              <w:rPr>
                <w:rFonts w:hint="default" w:ascii="Times New Roman" w:hAnsi="Times New Roman" w:cs="Times New Roman"/>
                <w:b w:val="0"/>
                <w:bCs w:val="0"/>
                <w:lang w:val="en-US" w:eastAsia="zh-CN"/>
              </w:rPr>
              <w:t>泄漏</w:t>
            </w:r>
            <w:r>
              <w:rPr>
                <w:rFonts w:hint="eastAsia" w:cs="Times New Roman"/>
                <w:b w:val="0"/>
                <w:bCs w:val="0"/>
                <w:color w:val="auto"/>
                <w:lang w:val="en-US" w:eastAsia="zh-CN"/>
              </w:rPr>
              <w:t>，</w:t>
            </w:r>
            <w:r>
              <w:rPr>
                <w:rFonts w:hint="eastAsia" w:cs="Times New Roman"/>
                <w:b w:val="0"/>
                <w:bCs w:val="0"/>
                <w:lang w:val="en-US" w:eastAsia="zh-CN"/>
              </w:rPr>
              <w:t>也可能</w:t>
            </w:r>
            <w:r>
              <w:rPr>
                <w:rFonts w:hint="default" w:ascii="Times New Roman" w:hAnsi="Times New Roman" w:cs="Times New Roman"/>
                <w:b w:val="0"/>
                <w:bCs w:val="0"/>
                <w:lang w:val="en-US" w:eastAsia="zh-CN"/>
              </w:rPr>
              <w:t>扩散至雨水排放口，通过雨水管网排入地表水体；或经硬化地面破损处下渗</w:t>
            </w:r>
            <w:r>
              <w:rPr>
                <w:rFonts w:hint="eastAsia" w:ascii="Times New Roman" w:hAnsi="Times New Roman" w:cs="Times New Roman"/>
                <w:b w:val="0"/>
                <w:bCs w:val="0"/>
                <w:lang w:val="en-US" w:eastAsia="zh-CN"/>
              </w:rPr>
              <w:t>至厂房其他楼层</w:t>
            </w:r>
            <w:r>
              <w:rPr>
                <w:rFonts w:hint="default" w:ascii="Times New Roman" w:hAnsi="Times New Roman" w:cs="Times New Roman"/>
                <w:b w:val="0"/>
                <w:bCs w:val="0"/>
                <w:lang w:val="en-US" w:eastAsia="zh-CN"/>
              </w:rPr>
              <w:t>污染土壤及地下水</w:t>
            </w:r>
            <w:r>
              <w:rPr>
                <w:rFonts w:hint="eastAsia" w:hAnsi="Times New Roman" w:cs="Times New Roman"/>
                <w:b w:val="0"/>
                <w:bCs w:val="0"/>
                <w:lang w:val="en-US" w:eastAsia="zh-CN"/>
              </w:rPr>
              <w:t>；引发</w:t>
            </w:r>
            <w:r>
              <w:rPr>
                <w:rFonts w:hint="eastAsia"/>
                <w:color w:val="000000"/>
                <w:szCs w:val="21"/>
              </w:rPr>
              <w:t>火灾</w:t>
            </w:r>
            <w:r>
              <w:rPr>
                <w:rFonts w:hint="eastAsia"/>
                <w:color w:val="000000"/>
                <w:szCs w:val="21"/>
                <w:lang w:val="en-US" w:eastAsia="zh-CN"/>
              </w:rPr>
              <w:t>事故</w:t>
            </w:r>
            <w:r>
              <w:rPr>
                <w:rFonts w:hint="eastAsia"/>
                <w:color w:val="000000"/>
                <w:szCs w:val="21"/>
              </w:rPr>
              <w:t>等造成大气</w:t>
            </w:r>
            <w:r>
              <w:rPr>
                <w:rFonts w:hint="eastAsia"/>
                <w:color w:val="000000"/>
                <w:szCs w:val="21"/>
                <w:lang w:val="en-US" w:eastAsia="zh-CN"/>
              </w:rPr>
              <w:t>、水体等</w:t>
            </w:r>
            <w:r>
              <w:rPr>
                <w:rFonts w:hint="eastAsia"/>
                <w:color w:val="000000"/>
                <w:szCs w:val="21"/>
              </w:rPr>
              <w:t>污染</w:t>
            </w:r>
            <w:r>
              <w:rPr>
                <w:rFonts w:hint="default" w:ascii="Times New Roman" w:hAnsi="Times New Roman" w:cs="Times New Roman"/>
                <w:b w:val="0"/>
                <w:bCs w:val="0"/>
                <w:lang w:val="en-US" w:eastAsia="zh-CN"/>
              </w:rPr>
              <w:t>。</w:t>
            </w:r>
          </w:p>
          <w:p w14:paraId="36C41FC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4-</w:t>
            </w:r>
            <w:r>
              <w:rPr>
                <w:rFonts w:hint="eastAsia" w:cs="Times New Roman"/>
                <w:b/>
                <w:color w:val="auto"/>
                <w:sz w:val="21"/>
                <w:szCs w:val="21"/>
                <w:lang w:val="en-US" w:eastAsia="zh-CN"/>
              </w:rPr>
              <w:t xml:space="preserve">37  </w:t>
            </w:r>
            <w:r>
              <w:rPr>
                <w:rFonts w:hint="default" w:ascii="Times New Roman" w:hAnsi="Times New Roman" w:eastAsia="宋体" w:cs="Times New Roman"/>
                <w:b/>
                <w:color w:val="auto"/>
                <w:sz w:val="21"/>
                <w:szCs w:val="21"/>
              </w:rPr>
              <w:t>建设项目环境风险简单分析内容表</w:t>
            </w:r>
          </w:p>
          <w:tbl>
            <w:tblPr>
              <w:tblStyle w:val="33"/>
              <w:tblW w:w="81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61"/>
              <w:gridCol w:w="903"/>
              <w:gridCol w:w="1629"/>
              <w:gridCol w:w="1190"/>
              <w:gridCol w:w="1331"/>
              <w:gridCol w:w="65"/>
            </w:tblGrid>
            <w:tr w14:paraId="40DBE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61" w:type="dxa"/>
                  <w:tcBorders>
                    <w:tl2br w:val="nil"/>
                    <w:tr2bl w:val="nil"/>
                  </w:tcBorders>
                  <w:noWrap w:val="0"/>
                  <w:vAlign w:val="center"/>
                </w:tcPr>
                <w:p w14:paraId="33D463F1">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建设项目名称</w:t>
                  </w:r>
                </w:p>
              </w:tc>
              <w:tc>
                <w:tcPr>
                  <w:tcW w:w="5118" w:type="dxa"/>
                  <w:gridSpan w:val="5"/>
                  <w:tcBorders>
                    <w:tl2br w:val="nil"/>
                    <w:tr2bl w:val="nil"/>
                  </w:tcBorders>
                  <w:noWrap w:val="0"/>
                  <w:vAlign w:val="center"/>
                </w:tcPr>
                <w:p w14:paraId="6C18ACB1">
                  <w:pPr>
                    <w:jc w:val="center"/>
                    <w:rPr>
                      <w:rFonts w:hint="eastAsia" w:ascii="Times New Roman" w:hAnsi="Times New Roman" w:eastAsia="宋体" w:cs="Times New Roman"/>
                      <w:color w:val="auto"/>
                      <w:sz w:val="21"/>
                      <w:szCs w:val="21"/>
                      <w:u w:val="none"/>
                      <w:lang w:val="en-US" w:eastAsia="zh-CN"/>
                    </w:rPr>
                  </w:pPr>
                  <w:r>
                    <w:rPr>
                      <w:rFonts w:hint="eastAsia" w:ascii="宋体" w:hAnsi="宋体" w:cs="宋体"/>
                      <w:color w:val="auto"/>
                      <w:sz w:val="21"/>
                      <w:szCs w:val="21"/>
                      <w:lang w:eastAsia="zh-CN"/>
                    </w:rPr>
                    <w:t>赣州市晟阳餐饮公司年产 10 万吨宁都预制菜及工业化配餐服务项目（变更）</w:t>
                  </w:r>
                </w:p>
              </w:tc>
            </w:tr>
            <w:tr w14:paraId="4B374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65" w:type="dxa"/>
                <w:trHeight w:val="318" w:hRule="atLeast"/>
                <w:jc w:val="center"/>
              </w:trPr>
              <w:tc>
                <w:tcPr>
                  <w:tcW w:w="3061" w:type="dxa"/>
                  <w:tcBorders>
                    <w:tl2br w:val="nil"/>
                    <w:tr2bl w:val="nil"/>
                  </w:tcBorders>
                  <w:noWrap w:val="0"/>
                  <w:vAlign w:val="center"/>
                </w:tcPr>
                <w:p w14:paraId="1B037F8D">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建设地点</w:t>
                  </w:r>
                </w:p>
              </w:tc>
              <w:tc>
                <w:tcPr>
                  <w:tcW w:w="5053" w:type="dxa"/>
                  <w:gridSpan w:val="4"/>
                  <w:tcBorders>
                    <w:tl2br w:val="nil"/>
                    <w:tr2bl w:val="nil"/>
                  </w:tcBorders>
                  <w:noWrap w:val="0"/>
                  <w:vAlign w:val="center"/>
                </w:tcPr>
                <w:p w14:paraId="08931E1A">
                  <w:pPr>
                    <w:jc w:val="center"/>
                    <w:rPr>
                      <w:rFonts w:hint="default" w:ascii="Times New Roman" w:hAnsi="Times New Roman" w:eastAsia="宋体" w:cs="Times New Roman"/>
                      <w:color w:val="auto"/>
                      <w:sz w:val="21"/>
                      <w:szCs w:val="21"/>
                      <w:lang w:val="en-US" w:eastAsia="zh-CN"/>
                    </w:rPr>
                  </w:pPr>
                  <w:r>
                    <w:rPr>
                      <w:rFonts w:hint="default" w:ascii="宋体" w:hAnsi="宋体" w:eastAsia="宋体" w:cs="宋体"/>
                      <w:color w:val="auto"/>
                      <w:sz w:val="21"/>
                      <w:szCs w:val="21"/>
                      <w:lang w:val="en-US" w:eastAsia="zh-CN"/>
                    </w:rPr>
                    <w:t>江西省赣州市宁都县工业园区易富北路北侧宁都大道东侧</w:t>
                  </w:r>
                </w:p>
              </w:tc>
            </w:tr>
            <w:tr w14:paraId="6475C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65" w:type="dxa"/>
                <w:trHeight w:val="318" w:hRule="atLeast"/>
                <w:jc w:val="center"/>
              </w:trPr>
              <w:tc>
                <w:tcPr>
                  <w:tcW w:w="3061" w:type="dxa"/>
                  <w:tcBorders>
                    <w:tl2br w:val="nil"/>
                    <w:tr2bl w:val="nil"/>
                  </w:tcBorders>
                  <w:noWrap w:val="0"/>
                  <w:vAlign w:val="center"/>
                </w:tcPr>
                <w:p w14:paraId="13EC2B68">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地理坐标</w:t>
                  </w:r>
                </w:p>
              </w:tc>
              <w:tc>
                <w:tcPr>
                  <w:tcW w:w="903" w:type="dxa"/>
                  <w:tcBorders>
                    <w:tl2br w:val="nil"/>
                    <w:tr2bl w:val="nil"/>
                  </w:tcBorders>
                  <w:noWrap w:val="0"/>
                  <w:vAlign w:val="center"/>
                </w:tcPr>
                <w:p w14:paraId="7E3F383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东经</w:t>
                  </w:r>
                </w:p>
              </w:tc>
              <w:tc>
                <w:tcPr>
                  <w:tcW w:w="1629" w:type="dxa"/>
                  <w:tcBorders>
                    <w:tl2br w:val="nil"/>
                    <w:tr2bl w:val="nil"/>
                  </w:tcBorders>
                  <w:noWrap w:val="0"/>
                  <w:vAlign w:val="center"/>
                </w:tcPr>
                <w:p w14:paraId="1E0274C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highlight w:val="none"/>
                    </w:rPr>
                    <w:t>11</w:t>
                  </w:r>
                  <w:r>
                    <w:rPr>
                      <w:rFonts w:hint="default" w:ascii="Times New Roman" w:hAnsi="Times New Roman" w:eastAsia="宋体" w:cs="Times New Roman"/>
                      <w:color w:val="000000"/>
                      <w:sz w:val="21"/>
                      <w:szCs w:val="21"/>
                      <w:highlight w:val="none"/>
                      <w:lang w:val="en-US" w:eastAsia="zh-CN"/>
                    </w:rPr>
                    <w:t>5</w:t>
                  </w:r>
                  <w:r>
                    <w:rPr>
                      <w:rFonts w:hint="default" w:ascii="Times New Roman" w:hAnsi="Times New Roman" w:eastAsia="宋体" w:cs="Times New Roman"/>
                      <w:color w:val="000000"/>
                      <w:sz w:val="21"/>
                      <w:szCs w:val="21"/>
                      <w:highlight w:val="none"/>
                    </w:rPr>
                    <w:t>°</w:t>
                  </w:r>
                  <w:r>
                    <w:rPr>
                      <w:rFonts w:hint="default" w:ascii="Times New Roman" w:hAnsi="Times New Roman" w:eastAsia="宋体" w:cs="Times New Roman"/>
                      <w:color w:val="000000"/>
                      <w:sz w:val="21"/>
                      <w:szCs w:val="21"/>
                      <w:highlight w:val="none"/>
                      <w:lang w:val="en-US" w:eastAsia="zh-CN"/>
                    </w:rPr>
                    <w:t>59</w:t>
                  </w:r>
                  <w:r>
                    <w:rPr>
                      <w:rFonts w:hint="default" w:ascii="Times New Roman" w:hAnsi="Times New Roman" w:eastAsia="宋体" w:cs="Times New Roman"/>
                      <w:color w:val="000000"/>
                      <w:sz w:val="21"/>
                      <w:szCs w:val="21"/>
                      <w:highlight w:val="none"/>
                    </w:rPr>
                    <w:t>′18.71</w:t>
                  </w:r>
                  <w:r>
                    <w:rPr>
                      <w:rFonts w:hint="eastAsia" w:ascii="Times New Roman" w:hAnsi="Times New Roman" w:eastAsia="宋体" w:cs="Times New Roman"/>
                      <w:color w:val="000000"/>
                      <w:sz w:val="21"/>
                      <w:szCs w:val="21"/>
                      <w:highlight w:val="none"/>
                      <w:lang w:val="en-US" w:eastAsia="zh-CN"/>
                    </w:rPr>
                    <w:t>9</w:t>
                  </w:r>
                  <w:r>
                    <w:rPr>
                      <w:rFonts w:hint="default" w:ascii="Times New Roman" w:hAnsi="Times New Roman" w:eastAsia="宋体" w:cs="Times New Roman"/>
                      <w:color w:val="000000"/>
                      <w:sz w:val="21"/>
                      <w:szCs w:val="21"/>
                      <w:highlight w:val="none"/>
                    </w:rPr>
                    <w:t>″</w:t>
                  </w:r>
                </w:p>
              </w:tc>
              <w:tc>
                <w:tcPr>
                  <w:tcW w:w="1190" w:type="dxa"/>
                  <w:tcBorders>
                    <w:tl2br w:val="nil"/>
                    <w:tr2bl w:val="nil"/>
                  </w:tcBorders>
                  <w:noWrap w:val="0"/>
                  <w:vAlign w:val="center"/>
                </w:tcPr>
                <w:p w14:paraId="18AC552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北纬</w:t>
                  </w:r>
                </w:p>
              </w:tc>
              <w:tc>
                <w:tcPr>
                  <w:tcW w:w="1331" w:type="dxa"/>
                  <w:tcBorders>
                    <w:tl2br w:val="nil"/>
                    <w:tr2bl w:val="nil"/>
                  </w:tcBorders>
                  <w:noWrap w:val="0"/>
                  <w:vAlign w:val="center"/>
                </w:tcPr>
                <w:p w14:paraId="2E88F14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highlight w:val="none"/>
                    </w:rPr>
                    <w:t>2</w:t>
                  </w:r>
                  <w:r>
                    <w:rPr>
                      <w:rFonts w:hint="default" w:ascii="Times New Roman" w:hAnsi="Times New Roman" w:eastAsia="宋体" w:cs="Times New Roman"/>
                      <w:color w:val="000000"/>
                      <w:sz w:val="21"/>
                      <w:szCs w:val="21"/>
                      <w:highlight w:val="none"/>
                      <w:lang w:val="en-US" w:eastAsia="zh-CN"/>
                    </w:rPr>
                    <w:t>6</w:t>
                  </w:r>
                  <w:r>
                    <w:rPr>
                      <w:rFonts w:hint="default" w:ascii="Times New Roman" w:hAnsi="Times New Roman" w:eastAsia="宋体" w:cs="Times New Roman"/>
                      <w:color w:val="000000"/>
                      <w:sz w:val="21"/>
                      <w:szCs w:val="21"/>
                      <w:highlight w:val="none"/>
                    </w:rPr>
                    <w:t>°</w:t>
                  </w:r>
                  <w:r>
                    <w:rPr>
                      <w:rFonts w:hint="default" w:ascii="Times New Roman" w:hAnsi="Times New Roman" w:eastAsia="宋体" w:cs="Times New Roman"/>
                      <w:color w:val="000000"/>
                      <w:sz w:val="21"/>
                      <w:szCs w:val="21"/>
                      <w:highlight w:val="none"/>
                      <w:lang w:val="en-US" w:eastAsia="zh-CN"/>
                    </w:rPr>
                    <w:t>24</w:t>
                  </w:r>
                  <w:r>
                    <w:rPr>
                      <w:rFonts w:hint="default" w:ascii="Times New Roman" w:hAnsi="Times New Roman" w:eastAsia="宋体" w:cs="Times New Roman"/>
                      <w:color w:val="000000"/>
                      <w:sz w:val="21"/>
                      <w:szCs w:val="21"/>
                      <w:highlight w:val="none"/>
                    </w:rPr>
                    <w:t>′</w:t>
                  </w:r>
                  <w:r>
                    <w:rPr>
                      <w:rFonts w:hint="default" w:ascii="Times New Roman" w:hAnsi="Times New Roman" w:eastAsia="宋体" w:cs="Times New Roman"/>
                      <w:color w:val="000000"/>
                      <w:sz w:val="21"/>
                      <w:szCs w:val="21"/>
                      <w:highlight w:val="none"/>
                      <w:lang w:val="en-US" w:eastAsia="zh-CN"/>
                    </w:rPr>
                    <w:t>35.2</w:t>
                  </w:r>
                  <w:r>
                    <w:rPr>
                      <w:rFonts w:hint="eastAsia" w:ascii="Times New Roman" w:hAnsi="Times New Roman" w:eastAsia="宋体" w:cs="Times New Roman"/>
                      <w:color w:val="000000"/>
                      <w:sz w:val="21"/>
                      <w:szCs w:val="21"/>
                      <w:highlight w:val="none"/>
                      <w:lang w:val="en-US" w:eastAsia="zh-CN"/>
                    </w:rPr>
                    <w:t>30</w:t>
                  </w:r>
                  <w:r>
                    <w:rPr>
                      <w:rFonts w:hint="default" w:ascii="Times New Roman" w:hAnsi="Times New Roman" w:eastAsia="宋体" w:cs="Times New Roman"/>
                      <w:color w:val="000000"/>
                      <w:sz w:val="21"/>
                      <w:szCs w:val="21"/>
                      <w:highlight w:val="none"/>
                    </w:rPr>
                    <w:t>″</w:t>
                  </w:r>
                </w:p>
              </w:tc>
            </w:tr>
            <w:tr w14:paraId="4985B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65" w:type="dxa"/>
                <w:trHeight w:val="330" w:hRule="atLeast"/>
                <w:jc w:val="center"/>
              </w:trPr>
              <w:tc>
                <w:tcPr>
                  <w:tcW w:w="3061" w:type="dxa"/>
                  <w:tcBorders>
                    <w:tl2br w:val="nil"/>
                    <w:tr2bl w:val="nil"/>
                  </w:tcBorders>
                  <w:noWrap w:val="0"/>
                  <w:vAlign w:val="center"/>
                </w:tcPr>
                <w:p w14:paraId="7B37B808">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主要危险物质及分布</w:t>
                  </w:r>
                </w:p>
              </w:tc>
              <w:tc>
                <w:tcPr>
                  <w:tcW w:w="5053" w:type="dxa"/>
                  <w:gridSpan w:val="4"/>
                  <w:tcBorders>
                    <w:tl2br w:val="nil"/>
                    <w:tr2bl w:val="nil"/>
                  </w:tcBorders>
                  <w:noWrap w:val="0"/>
                  <w:vAlign w:val="center"/>
                </w:tcPr>
                <w:p w14:paraId="06FA037C">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废机油和</w:t>
                  </w:r>
                  <w:r>
                    <w:rPr>
                      <w:rFonts w:hint="eastAsia" w:cs="Times New Roman"/>
                      <w:b w:val="0"/>
                      <w:bCs w:val="0"/>
                      <w:color w:val="auto"/>
                      <w:lang w:val="en-US" w:eastAsia="zh-CN"/>
                    </w:rPr>
                    <w:t>废紫外线灯管</w:t>
                  </w:r>
                  <w:r>
                    <w:rPr>
                      <w:rFonts w:hint="eastAsia" w:cs="Times New Roman"/>
                      <w:color w:val="auto"/>
                      <w:sz w:val="21"/>
                      <w:szCs w:val="21"/>
                      <w:u w:val="none"/>
                      <w:lang w:val="en-US" w:eastAsia="zh-CN"/>
                    </w:rPr>
                    <w:t>储存于危废间</w:t>
                  </w:r>
                </w:p>
              </w:tc>
            </w:tr>
            <w:tr w14:paraId="5AA24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65" w:type="dxa"/>
                <w:trHeight w:val="529" w:hRule="atLeast"/>
                <w:jc w:val="center"/>
              </w:trPr>
              <w:tc>
                <w:tcPr>
                  <w:tcW w:w="3061" w:type="dxa"/>
                  <w:tcBorders>
                    <w:tl2br w:val="nil"/>
                    <w:tr2bl w:val="nil"/>
                  </w:tcBorders>
                  <w:noWrap w:val="0"/>
                  <w:vAlign w:val="center"/>
                </w:tcPr>
                <w:p w14:paraId="1702B4F0">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环境影响途径及危害后果（大气、地表水、地下水等）</w:t>
                  </w:r>
                </w:p>
              </w:tc>
              <w:tc>
                <w:tcPr>
                  <w:tcW w:w="5053" w:type="dxa"/>
                  <w:gridSpan w:val="4"/>
                  <w:tcBorders>
                    <w:tl2br w:val="nil"/>
                    <w:tr2bl w:val="nil"/>
                  </w:tcBorders>
                  <w:noWrap w:val="0"/>
                  <w:vAlign w:val="center"/>
                </w:tcPr>
                <w:p w14:paraId="5BEF8513">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废机油和</w:t>
                  </w:r>
                  <w:r>
                    <w:rPr>
                      <w:rFonts w:hint="eastAsia" w:cs="Times New Roman"/>
                      <w:b w:val="0"/>
                      <w:bCs w:val="0"/>
                      <w:color w:val="auto"/>
                      <w:lang w:val="en-US" w:eastAsia="zh-CN"/>
                    </w:rPr>
                    <w:t>废紫外线灯管中的汞</w:t>
                  </w:r>
                  <w:r>
                    <w:rPr>
                      <w:rFonts w:hint="eastAsia" w:ascii="Times New Roman" w:hAnsi="Times New Roman" w:eastAsia="宋体" w:cs="Times New Roman"/>
                      <w:b w:val="0"/>
                      <w:bCs w:val="0"/>
                      <w:color w:val="auto"/>
                      <w:lang w:val="en-US" w:eastAsia="zh-CN"/>
                    </w:rPr>
                    <w:t>泄露</w:t>
                  </w:r>
                  <w:r>
                    <w:rPr>
                      <w:rFonts w:hint="eastAsia" w:ascii="Times New Roman" w:hAnsi="Times New Roman" w:eastAsia="宋体" w:cs="Times New Roman"/>
                      <w:color w:val="auto"/>
                      <w:sz w:val="21"/>
                      <w:szCs w:val="21"/>
                      <w:u w:val="none"/>
                      <w:lang w:val="en-US" w:eastAsia="zh-CN"/>
                    </w:rPr>
                    <w:t>污染</w:t>
                  </w:r>
                  <w:r>
                    <w:rPr>
                      <w:rFonts w:hint="eastAsia" w:cs="Times New Roman"/>
                      <w:color w:val="auto"/>
                      <w:sz w:val="21"/>
                      <w:szCs w:val="21"/>
                      <w:u w:val="none"/>
                      <w:lang w:val="en-US" w:eastAsia="zh-CN"/>
                    </w:rPr>
                    <w:t>水体、</w:t>
                  </w:r>
                  <w:r>
                    <w:rPr>
                      <w:rFonts w:hint="eastAsia" w:ascii="Times New Roman" w:hAnsi="Times New Roman" w:eastAsia="宋体" w:cs="Times New Roman"/>
                      <w:color w:val="auto"/>
                      <w:sz w:val="21"/>
                      <w:szCs w:val="21"/>
                      <w:u w:val="none"/>
                      <w:lang w:val="en-US" w:eastAsia="zh-CN"/>
                    </w:rPr>
                    <w:t>大气</w:t>
                  </w:r>
                  <w:r>
                    <w:rPr>
                      <w:rFonts w:hint="eastAsia" w:cs="Times New Roman"/>
                      <w:color w:val="auto"/>
                      <w:sz w:val="21"/>
                      <w:szCs w:val="21"/>
                      <w:u w:val="none"/>
                      <w:lang w:val="en-US" w:eastAsia="zh-CN"/>
                    </w:rPr>
                    <w:t>、</w:t>
                  </w:r>
                  <w:r>
                    <w:rPr>
                      <w:rFonts w:hint="default" w:ascii="Times New Roman" w:hAnsi="Times New Roman" w:cs="Times New Roman"/>
                      <w:b w:val="0"/>
                      <w:bCs w:val="0"/>
                      <w:color w:val="auto"/>
                      <w:lang w:val="en-US" w:eastAsia="zh-CN"/>
                    </w:rPr>
                    <w:t>土壤及地下水</w:t>
                  </w:r>
                  <w:r>
                    <w:rPr>
                      <w:rFonts w:hint="eastAsia" w:cs="Times New Roman"/>
                      <w:b w:val="0"/>
                      <w:bCs w:val="0"/>
                      <w:color w:val="auto"/>
                      <w:lang w:val="en-US" w:eastAsia="zh-CN"/>
                    </w:rPr>
                    <w:t>；引发火灾事故污染</w:t>
                  </w:r>
                  <w:r>
                    <w:rPr>
                      <w:rFonts w:hint="eastAsia" w:ascii="Times New Roman" w:hAnsi="Times New Roman" w:eastAsia="宋体" w:cs="Times New Roman"/>
                      <w:color w:val="auto"/>
                      <w:sz w:val="21"/>
                      <w:szCs w:val="21"/>
                      <w:u w:val="none"/>
                      <w:lang w:val="en-US" w:eastAsia="zh-CN"/>
                    </w:rPr>
                    <w:t>大气</w:t>
                  </w:r>
                  <w:r>
                    <w:rPr>
                      <w:rFonts w:hint="eastAsia" w:cs="Times New Roman"/>
                      <w:color w:val="auto"/>
                      <w:sz w:val="21"/>
                      <w:szCs w:val="21"/>
                      <w:u w:val="none"/>
                      <w:lang w:val="en-US" w:eastAsia="zh-CN"/>
                    </w:rPr>
                    <w:t>、水体等</w:t>
                  </w:r>
                </w:p>
              </w:tc>
            </w:tr>
            <w:tr w14:paraId="1EEB9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65" w:type="dxa"/>
                <w:trHeight w:val="354" w:hRule="atLeast"/>
                <w:jc w:val="center"/>
              </w:trPr>
              <w:tc>
                <w:tcPr>
                  <w:tcW w:w="3061" w:type="dxa"/>
                  <w:tcBorders>
                    <w:tl2br w:val="nil"/>
                    <w:tr2bl w:val="nil"/>
                  </w:tcBorders>
                  <w:noWrap w:val="0"/>
                  <w:vAlign w:val="center"/>
                </w:tcPr>
                <w:p w14:paraId="5ABEE0DB">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风险防范措施要求</w:t>
                  </w:r>
                </w:p>
              </w:tc>
              <w:tc>
                <w:tcPr>
                  <w:tcW w:w="5053" w:type="dxa"/>
                  <w:gridSpan w:val="4"/>
                  <w:tcBorders>
                    <w:tl2br w:val="nil"/>
                    <w:tr2bl w:val="nil"/>
                  </w:tcBorders>
                  <w:noWrap w:val="0"/>
                  <w:vAlign w:val="top"/>
                </w:tcPr>
                <w:p w14:paraId="126A56CF">
                  <w:pPr>
                    <w:numPr>
                      <w:ilvl w:val="0"/>
                      <w:numId w:val="4"/>
                    </w:numPr>
                    <w:jc w:val="both"/>
                    <w:rPr>
                      <w:color w:val="auto"/>
                      <w:szCs w:val="21"/>
                    </w:rPr>
                  </w:pPr>
                  <w:r>
                    <w:rPr>
                      <w:color w:val="auto"/>
                      <w:szCs w:val="21"/>
                    </w:rPr>
                    <w:t>操作使用过程：操作人员必须经过专门培训，严格遵守操作规程。工作场所严禁吸烟，使用防爆型的通风系统和设备，加强员工消防防火意识观念；</w:t>
                  </w:r>
                </w:p>
                <w:p w14:paraId="569B6F37">
                  <w:pPr>
                    <w:numPr>
                      <w:ilvl w:val="0"/>
                      <w:numId w:val="0"/>
                    </w:numPr>
                    <w:jc w:val="both"/>
                    <w:rPr>
                      <w:rFonts w:hint="eastAsia"/>
                      <w:color w:val="auto"/>
                      <w:szCs w:val="21"/>
                    </w:rPr>
                  </w:pPr>
                  <w:r>
                    <w:rPr>
                      <w:color w:val="auto"/>
                      <w:szCs w:val="21"/>
                    </w:rPr>
                    <w:t>2、储存过程：仓库严禁吸烟和动用明火，易燃易爆区域严禁使用铁质等易产生火花的工具；</w:t>
                  </w:r>
                </w:p>
                <w:p w14:paraId="6E24337F">
                  <w:pPr>
                    <w:jc w:val="both"/>
                    <w:rPr>
                      <w:rFonts w:hint="eastAsia"/>
                      <w:color w:val="auto"/>
                      <w:szCs w:val="21"/>
                    </w:rPr>
                  </w:pPr>
                  <w:r>
                    <w:rPr>
                      <w:color w:val="auto"/>
                      <w:szCs w:val="21"/>
                    </w:rPr>
                    <w:t>3、大气风险防范措施：切断泄漏源、火源，并在堵漏、灭火的同时，对临近的设备及空间采用水幕、喷淋等措施进行冷却保护采</w:t>
                  </w:r>
                  <w:r>
                    <w:rPr>
                      <w:rFonts w:hint="eastAsia"/>
                      <w:color w:val="auto"/>
                      <w:szCs w:val="21"/>
                    </w:rPr>
                    <w:t>取</w:t>
                  </w:r>
                  <w:r>
                    <w:rPr>
                      <w:color w:val="auto"/>
                      <w:szCs w:val="21"/>
                    </w:rPr>
                    <w:t>措施切断气态污染物向环境转移的途径；</w:t>
                  </w:r>
                </w:p>
                <w:p w14:paraId="0DCCD65C">
                  <w:pPr>
                    <w:jc w:val="both"/>
                    <w:rPr>
                      <w:rFonts w:hint="default" w:eastAsia="宋体"/>
                      <w:color w:val="auto"/>
                      <w:szCs w:val="21"/>
                      <w:lang w:val="en-US" w:eastAsia="zh-CN"/>
                    </w:rPr>
                  </w:pPr>
                  <w:r>
                    <w:rPr>
                      <w:color w:val="auto"/>
                      <w:szCs w:val="21"/>
                    </w:rPr>
                    <w:t>4、事故废水防范措施：重视管网、污水处理</w:t>
                  </w:r>
                  <w:r>
                    <w:rPr>
                      <w:rFonts w:hint="eastAsia"/>
                      <w:color w:val="auto"/>
                      <w:szCs w:val="21"/>
                      <w:lang w:val="en-US" w:eastAsia="zh-CN"/>
                    </w:rPr>
                    <w:t>设施</w:t>
                  </w:r>
                  <w:r>
                    <w:rPr>
                      <w:color w:val="auto"/>
                      <w:szCs w:val="21"/>
                    </w:rPr>
                    <w:t>日常维护措施；</w:t>
                  </w:r>
                  <w:r>
                    <w:rPr>
                      <w:rFonts w:hint="eastAsia"/>
                      <w:color w:val="auto"/>
                      <w:szCs w:val="21"/>
                      <w:lang w:val="en-US" w:eastAsia="zh-CN"/>
                    </w:rPr>
                    <w:t>建设事故应急池；</w:t>
                  </w:r>
                </w:p>
                <w:p w14:paraId="1F46DF4D">
                  <w:pPr>
                    <w:jc w:val="both"/>
                    <w:rPr>
                      <w:rFonts w:hint="eastAsia" w:ascii="Times New Roman" w:hAnsi="Times New Roman" w:eastAsia="宋体" w:cs="Times New Roman"/>
                      <w:color w:val="auto"/>
                      <w:sz w:val="21"/>
                      <w:szCs w:val="21"/>
                      <w:u w:val="none"/>
                      <w:vertAlign w:val="baseline"/>
                      <w:lang w:val="en-US" w:eastAsia="zh-CN"/>
                    </w:rPr>
                  </w:pPr>
                  <w:r>
                    <w:rPr>
                      <w:color w:val="auto"/>
                      <w:szCs w:val="21"/>
                    </w:rPr>
                    <w:t>5、地下水风险防范措施：源头控制、分区防渗</w:t>
                  </w:r>
                </w:p>
              </w:tc>
            </w:tr>
            <w:tr w14:paraId="28A8F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65" w:type="dxa"/>
                <w:trHeight w:val="584" w:hRule="atLeast"/>
                <w:jc w:val="center"/>
              </w:trPr>
              <w:tc>
                <w:tcPr>
                  <w:tcW w:w="8114" w:type="dxa"/>
                  <w:gridSpan w:val="5"/>
                  <w:tcBorders>
                    <w:tl2br w:val="nil"/>
                    <w:tr2bl w:val="nil"/>
                  </w:tcBorders>
                  <w:noWrap w:val="0"/>
                  <w:vAlign w:val="center"/>
                </w:tcPr>
                <w:p w14:paraId="7BFA3177">
                  <w:pPr>
                    <w:jc w:val="both"/>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填表说明（列出项目相关信息及评价说明）：</w:t>
                  </w:r>
                </w:p>
                <w:p w14:paraId="1610354D">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本项目</w:t>
                  </w:r>
                  <w:r>
                    <w:rPr>
                      <w:rFonts w:hint="eastAsia" w:ascii="Times New Roman" w:hAnsi="Times New Roman" w:eastAsia="宋体" w:cs="Times New Roman"/>
                      <w:color w:val="auto"/>
                      <w:sz w:val="21"/>
                      <w:szCs w:val="21"/>
                      <w:u w:val="none"/>
                      <w:lang w:val="en-US" w:eastAsia="zh-CN"/>
                    </w:rPr>
                    <w:t>环境风险</w:t>
                  </w:r>
                  <w:r>
                    <w:rPr>
                      <w:rFonts w:hint="default" w:ascii="Times New Roman" w:hAnsi="Times New Roman" w:eastAsia="宋体" w:cs="Times New Roman"/>
                      <w:color w:val="auto"/>
                      <w:sz w:val="21"/>
                      <w:szCs w:val="21"/>
                      <w:u w:val="none"/>
                      <w:lang w:val="en-US" w:eastAsia="zh-CN"/>
                    </w:rPr>
                    <w:t>Q值＜1，本项目环境风险潜势为I，评价工作等级为简单分析。</w:t>
                  </w:r>
                </w:p>
              </w:tc>
            </w:tr>
          </w:tbl>
          <w:p w14:paraId="2166EA5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环境风险防范措施</w:t>
            </w:r>
          </w:p>
          <w:p w14:paraId="3A42DA49">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针对上述可能引发的环境风险事故，本环评要求建设单位采取如下措施：</w:t>
            </w:r>
          </w:p>
          <w:p w14:paraId="6F322873">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1</w:t>
            </w:r>
            <w:r>
              <w:rPr>
                <w:rFonts w:hint="eastAsia"/>
                <w:b w:val="0"/>
                <w:bCs w:val="0"/>
                <w:color w:val="auto"/>
                <w:sz w:val="24"/>
                <w:szCs w:val="24"/>
                <w:highlight w:val="none"/>
                <w:lang w:eastAsia="zh-CN"/>
              </w:rPr>
              <w:t>）树立环境风险意识</w:t>
            </w:r>
          </w:p>
          <w:p w14:paraId="64AE5F53">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建设项目生产过程中必须贯彻落实“安全第一，预防为主”的方针同时，应树立环境风险意识，强化环境风险责任。</w:t>
            </w:r>
          </w:p>
          <w:p w14:paraId="20671C27">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2</w:t>
            </w:r>
            <w:r>
              <w:rPr>
                <w:rFonts w:hint="eastAsia"/>
                <w:b w:val="0"/>
                <w:bCs w:val="0"/>
                <w:color w:val="auto"/>
                <w:sz w:val="24"/>
                <w:szCs w:val="24"/>
                <w:highlight w:val="none"/>
                <w:lang w:eastAsia="zh-CN"/>
              </w:rPr>
              <w:t>）实行全面安全管理制度</w:t>
            </w:r>
          </w:p>
          <w:p w14:paraId="1073A1D7">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规范并强化在运输、生产、贮存、使用等过程中的环境风险预防措施为预防安全事故的发生，建设单位必须制定比较完善的安全管理规章制度，应从制度上对环境风险予以防范，对于各类事故的预防仍然需要制定相应的防范措施，尽量采用先进和安全可靠的设备，按照国家有关规定在车间设置必要的安全设施。</w:t>
            </w:r>
          </w:p>
          <w:p w14:paraId="63E34FCB">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3</w:t>
            </w:r>
            <w:r>
              <w:rPr>
                <w:rFonts w:hint="eastAsia"/>
                <w:b w:val="0"/>
                <w:bCs w:val="0"/>
                <w:color w:val="auto"/>
                <w:sz w:val="24"/>
                <w:szCs w:val="24"/>
                <w:highlight w:val="none"/>
                <w:lang w:eastAsia="zh-CN"/>
              </w:rPr>
              <w:t>）提高生产及管理人员的技术水平，强化安全及环境教育操作及管理人员的技术水平可直接影响到风险事故的发生，本项目建成投产后，应对操作和管理人员的技术水平从严要求，提高安全意识，加强培训。</w:t>
            </w:r>
          </w:p>
          <w:p w14:paraId="7F665EA7">
            <w:pPr>
              <w:pStyle w:val="46"/>
              <w:bidi w:val="0"/>
              <w:rPr>
                <w:rFonts w:hint="default"/>
                <w:color w:val="auto"/>
                <w:sz w:val="24"/>
                <w:szCs w:val="24"/>
                <w:highlight w:val="none"/>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4</w:t>
            </w:r>
            <w:r>
              <w:rPr>
                <w:rFonts w:hint="eastAsia" w:cs="Times New Roman"/>
                <w:b w:val="0"/>
                <w:bCs w:val="0"/>
                <w:color w:val="auto"/>
                <w:sz w:val="24"/>
                <w:szCs w:val="24"/>
                <w:highlight w:val="none"/>
                <w:lang w:eastAsia="zh-CN"/>
              </w:rPr>
              <w:t>）</w:t>
            </w:r>
            <w:r>
              <w:rPr>
                <w:rFonts w:hint="eastAsia"/>
                <w:color w:val="auto"/>
                <w:sz w:val="24"/>
                <w:szCs w:val="24"/>
                <w:highlight w:val="none"/>
                <w:lang w:val="en-US" w:eastAsia="zh-CN"/>
              </w:rPr>
              <w:t>废</w:t>
            </w:r>
            <w:r>
              <w:rPr>
                <w:rFonts w:hint="default"/>
                <w:color w:val="auto"/>
                <w:sz w:val="24"/>
                <w:szCs w:val="24"/>
                <w:highlight w:val="none"/>
              </w:rPr>
              <w:t>机油日常储存于</w:t>
            </w:r>
            <w:r>
              <w:rPr>
                <w:rFonts w:hint="eastAsia"/>
                <w:color w:val="auto"/>
                <w:sz w:val="24"/>
                <w:szCs w:val="24"/>
                <w:highlight w:val="none"/>
                <w:lang w:val="en-US" w:eastAsia="zh-CN"/>
              </w:rPr>
              <w:t>相应容器</w:t>
            </w:r>
            <w:r>
              <w:rPr>
                <w:rFonts w:hint="default"/>
                <w:color w:val="auto"/>
                <w:sz w:val="24"/>
                <w:szCs w:val="24"/>
                <w:highlight w:val="none"/>
              </w:rPr>
              <w:t>内，储存容器日常均加盖密封</w:t>
            </w:r>
            <w:r>
              <w:rPr>
                <w:rFonts w:hint="eastAsia"/>
                <w:color w:val="auto"/>
                <w:sz w:val="24"/>
                <w:szCs w:val="24"/>
                <w:highlight w:val="none"/>
                <w:lang w:eastAsia="zh-CN"/>
              </w:rPr>
              <w:t>；</w:t>
            </w:r>
            <w:r>
              <w:rPr>
                <w:rFonts w:hint="default"/>
                <w:color w:val="auto"/>
                <w:sz w:val="24"/>
                <w:szCs w:val="24"/>
                <w:highlight w:val="none"/>
              </w:rPr>
              <w:t>危废暂存间采建有堵截泄漏的裙脚，地面与裙脚要用坚固防渗的材料建造</w:t>
            </w:r>
            <w:r>
              <w:rPr>
                <w:rFonts w:hint="eastAsia"/>
                <w:color w:val="auto"/>
                <w:sz w:val="24"/>
                <w:szCs w:val="24"/>
                <w:highlight w:val="none"/>
                <w:lang w:eastAsia="zh-CN"/>
              </w:rPr>
              <w:t>，</w:t>
            </w:r>
            <w:r>
              <w:rPr>
                <w:rFonts w:hint="default"/>
                <w:color w:val="auto"/>
                <w:sz w:val="24"/>
                <w:szCs w:val="24"/>
                <w:highlight w:val="none"/>
              </w:rPr>
              <w:t>并设置有隔离设施、报警装置和“四防”（防风、防雨、防晒、防渗漏）设施</w:t>
            </w:r>
            <w:r>
              <w:rPr>
                <w:rFonts w:hint="eastAsia"/>
                <w:color w:val="auto"/>
                <w:sz w:val="24"/>
                <w:szCs w:val="24"/>
                <w:highlight w:val="none"/>
                <w:lang w:eastAsia="zh-CN"/>
              </w:rPr>
              <w:t>，</w:t>
            </w:r>
            <w:r>
              <w:rPr>
                <w:rFonts w:hint="default"/>
                <w:color w:val="auto"/>
                <w:sz w:val="24"/>
                <w:szCs w:val="24"/>
                <w:highlight w:val="none"/>
              </w:rPr>
              <w:t>不同种类的危险废物应根据其理化性质分类存放，不同类的危废须分区贮存，不同分区应设置矮围墙或在地面画线并预留明显间隔，严禁将不相容（相互反应）的危废在同一容器内混装。企业在做好日常环境管理的基础上，项目危险废物贮存过程中对周边的环境空气、地表水、地下水、土壤以及环境敏感保护目标影响较小。</w:t>
            </w:r>
          </w:p>
          <w:p w14:paraId="7B824C54">
            <w:pPr>
              <w:pStyle w:val="46"/>
              <w:bidi w:val="0"/>
              <w:rPr>
                <w:rFonts w:hint="eastAsia" w:ascii="Times New Roman" w:hAnsi="Times New Roman" w:eastAsia="宋体" w:cs="Times New Roman"/>
                <w:b w:val="0"/>
                <w:bCs w:val="0"/>
                <w:color w:val="auto"/>
                <w:sz w:val="24"/>
                <w:szCs w:val="24"/>
                <w:highlight w:val="none"/>
                <w:lang w:eastAsia="zh-CN"/>
              </w:rPr>
            </w:pPr>
            <w:r>
              <w:rPr>
                <w:rFonts w:hint="eastAsia" w:eastAsia="宋体"/>
                <w:color w:val="auto"/>
                <w:sz w:val="24"/>
                <w:szCs w:val="20"/>
                <w:highlight w:val="none"/>
                <w:lang w:eastAsia="zh-CN"/>
              </w:rPr>
              <w:t>（</w:t>
            </w:r>
            <w:r>
              <w:rPr>
                <w:rFonts w:hint="eastAsia"/>
                <w:color w:val="auto"/>
                <w:sz w:val="24"/>
                <w:szCs w:val="20"/>
                <w:highlight w:val="none"/>
                <w:lang w:val="en-US" w:eastAsia="zh-CN"/>
              </w:rPr>
              <w:t>5</w:t>
            </w:r>
            <w:r>
              <w:rPr>
                <w:rFonts w:hint="eastAsia" w:eastAsia="宋体"/>
                <w:color w:val="auto"/>
                <w:sz w:val="24"/>
                <w:szCs w:val="20"/>
                <w:highlight w:val="none"/>
                <w:lang w:eastAsia="zh-CN"/>
              </w:rPr>
              <w:t>）</w:t>
            </w:r>
            <w:r>
              <w:rPr>
                <w:rFonts w:hint="eastAsia" w:ascii="Times New Roman" w:hAnsi="Times New Roman" w:eastAsia="宋体" w:cs="Times New Roman"/>
                <w:b w:val="0"/>
                <w:bCs w:val="0"/>
                <w:color w:val="auto"/>
                <w:sz w:val="24"/>
                <w:szCs w:val="24"/>
                <w:highlight w:val="none"/>
                <w:lang w:eastAsia="zh-CN"/>
              </w:rPr>
              <w:t>火灾</w:t>
            </w:r>
            <w:r>
              <w:rPr>
                <w:rFonts w:hint="default" w:ascii="Times New Roman" w:hAnsi="Times New Roman" w:eastAsia="宋体" w:cs="Times New Roman"/>
                <w:b w:val="0"/>
                <w:bCs w:val="0"/>
                <w:color w:val="auto"/>
                <w:sz w:val="24"/>
                <w:szCs w:val="24"/>
                <w:highlight w:val="none"/>
                <w:lang w:eastAsia="zh-CN"/>
              </w:rPr>
              <w:t>风险防范措施</w:t>
            </w:r>
          </w:p>
          <w:p w14:paraId="329EAA1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val="en-US" w:eastAsia="zh-CN"/>
              </w:rPr>
              <w:t>严</w:t>
            </w:r>
            <w:r>
              <w:rPr>
                <w:rFonts w:hint="default" w:ascii="Times New Roman" w:hAnsi="Times New Roman" w:eastAsia="宋体" w:cs="Times New Roman"/>
                <w:b w:val="0"/>
                <w:bCs w:val="0"/>
                <w:color w:val="auto"/>
                <w:sz w:val="24"/>
                <w:szCs w:val="24"/>
                <w:highlight w:val="none"/>
                <w:lang w:eastAsia="zh-CN"/>
              </w:rPr>
              <w:t>格遵照《建筑设计防火规范》（GB50016-2014）要求，项目各建（构）筑物彼此之间须保留有足够的防火间距。厂方须注意做好原料运输车辆的安全防范工作，选择合适的运输路线，制定应急措施，一旦发生意外事故须立即报告有关部门，减少事故影响。在运输和贮存过程中，要采取严格的措施防止火灾事故的发生。厂方应做好安全防火工作及应变措施</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配置干粉灭火器、消防水箱等应急防范措施</w:t>
            </w:r>
            <w:r>
              <w:rPr>
                <w:rFonts w:hint="default" w:ascii="Times New Roman" w:hAnsi="Times New Roman" w:eastAsia="宋体" w:cs="Times New Roman"/>
                <w:b w:val="0"/>
                <w:bCs w:val="0"/>
                <w:color w:val="auto"/>
                <w:sz w:val="24"/>
                <w:szCs w:val="24"/>
                <w:highlight w:val="none"/>
                <w:lang w:eastAsia="zh-CN"/>
              </w:rPr>
              <w:t>。如发生火灾，用干粉灭火剂</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消防水等方式</w:t>
            </w:r>
            <w:r>
              <w:rPr>
                <w:rFonts w:hint="default" w:ascii="Times New Roman" w:hAnsi="Times New Roman" w:eastAsia="宋体" w:cs="Times New Roman"/>
                <w:b w:val="0"/>
                <w:bCs w:val="0"/>
                <w:color w:val="auto"/>
                <w:sz w:val="24"/>
                <w:szCs w:val="24"/>
                <w:highlight w:val="none"/>
                <w:lang w:eastAsia="zh-CN"/>
              </w:rPr>
              <w:t>灭火。仓库必须配备有专业知识的技术人员，管理人员经考核合格后持证上岗且必须配备可靠的个人安全防护用品。使仓库处于良好通风状态，仓库禁用明火且各种用电设施应符合相应的规范。必须建立严格的出入库管理制度。制订应急方案，并向员工提供必要的训练，一旦发生事故时，应有条不紊地按应急方案实施，以将火灾损失等减少至最低限度，同时应向环保、消防等相关部门及时报告，以便采取更有效的措施来监测灾情及防止污染事故的进一步扩散。</w:t>
            </w:r>
          </w:p>
          <w:p w14:paraId="4692686D">
            <w:pPr>
              <w:spacing w:line="360" w:lineRule="auto"/>
              <w:ind w:firstLine="480" w:firstLineChars="200"/>
              <w:rPr>
                <w:rFonts w:hint="default"/>
                <w:color w:val="auto"/>
                <w:sz w:val="24"/>
                <w:highlight w:val="none"/>
                <w:lang w:val="en-US" w:eastAsia="zh-CN"/>
              </w:rPr>
            </w:pPr>
            <w:r>
              <w:rPr>
                <w:rFonts w:hint="eastAsia"/>
                <w:color w:val="auto"/>
                <w:sz w:val="24"/>
                <w:szCs w:val="20"/>
                <w:highlight w:val="none"/>
                <w:lang w:eastAsia="zh-CN"/>
              </w:rPr>
              <w:t>（</w:t>
            </w:r>
            <w:r>
              <w:rPr>
                <w:rFonts w:hint="eastAsia"/>
                <w:color w:val="auto"/>
                <w:sz w:val="24"/>
                <w:szCs w:val="20"/>
                <w:highlight w:val="none"/>
                <w:lang w:val="en-US" w:eastAsia="zh-CN"/>
              </w:rPr>
              <w:t>6</w:t>
            </w:r>
            <w:r>
              <w:rPr>
                <w:rFonts w:hint="eastAsia"/>
                <w:color w:val="auto"/>
                <w:sz w:val="24"/>
                <w:szCs w:val="20"/>
                <w:highlight w:val="none"/>
                <w:lang w:eastAsia="zh-CN"/>
              </w:rPr>
              <w:t>）</w:t>
            </w:r>
            <w:r>
              <w:rPr>
                <w:rFonts w:hint="eastAsia"/>
                <w:color w:val="auto"/>
                <w:sz w:val="24"/>
                <w:highlight w:val="none"/>
                <w:lang w:val="en-US" w:eastAsia="zh-CN"/>
              </w:rPr>
              <w:t>为避免项目生产过程中物料泄露，</w:t>
            </w:r>
            <w:r>
              <w:rPr>
                <w:rFonts w:hint="eastAsia"/>
                <w:color w:val="auto"/>
                <w:sz w:val="24"/>
                <w:highlight w:val="none"/>
              </w:rPr>
              <w:t>评价建议设置三级风险防范措施</w:t>
            </w:r>
            <w:r>
              <w:rPr>
                <w:rFonts w:hint="eastAsia"/>
                <w:color w:val="auto"/>
                <w:sz w:val="24"/>
                <w:highlight w:val="none"/>
                <w:lang w:eastAsia="zh-CN"/>
              </w:rPr>
              <w:t>，</w:t>
            </w:r>
            <w:r>
              <w:rPr>
                <w:rFonts w:hint="eastAsia"/>
                <w:color w:val="auto"/>
                <w:sz w:val="24"/>
                <w:highlight w:val="none"/>
              </w:rPr>
              <w:t>即从生产区、污水处理</w:t>
            </w:r>
            <w:r>
              <w:rPr>
                <w:rFonts w:hint="eastAsia"/>
                <w:color w:val="auto"/>
                <w:sz w:val="24"/>
                <w:highlight w:val="none"/>
                <w:lang w:val="en-US" w:eastAsia="zh-CN"/>
              </w:rPr>
              <w:t>设施</w:t>
            </w:r>
            <w:r>
              <w:rPr>
                <w:rFonts w:hint="eastAsia"/>
                <w:color w:val="auto"/>
                <w:sz w:val="24"/>
                <w:highlight w:val="none"/>
              </w:rPr>
              <w:t>及区域污水集中处理系统三个层面对项目废水事故进行预防。</w:t>
            </w:r>
          </w:p>
          <w:p w14:paraId="1836A2BD">
            <w:pPr>
              <w:spacing w:line="360" w:lineRule="auto"/>
              <w:ind w:firstLine="480" w:firstLineChars="200"/>
              <w:rPr>
                <w:rFonts w:hint="eastAsia"/>
                <w:color w:val="auto"/>
                <w:sz w:val="24"/>
                <w:highlight w:val="none"/>
              </w:rPr>
            </w:pPr>
            <w:r>
              <w:rPr>
                <w:rFonts w:hint="eastAsia"/>
                <w:color w:val="auto"/>
                <w:sz w:val="24"/>
                <w:highlight w:val="none"/>
              </w:rPr>
              <w:t>建立三级防控体系：</w:t>
            </w:r>
          </w:p>
          <w:p w14:paraId="3D5DFE0C">
            <w:pPr>
              <w:spacing w:line="360" w:lineRule="auto"/>
              <w:ind w:firstLine="480" w:firstLineChars="200"/>
              <w:rPr>
                <w:rFonts w:hint="eastAsia"/>
                <w:color w:val="auto"/>
                <w:sz w:val="24"/>
                <w:highlight w:val="none"/>
              </w:rPr>
            </w:pPr>
            <w:r>
              <w:rPr>
                <w:rFonts w:hint="eastAsia"/>
                <w:color w:val="auto"/>
                <w:sz w:val="24"/>
                <w:highlight w:val="none"/>
                <w:lang w:val="en-US" w:eastAsia="zh-CN"/>
              </w:rPr>
              <w:t>A、</w:t>
            </w:r>
            <w:r>
              <w:rPr>
                <w:rFonts w:hint="eastAsia"/>
                <w:color w:val="auto"/>
                <w:sz w:val="24"/>
                <w:highlight w:val="none"/>
              </w:rPr>
              <w:t>一级防控措施：利用生产装置区作为一级防控措施，主要防控物料泄漏及消防污水。</w:t>
            </w:r>
          </w:p>
          <w:p w14:paraId="6316BB5E">
            <w:pPr>
              <w:spacing w:line="360" w:lineRule="auto"/>
              <w:ind w:firstLine="480" w:firstLineChars="200"/>
              <w:rPr>
                <w:rFonts w:hint="eastAsia"/>
                <w:color w:val="auto"/>
                <w:sz w:val="24"/>
                <w:highlight w:val="none"/>
              </w:rPr>
            </w:pPr>
            <w:r>
              <w:rPr>
                <w:rFonts w:hint="eastAsia"/>
                <w:color w:val="auto"/>
                <w:sz w:val="24"/>
                <w:highlight w:val="none"/>
                <w:lang w:val="en-US" w:eastAsia="zh-CN"/>
              </w:rPr>
              <w:t>B、</w:t>
            </w:r>
            <w:r>
              <w:rPr>
                <w:rFonts w:hint="eastAsia"/>
                <w:color w:val="auto"/>
                <w:sz w:val="24"/>
                <w:highlight w:val="none"/>
              </w:rPr>
              <w:t>二级防控措施：利用</w:t>
            </w:r>
            <w:r>
              <w:rPr>
                <w:rFonts w:hint="eastAsia"/>
                <w:color w:val="auto"/>
                <w:sz w:val="24"/>
                <w:highlight w:val="none"/>
                <w:lang w:val="en-US" w:eastAsia="zh-CN"/>
              </w:rPr>
              <w:t>220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事故池作为二级防控措施，用于事故情况下废水储存。</w:t>
            </w:r>
          </w:p>
          <w:p w14:paraId="0178F8EB">
            <w:pPr>
              <w:spacing w:line="360" w:lineRule="auto"/>
              <w:ind w:firstLine="480" w:firstLineChars="200"/>
              <w:rPr>
                <w:color w:val="auto"/>
                <w:sz w:val="24"/>
                <w:highlight w:val="none"/>
              </w:rPr>
            </w:pPr>
            <w:r>
              <w:rPr>
                <w:rFonts w:hint="eastAsia"/>
                <w:color w:val="auto"/>
                <w:sz w:val="24"/>
                <w:highlight w:val="none"/>
                <w:lang w:val="en-US" w:eastAsia="zh-CN"/>
              </w:rPr>
              <w:t>C、</w:t>
            </w:r>
            <w:r>
              <w:rPr>
                <w:color w:val="auto"/>
                <w:sz w:val="24"/>
                <w:highlight w:val="none"/>
              </w:rPr>
              <w:t>三级防控措施：雨排口增加切换阀门和引入</w:t>
            </w:r>
            <w:r>
              <w:rPr>
                <w:rFonts w:hint="eastAsia"/>
                <w:color w:val="auto"/>
                <w:sz w:val="24"/>
                <w:highlight w:val="none"/>
                <w:lang w:eastAsia="zh-CN"/>
              </w:rPr>
              <w:t>污水处理站</w:t>
            </w:r>
            <w:r>
              <w:rPr>
                <w:color w:val="auto"/>
                <w:sz w:val="24"/>
                <w:highlight w:val="none"/>
              </w:rPr>
              <w:t>的事故池管线作为三级防控措施，防控溢流至雨水系统的污水进入地表河流。</w:t>
            </w:r>
          </w:p>
          <w:p w14:paraId="683BE377">
            <w:pPr>
              <w:spacing w:line="360" w:lineRule="auto"/>
              <w:ind w:firstLine="480" w:firstLineChars="200"/>
              <w:rPr>
                <w:rFonts w:hint="eastAsia"/>
                <w:b/>
                <w:bCs/>
                <w:color w:val="auto"/>
                <w:sz w:val="24"/>
                <w:highlight w:val="none"/>
              </w:rPr>
            </w:pPr>
            <w:r>
              <w:rPr>
                <w:rFonts w:hint="eastAsia"/>
                <w:b w:val="0"/>
                <w:bCs w:val="0"/>
                <w:color w:val="auto"/>
                <w:sz w:val="24"/>
                <w:highlight w:val="none"/>
              </w:rPr>
              <w:t>事故废水收集池在设计、施工和管理中应重点做好以下几点工作：</w:t>
            </w:r>
          </w:p>
          <w:p w14:paraId="7DCC3674">
            <w:pPr>
              <w:spacing w:line="360" w:lineRule="auto"/>
              <w:ind w:firstLine="480" w:firstLineChars="200"/>
              <w:rPr>
                <w:rFonts w:hint="eastAsia"/>
                <w:color w:val="auto"/>
                <w:sz w:val="24"/>
                <w:highlight w:val="none"/>
              </w:rPr>
            </w:pPr>
            <w:r>
              <w:rPr>
                <w:rFonts w:hint="eastAsia"/>
                <w:color w:val="auto"/>
                <w:sz w:val="24"/>
                <w:highlight w:val="none"/>
                <w:lang w:val="en-US" w:eastAsia="zh-CN"/>
              </w:rPr>
              <w:t>A、</w:t>
            </w:r>
            <w:r>
              <w:rPr>
                <w:rFonts w:hint="eastAsia"/>
                <w:color w:val="auto"/>
                <w:sz w:val="24"/>
                <w:highlight w:val="none"/>
              </w:rPr>
              <w:t>设计和施工中做好防渗工作，避免暂存的事故废水对浅层地下水和土壤造成影响；</w:t>
            </w:r>
          </w:p>
          <w:p w14:paraId="051DCF52">
            <w:pPr>
              <w:spacing w:line="360" w:lineRule="auto"/>
              <w:ind w:firstLine="480" w:firstLineChars="200"/>
              <w:rPr>
                <w:rFonts w:hint="eastAsia"/>
                <w:color w:val="auto"/>
                <w:sz w:val="24"/>
                <w:highlight w:val="none"/>
              </w:rPr>
            </w:pPr>
            <w:r>
              <w:rPr>
                <w:rFonts w:hint="eastAsia"/>
                <w:color w:val="auto"/>
                <w:sz w:val="24"/>
                <w:highlight w:val="none"/>
                <w:lang w:val="en-US" w:eastAsia="zh-CN"/>
              </w:rPr>
              <w:t>B、</w:t>
            </w:r>
            <w:r>
              <w:rPr>
                <w:rFonts w:hint="eastAsia"/>
                <w:color w:val="auto"/>
                <w:sz w:val="24"/>
                <w:highlight w:val="none"/>
              </w:rPr>
              <w:t>发生事故时应采取一定的拦截、收集措施，避免事故废水进入地表水体造成污染；</w:t>
            </w:r>
          </w:p>
          <w:p w14:paraId="390353E0">
            <w:pPr>
              <w:spacing w:line="360" w:lineRule="auto"/>
              <w:ind w:firstLine="480" w:firstLineChars="200"/>
              <w:rPr>
                <w:b w:val="0"/>
                <w:bCs/>
                <w:color w:val="auto"/>
                <w:sz w:val="24"/>
                <w:highlight w:val="none"/>
              </w:rPr>
            </w:pPr>
            <w:r>
              <w:rPr>
                <w:rFonts w:hint="eastAsia"/>
                <w:color w:val="auto"/>
                <w:sz w:val="24"/>
                <w:highlight w:val="none"/>
                <w:lang w:val="en-US" w:eastAsia="zh-CN"/>
              </w:rPr>
              <w:t>C、</w:t>
            </w:r>
            <w:r>
              <w:rPr>
                <w:rFonts w:hint="eastAsia"/>
                <w:color w:val="auto"/>
                <w:sz w:val="24"/>
                <w:highlight w:val="none"/>
              </w:rPr>
              <w:t>事故发生后应尽快处理事故废水，避免事故废水在事故池中长期积存。</w:t>
            </w:r>
          </w:p>
          <w:p w14:paraId="7D5B38F5">
            <w:pPr>
              <w:spacing w:line="360" w:lineRule="auto"/>
              <w:ind w:firstLine="480" w:firstLineChars="200"/>
              <w:rPr>
                <w:b w:val="0"/>
                <w:bCs/>
                <w:color w:val="auto"/>
                <w:sz w:val="24"/>
                <w:highlight w:val="none"/>
              </w:rPr>
            </w:pPr>
            <w:r>
              <w:rPr>
                <w:b w:val="0"/>
                <w:bCs/>
                <w:color w:val="auto"/>
                <w:sz w:val="24"/>
                <w:highlight w:val="none"/>
              </w:rPr>
              <w:t>事故池的设置：</w:t>
            </w:r>
          </w:p>
          <w:p w14:paraId="15C9DE85">
            <w:pPr>
              <w:spacing w:line="360" w:lineRule="auto"/>
              <w:ind w:firstLine="480" w:firstLineChars="200"/>
              <w:rPr>
                <w:color w:val="auto"/>
                <w:sz w:val="24"/>
                <w:highlight w:val="none"/>
              </w:rPr>
            </w:pPr>
            <w:r>
              <w:rPr>
                <w:color w:val="auto"/>
                <w:sz w:val="24"/>
                <w:highlight w:val="none"/>
              </w:rPr>
              <w:t>事故情况下一旦物料及其消防水外泄，将很容易渗入地下，造成地下水体污染，进而也可能对地表水水质产生影响；因此，建设单位应建设一定容量的事故池，以接纳事故情况下排放的污水，保证事故情况下不向外环境排放污水。在事故结束之后，将事故池中的污水在保证不会导致污水站负荷过载的情况下将污水逐步排入</w:t>
            </w:r>
            <w:r>
              <w:rPr>
                <w:rFonts w:hint="eastAsia"/>
                <w:color w:val="auto"/>
                <w:sz w:val="24"/>
                <w:highlight w:val="none"/>
                <w:lang w:eastAsia="zh-CN"/>
              </w:rPr>
              <w:t>污水处理站</w:t>
            </w:r>
            <w:r>
              <w:rPr>
                <w:color w:val="auto"/>
                <w:sz w:val="24"/>
                <w:highlight w:val="none"/>
              </w:rPr>
              <w:t>进行处理。根据《水体污染防控紧急措施设计导则》，结合《消防给水及消火栓系统技术规范》（GB50974-2014）并参照《事故状态下水体污染的预防与控制技术要求》（Q/SY1190-2013），针对事故池按其服务范围进行核算。</w:t>
            </w:r>
          </w:p>
          <w:p w14:paraId="3FBB0ACB">
            <w:pPr>
              <w:spacing w:line="360" w:lineRule="auto"/>
              <w:ind w:firstLine="480" w:firstLineChars="200"/>
              <w:rPr>
                <w:color w:val="auto"/>
                <w:sz w:val="24"/>
                <w:highlight w:val="none"/>
              </w:rPr>
            </w:pPr>
            <w:r>
              <w:rPr>
                <w:color w:val="auto"/>
                <w:sz w:val="24"/>
                <w:highlight w:val="none"/>
              </w:rPr>
              <w:t>事故池总有效容积计算公式为：</w:t>
            </w:r>
          </w:p>
          <w:p w14:paraId="37ABA646">
            <w:pPr>
              <w:spacing w:line="360" w:lineRule="auto"/>
              <w:ind w:firstLine="480" w:firstLineChars="200"/>
              <w:jc w:val="center"/>
              <w:rPr>
                <w:color w:val="auto"/>
                <w:sz w:val="24"/>
                <w:highlight w:val="none"/>
              </w:rPr>
            </w:pPr>
            <w:r>
              <w:rPr>
                <w:color w:val="auto"/>
                <w:sz w:val="24"/>
                <w:highlight w:val="none"/>
              </w:rPr>
              <w:t>V</w:t>
            </w:r>
            <w:r>
              <w:rPr>
                <w:color w:val="auto"/>
                <w:sz w:val="24"/>
                <w:highlight w:val="none"/>
                <w:vertAlign w:val="subscript"/>
              </w:rPr>
              <w:t>总</w:t>
            </w:r>
            <w:r>
              <w:rPr>
                <w:color w:val="auto"/>
                <w:sz w:val="24"/>
                <w:highlight w:val="none"/>
              </w:rPr>
              <w:t>＝（V</w:t>
            </w:r>
            <w:r>
              <w:rPr>
                <w:color w:val="auto"/>
                <w:sz w:val="24"/>
                <w:highlight w:val="none"/>
                <w:vertAlign w:val="subscript"/>
              </w:rPr>
              <w:t>1</w:t>
            </w:r>
            <w:r>
              <w:rPr>
                <w:color w:val="auto"/>
                <w:sz w:val="24"/>
                <w:highlight w:val="none"/>
              </w:rPr>
              <w:t>＋V</w:t>
            </w:r>
            <w:r>
              <w:rPr>
                <w:color w:val="auto"/>
                <w:sz w:val="24"/>
                <w:highlight w:val="none"/>
                <w:vertAlign w:val="subscript"/>
              </w:rPr>
              <w:t>2</w:t>
            </w:r>
            <w:r>
              <w:rPr>
                <w:color w:val="auto"/>
                <w:sz w:val="24"/>
                <w:highlight w:val="none"/>
              </w:rPr>
              <w:t>-V</w:t>
            </w:r>
            <w:r>
              <w:rPr>
                <w:color w:val="auto"/>
                <w:sz w:val="24"/>
                <w:highlight w:val="none"/>
                <w:vertAlign w:val="subscript"/>
              </w:rPr>
              <w:t>3</w:t>
            </w:r>
            <w:r>
              <w:rPr>
                <w:color w:val="auto"/>
                <w:sz w:val="24"/>
                <w:highlight w:val="none"/>
              </w:rPr>
              <w:t>）max+V</w:t>
            </w:r>
            <w:r>
              <w:rPr>
                <w:color w:val="auto"/>
                <w:sz w:val="24"/>
                <w:highlight w:val="none"/>
                <w:vertAlign w:val="subscript"/>
              </w:rPr>
              <w:t>4</w:t>
            </w:r>
            <w:r>
              <w:rPr>
                <w:color w:val="auto"/>
                <w:sz w:val="24"/>
                <w:highlight w:val="none"/>
              </w:rPr>
              <w:t>+V</w:t>
            </w:r>
            <w:r>
              <w:rPr>
                <w:color w:val="auto"/>
                <w:sz w:val="24"/>
                <w:highlight w:val="none"/>
                <w:vertAlign w:val="subscript"/>
              </w:rPr>
              <w:t>5</w:t>
            </w:r>
          </w:p>
          <w:p w14:paraId="24CF449F">
            <w:pPr>
              <w:spacing w:line="360" w:lineRule="auto"/>
              <w:ind w:firstLine="480" w:firstLineChars="200"/>
              <w:rPr>
                <w:rFonts w:hint="default"/>
                <w:color w:val="auto"/>
                <w:sz w:val="24"/>
                <w:highlight w:val="none"/>
                <w:lang w:val="en-US" w:eastAsia="zh-CN"/>
              </w:rPr>
            </w:pPr>
            <w:r>
              <w:rPr>
                <w:color w:val="auto"/>
                <w:sz w:val="24"/>
                <w:highlight w:val="none"/>
              </w:rPr>
              <w:t>V</w:t>
            </w:r>
            <w:r>
              <w:rPr>
                <w:color w:val="auto"/>
                <w:sz w:val="24"/>
                <w:highlight w:val="none"/>
                <w:vertAlign w:val="subscript"/>
              </w:rPr>
              <w:t>1</w:t>
            </w:r>
            <w:r>
              <w:rPr>
                <w:color w:val="auto"/>
                <w:sz w:val="24"/>
                <w:highlight w:val="none"/>
              </w:rPr>
              <w:t>——收集系统范围内发生事故的储罐或装置内留存物料量最大的设备的物料量；</w:t>
            </w:r>
            <w:r>
              <w:rPr>
                <w:rFonts w:hint="eastAsia"/>
                <w:color w:val="auto"/>
                <w:sz w:val="24"/>
                <w:highlight w:val="none"/>
                <w:lang w:val="en-US" w:eastAsia="zh-CN"/>
              </w:rPr>
              <w:t>本项目</w:t>
            </w:r>
            <w:r>
              <w:rPr>
                <w:color w:val="auto"/>
                <w:sz w:val="24"/>
                <w:highlight w:val="none"/>
              </w:rPr>
              <w:t>V</w:t>
            </w:r>
            <w:r>
              <w:rPr>
                <w:rFonts w:hint="eastAsia"/>
                <w:color w:val="auto"/>
                <w:sz w:val="24"/>
                <w:highlight w:val="none"/>
                <w:vertAlign w:val="subscript"/>
                <w:lang w:val="en-US" w:eastAsia="zh-CN"/>
              </w:rPr>
              <w:t>1</w:t>
            </w:r>
            <w:r>
              <w:rPr>
                <w:rFonts w:hint="eastAsia"/>
                <w:color w:val="auto"/>
                <w:sz w:val="24"/>
                <w:highlight w:val="none"/>
                <w:vertAlign w:val="baseline"/>
                <w:lang w:val="en-US" w:eastAsia="zh-CN"/>
              </w:rPr>
              <w:t>约为</w:t>
            </w:r>
            <w:r>
              <w:rPr>
                <w:rFonts w:hint="eastAsia" w:cs="Times New Roman"/>
                <w:bCs/>
                <w:color w:val="auto"/>
                <w:sz w:val="24"/>
                <w:szCs w:val="24"/>
                <w:highlight w:val="none"/>
                <w:lang w:val="en-US" w:eastAsia="zh-CN"/>
              </w:rPr>
              <w:t>50</w:t>
            </w:r>
            <w:r>
              <w:rPr>
                <w:rFonts w:hint="eastAsia" w:ascii="Times New Roman" w:hAnsi="Times New Roman" w:eastAsia="宋体" w:cs="Times New Roman"/>
                <w:b w:val="0"/>
                <w:bCs w:val="0"/>
                <w:color w:val="auto"/>
                <w:kern w:val="2"/>
                <w:sz w:val="24"/>
                <w:szCs w:val="24"/>
                <w:highlight w:val="none"/>
                <w:lang w:val="en-US" w:eastAsia="zh-CN" w:bidi="ar-SA"/>
              </w:rPr>
              <w:t>m</w:t>
            </w:r>
            <w:r>
              <w:rPr>
                <w:rFonts w:hint="eastAsia" w:ascii="Times New Roman" w:hAnsi="Times New Roman" w:eastAsia="宋体" w:cs="Times New Roman"/>
                <w:b w:val="0"/>
                <w:bCs w:val="0"/>
                <w:color w:val="auto"/>
                <w:kern w:val="2"/>
                <w:sz w:val="24"/>
                <w:szCs w:val="24"/>
                <w:highlight w:val="none"/>
                <w:vertAlign w:val="superscript"/>
                <w:lang w:val="en-US" w:eastAsia="zh-CN" w:bidi="ar-SA"/>
              </w:rPr>
              <w:t>3</w:t>
            </w:r>
            <w:r>
              <w:rPr>
                <w:rFonts w:hint="eastAsia"/>
                <w:color w:val="auto"/>
                <w:sz w:val="24"/>
                <w:highlight w:val="none"/>
                <w:lang w:eastAsia="zh-CN"/>
              </w:rPr>
              <w:t>；</w:t>
            </w:r>
          </w:p>
          <w:p w14:paraId="38503210">
            <w:pPr>
              <w:spacing w:line="360" w:lineRule="auto"/>
              <w:ind w:firstLine="480" w:firstLineChars="200"/>
              <w:rPr>
                <w:color w:val="auto"/>
                <w:sz w:val="24"/>
                <w:highlight w:val="none"/>
              </w:rPr>
            </w:pPr>
            <w:r>
              <w:rPr>
                <w:color w:val="auto"/>
                <w:sz w:val="24"/>
                <w:highlight w:val="none"/>
              </w:rPr>
              <w:t>V</w:t>
            </w:r>
            <w:r>
              <w:rPr>
                <w:color w:val="auto"/>
                <w:sz w:val="24"/>
                <w:highlight w:val="none"/>
                <w:vertAlign w:val="subscript"/>
              </w:rPr>
              <w:t>2</w:t>
            </w:r>
            <w:r>
              <w:rPr>
                <w:color w:val="auto"/>
                <w:sz w:val="24"/>
                <w:highlight w:val="none"/>
              </w:rPr>
              <w:t>——在储罐区一旦发生火灾爆炸及泄漏时的最大消防用水量，包括扑灭火灾所需用水量和冷却用水量，m</w:t>
            </w:r>
            <w:r>
              <w:rPr>
                <w:color w:val="auto"/>
                <w:sz w:val="24"/>
                <w:highlight w:val="none"/>
                <w:vertAlign w:val="superscript"/>
              </w:rPr>
              <w:t>3</w:t>
            </w:r>
            <w:r>
              <w:rPr>
                <w:color w:val="auto"/>
                <w:sz w:val="24"/>
                <w:highlight w:val="none"/>
              </w:rPr>
              <w:t>；</w:t>
            </w:r>
          </w:p>
          <w:p w14:paraId="5A4A2BDB">
            <w:pPr>
              <w:spacing w:line="360" w:lineRule="auto"/>
              <w:ind w:firstLine="480" w:firstLineChars="200"/>
              <w:jc w:val="center"/>
              <w:rPr>
                <w:color w:val="auto"/>
                <w:sz w:val="24"/>
                <w:highlight w:val="none"/>
              </w:rPr>
            </w:pPr>
            <w:r>
              <w:rPr>
                <w:color w:val="auto"/>
                <w:sz w:val="24"/>
                <w:highlight w:val="none"/>
              </w:rPr>
              <w:object>
                <v:shape id="_x0000_i1039" o:spt="75" type="#_x0000_t75" style="height:20.25pt;width:69pt;" o:ole="t" filled="f" o:preferrelative="t" stroked="f" coordsize="21600,21600">
                  <v:path/>
                  <v:fill on="f" focussize="0,0"/>
                  <v:stroke on="f"/>
                  <v:imagedata r:id="rId43" o:title=""/>
                  <o:lock v:ext="edit" aspectratio="t"/>
                  <w10:wrap type="none"/>
                  <w10:anchorlock/>
                </v:shape>
                <o:OLEObject Type="Embed" ProgID="Equation.DSMT4" ShapeID="_x0000_i1039" DrawAspect="Content" ObjectID="_1468075739" r:id="rId42">
                  <o:LockedField>false</o:LockedField>
                </o:OLEObject>
              </w:object>
            </w:r>
          </w:p>
          <w:p w14:paraId="2BC2FA32">
            <w:pPr>
              <w:spacing w:line="360" w:lineRule="auto"/>
              <w:ind w:firstLine="480" w:firstLineChars="200"/>
              <w:rPr>
                <w:color w:val="auto"/>
                <w:sz w:val="24"/>
                <w:highlight w:val="none"/>
              </w:rPr>
            </w:pPr>
            <w:r>
              <w:rPr>
                <w:color w:val="auto"/>
                <w:sz w:val="24"/>
                <w:highlight w:val="none"/>
              </w:rPr>
              <w:t>Q</w:t>
            </w:r>
            <w:r>
              <w:rPr>
                <w:color w:val="auto"/>
                <w:sz w:val="24"/>
                <w:highlight w:val="none"/>
                <w:vertAlign w:val="subscript"/>
              </w:rPr>
              <w:t>消</w:t>
            </w:r>
            <w:r>
              <w:rPr>
                <w:color w:val="auto"/>
                <w:sz w:val="24"/>
                <w:highlight w:val="none"/>
              </w:rPr>
              <w:t>—发生事故的储罐使用的消防设施给水流量(</w:t>
            </w:r>
            <w:r>
              <w:rPr>
                <w:rFonts w:hint="eastAsia"/>
                <w:color w:val="auto"/>
                <w:sz w:val="24"/>
                <w:highlight w:val="none"/>
                <w:lang w:val="en-US" w:eastAsia="zh-CN"/>
              </w:rPr>
              <w:t>6</w:t>
            </w:r>
            <w:r>
              <w:rPr>
                <w:color w:val="auto"/>
                <w:sz w:val="24"/>
                <w:highlight w:val="none"/>
              </w:rPr>
              <w:t>L/s)；</w:t>
            </w:r>
          </w:p>
          <w:p w14:paraId="181DFC7D">
            <w:pPr>
              <w:spacing w:line="360" w:lineRule="auto"/>
              <w:ind w:firstLine="480" w:firstLineChars="200"/>
              <w:rPr>
                <w:color w:val="auto"/>
                <w:sz w:val="24"/>
                <w:highlight w:val="none"/>
              </w:rPr>
            </w:pPr>
            <w:r>
              <w:rPr>
                <w:color w:val="auto"/>
                <w:sz w:val="24"/>
                <w:highlight w:val="none"/>
              </w:rPr>
              <w:t>t</w:t>
            </w:r>
            <w:r>
              <w:rPr>
                <w:color w:val="auto"/>
                <w:sz w:val="24"/>
                <w:highlight w:val="none"/>
                <w:vertAlign w:val="subscript"/>
              </w:rPr>
              <w:t xml:space="preserve">消 </w:t>
            </w:r>
            <w:r>
              <w:rPr>
                <w:color w:val="auto"/>
                <w:sz w:val="24"/>
                <w:highlight w:val="none"/>
              </w:rPr>
              <w:t>—消防设施对应的设计消防历时，本项目取</w:t>
            </w:r>
            <w:r>
              <w:rPr>
                <w:rFonts w:hint="eastAsia"/>
                <w:color w:val="auto"/>
                <w:sz w:val="24"/>
                <w:highlight w:val="none"/>
                <w:lang w:val="en-US" w:eastAsia="zh-CN"/>
              </w:rPr>
              <w:t>0.5</w:t>
            </w:r>
            <w:r>
              <w:rPr>
                <w:color w:val="auto"/>
                <w:sz w:val="24"/>
                <w:highlight w:val="none"/>
              </w:rPr>
              <w:t>h；</w:t>
            </w:r>
          </w:p>
          <w:p w14:paraId="52D69AE5">
            <w:pPr>
              <w:spacing w:line="360" w:lineRule="auto"/>
              <w:ind w:firstLine="480" w:firstLineChars="200"/>
              <w:rPr>
                <w:rFonts w:hint="default"/>
                <w:color w:val="auto"/>
                <w:sz w:val="24"/>
                <w:highlight w:val="none"/>
                <w:lang w:val="en-US"/>
              </w:rPr>
            </w:pPr>
            <w:r>
              <w:rPr>
                <w:color w:val="auto"/>
                <w:sz w:val="24"/>
                <w:highlight w:val="none"/>
              </w:rPr>
              <w:t>本项目</w:t>
            </w:r>
            <w:r>
              <w:rPr>
                <w:rFonts w:hint="eastAsia"/>
                <w:color w:val="auto"/>
                <w:sz w:val="24"/>
                <w:highlight w:val="none"/>
                <w:lang w:val="en-US" w:eastAsia="zh-CN"/>
              </w:rPr>
              <w:t>主要使用</w:t>
            </w:r>
            <w:r>
              <w:rPr>
                <w:color w:val="auto"/>
                <w:sz w:val="24"/>
                <w:highlight w:val="none"/>
              </w:rPr>
              <w:t>消防</w:t>
            </w:r>
            <w:r>
              <w:rPr>
                <w:rFonts w:hint="eastAsia"/>
                <w:color w:val="auto"/>
                <w:sz w:val="24"/>
                <w:highlight w:val="none"/>
                <w:lang w:val="en-US" w:eastAsia="zh-CN"/>
              </w:rPr>
              <w:t>设施对火灾周边环境进行冷却并清洗泄露容器和周边墙面和地面</w:t>
            </w:r>
            <w:r>
              <w:rPr>
                <w:color w:val="auto"/>
                <w:sz w:val="24"/>
                <w:highlight w:val="none"/>
              </w:rPr>
              <w:t>，消防设施给水流量按</w:t>
            </w:r>
            <w:r>
              <w:rPr>
                <w:rFonts w:hint="eastAsia"/>
                <w:color w:val="auto"/>
                <w:sz w:val="24"/>
                <w:highlight w:val="none"/>
                <w:lang w:val="en-US" w:eastAsia="zh-CN"/>
              </w:rPr>
              <w:t>6</w:t>
            </w:r>
            <w:r>
              <w:rPr>
                <w:color w:val="auto"/>
                <w:sz w:val="24"/>
                <w:highlight w:val="none"/>
              </w:rPr>
              <w:t>L/s计，设计</w:t>
            </w:r>
            <w:r>
              <w:rPr>
                <w:rFonts w:hint="eastAsia"/>
                <w:color w:val="auto"/>
                <w:sz w:val="24"/>
                <w:highlight w:val="none"/>
                <w:lang w:val="en-US" w:eastAsia="zh-CN"/>
              </w:rPr>
              <w:t>消防</w:t>
            </w:r>
            <w:r>
              <w:rPr>
                <w:color w:val="auto"/>
                <w:sz w:val="24"/>
                <w:highlight w:val="none"/>
              </w:rPr>
              <w:t>历时取</w:t>
            </w:r>
            <w:r>
              <w:rPr>
                <w:rFonts w:hint="eastAsia"/>
                <w:color w:val="auto"/>
                <w:sz w:val="24"/>
                <w:highlight w:val="none"/>
                <w:lang w:val="en-US" w:eastAsia="zh-CN"/>
              </w:rPr>
              <w:t>0.5</w:t>
            </w:r>
            <w:r>
              <w:rPr>
                <w:color w:val="auto"/>
                <w:sz w:val="24"/>
                <w:highlight w:val="none"/>
              </w:rPr>
              <w:t>h，</w:t>
            </w:r>
            <w:r>
              <w:rPr>
                <w:rFonts w:hint="eastAsia" w:ascii="Times New Roman" w:hAnsi="Times New Roman" w:eastAsia="宋体" w:cs="Times New Roman"/>
                <w:b w:val="0"/>
                <w:bCs w:val="0"/>
                <w:color w:val="auto"/>
                <w:kern w:val="2"/>
                <w:sz w:val="24"/>
                <w:szCs w:val="24"/>
                <w:highlight w:val="none"/>
                <w:lang w:val="en-US" w:eastAsia="zh-CN" w:bidi="ar-SA"/>
              </w:rPr>
              <w:t>则消防用水量为</w:t>
            </w:r>
            <w:r>
              <w:rPr>
                <w:rFonts w:hint="eastAsia" w:cs="Times New Roman"/>
                <w:b w:val="0"/>
                <w:bCs w:val="0"/>
                <w:color w:val="auto"/>
                <w:kern w:val="2"/>
                <w:sz w:val="24"/>
                <w:szCs w:val="24"/>
                <w:highlight w:val="none"/>
                <w:lang w:val="en-US" w:eastAsia="zh-CN" w:bidi="ar-SA"/>
              </w:rPr>
              <w:t>10.8</w:t>
            </w:r>
            <w:r>
              <w:rPr>
                <w:rFonts w:hint="eastAsia" w:ascii="Times New Roman" w:hAnsi="Times New Roman" w:eastAsia="宋体" w:cs="Times New Roman"/>
                <w:b w:val="0"/>
                <w:bCs w:val="0"/>
                <w:color w:val="auto"/>
                <w:kern w:val="2"/>
                <w:sz w:val="24"/>
                <w:szCs w:val="24"/>
                <w:highlight w:val="none"/>
                <w:lang w:val="en-US" w:eastAsia="zh-CN" w:bidi="ar-SA"/>
              </w:rPr>
              <w:t>m</w:t>
            </w:r>
            <w:r>
              <w:rPr>
                <w:rFonts w:hint="eastAsia" w:ascii="Times New Roman" w:hAnsi="Times New Roman" w:eastAsia="宋体" w:cs="Times New Roman"/>
                <w:b w:val="0"/>
                <w:bCs w:val="0"/>
                <w:color w:val="auto"/>
                <w:kern w:val="2"/>
                <w:sz w:val="24"/>
                <w:szCs w:val="24"/>
                <w:highlight w:val="none"/>
                <w:vertAlign w:val="superscript"/>
                <w:lang w:val="en-US" w:eastAsia="zh-CN" w:bidi="ar-SA"/>
              </w:rPr>
              <w:t>3</w:t>
            </w:r>
            <w:r>
              <w:rPr>
                <w:rFonts w:hint="eastAsia" w:ascii="Times New Roman" w:hAnsi="Times New Roman" w:eastAsia="宋体" w:cs="Times New Roman"/>
                <w:b w:val="0"/>
                <w:bCs w:val="0"/>
                <w:color w:val="auto"/>
                <w:kern w:val="2"/>
                <w:sz w:val="24"/>
                <w:szCs w:val="24"/>
                <w:highlight w:val="none"/>
                <w:lang w:val="en-US" w:eastAsia="zh-CN" w:bidi="ar-SA"/>
              </w:rPr>
              <w:t>/次</w:t>
            </w:r>
            <w:r>
              <w:rPr>
                <w:rFonts w:hint="eastAsia" w:cs="Times New Roman"/>
                <w:b w:val="0"/>
                <w:bCs w:val="0"/>
                <w:color w:val="auto"/>
                <w:kern w:val="2"/>
                <w:sz w:val="24"/>
                <w:szCs w:val="24"/>
                <w:highlight w:val="none"/>
                <w:lang w:val="en-US" w:eastAsia="zh-CN" w:bidi="ar-SA"/>
              </w:rPr>
              <w:t>。</w:t>
            </w:r>
          </w:p>
          <w:p w14:paraId="61B89B3B">
            <w:pPr>
              <w:autoSpaceDE w:val="0"/>
              <w:autoSpaceDN w:val="0"/>
              <w:spacing w:line="360" w:lineRule="auto"/>
              <w:ind w:firstLine="480"/>
              <w:textAlignment w:val="baseline"/>
              <w:rPr>
                <w:color w:val="auto"/>
                <w:sz w:val="24"/>
                <w:highlight w:val="none"/>
              </w:rPr>
            </w:pPr>
            <w:r>
              <w:rPr>
                <w:color w:val="auto"/>
                <w:sz w:val="24"/>
                <w:highlight w:val="none"/>
              </w:rPr>
              <w:t>V</w:t>
            </w:r>
            <w:r>
              <w:rPr>
                <w:color w:val="auto"/>
                <w:sz w:val="24"/>
                <w:highlight w:val="none"/>
                <w:vertAlign w:val="subscript"/>
              </w:rPr>
              <w:t>3</w:t>
            </w:r>
            <w:r>
              <w:rPr>
                <w:color w:val="auto"/>
                <w:sz w:val="24"/>
                <w:highlight w:val="none"/>
              </w:rPr>
              <w:t>——</w:t>
            </w:r>
            <w:r>
              <w:rPr>
                <w:rFonts w:hint="default" w:ascii="Times New Roman" w:hAnsi="Times New Roman" w:cs="Times New Roman"/>
                <w:color w:val="auto"/>
                <w:sz w:val="24"/>
                <w:szCs w:val="24"/>
                <w:highlight w:val="none"/>
              </w:rPr>
              <w:t>发生事故时可以转输到其他存储或处理设施的物料量</w:t>
            </w:r>
            <w:r>
              <w:rPr>
                <w:color w:val="auto"/>
                <w:sz w:val="24"/>
                <w:highlight w:val="none"/>
              </w:rPr>
              <w:t>，m</w:t>
            </w:r>
            <w:r>
              <w:rPr>
                <w:color w:val="auto"/>
                <w:sz w:val="24"/>
                <w:highlight w:val="none"/>
                <w:vertAlign w:val="superscript"/>
              </w:rPr>
              <w:t>3</w:t>
            </w:r>
            <w:r>
              <w:rPr>
                <w:color w:val="auto"/>
                <w:sz w:val="24"/>
                <w:highlight w:val="none"/>
              </w:rPr>
              <w:t>。</w:t>
            </w:r>
            <w:r>
              <w:rPr>
                <w:rFonts w:hint="default" w:ascii="Times New Roman" w:hAnsi="Times New Roman" w:cs="Times New Roman"/>
                <w:bCs/>
                <w:color w:val="auto"/>
                <w:sz w:val="24"/>
                <w:szCs w:val="24"/>
                <w:highlight w:val="none"/>
              </w:rPr>
              <w:t>本项目为</w:t>
            </w:r>
            <w:r>
              <w:rPr>
                <w:color w:val="auto"/>
                <w:sz w:val="24"/>
                <w:highlight w:val="none"/>
              </w:rPr>
              <w:t>V</w:t>
            </w:r>
            <w:r>
              <w:rPr>
                <w:rFonts w:hint="eastAsia"/>
                <w:color w:val="auto"/>
                <w:sz w:val="24"/>
                <w:highlight w:val="none"/>
                <w:vertAlign w:val="subscript"/>
                <w:lang w:val="en-US" w:eastAsia="zh-CN"/>
              </w:rPr>
              <w:t>3</w:t>
            </w:r>
            <w:r>
              <w:rPr>
                <w:rFonts w:hint="eastAsia"/>
                <w:color w:val="auto"/>
                <w:sz w:val="24"/>
                <w:highlight w:val="none"/>
                <w:vertAlign w:val="baseline"/>
                <w:lang w:val="en-US" w:eastAsia="zh-CN"/>
              </w:rPr>
              <w:t>=</w:t>
            </w:r>
            <w:r>
              <w:rPr>
                <w:rFonts w:hint="default" w:ascii="Times New Roman" w:hAnsi="Times New Roman" w:cs="Times New Roman"/>
                <w:bCs/>
                <w:color w:val="auto"/>
                <w:sz w:val="24"/>
                <w:szCs w:val="24"/>
                <w:highlight w:val="none"/>
              </w:rPr>
              <w:t>0。</w:t>
            </w:r>
          </w:p>
          <w:p w14:paraId="40AC210D">
            <w:pPr>
              <w:spacing w:line="360" w:lineRule="auto"/>
              <w:ind w:firstLine="480" w:firstLineChars="200"/>
              <w:rPr>
                <w:rFonts w:hint="default" w:eastAsia="宋体"/>
                <w:color w:val="auto"/>
                <w:sz w:val="24"/>
                <w:highlight w:val="none"/>
                <w:vertAlign w:val="baseline"/>
                <w:lang w:val="en-US" w:eastAsia="zh-CN"/>
              </w:rPr>
            </w:pPr>
            <w:r>
              <w:rPr>
                <w:color w:val="auto"/>
                <w:sz w:val="24"/>
                <w:highlight w:val="none"/>
              </w:rPr>
              <w:t>V</w:t>
            </w:r>
            <w:r>
              <w:rPr>
                <w:color w:val="auto"/>
                <w:sz w:val="24"/>
                <w:highlight w:val="none"/>
                <w:vertAlign w:val="subscript"/>
              </w:rPr>
              <w:t>4</w:t>
            </w:r>
            <w:r>
              <w:rPr>
                <w:color w:val="auto"/>
                <w:sz w:val="24"/>
                <w:highlight w:val="none"/>
              </w:rPr>
              <w:t>——发生事故时仍必须进入该收集系统的</w:t>
            </w:r>
            <w:r>
              <w:rPr>
                <w:rFonts w:hint="eastAsia"/>
                <w:color w:val="auto"/>
                <w:sz w:val="24"/>
                <w:highlight w:val="none"/>
                <w:lang w:val="en-US" w:eastAsia="zh-CN"/>
              </w:rPr>
              <w:t>生产</w:t>
            </w:r>
            <w:r>
              <w:rPr>
                <w:color w:val="auto"/>
                <w:sz w:val="24"/>
                <w:highlight w:val="none"/>
              </w:rPr>
              <w:t>废水量，m</w:t>
            </w:r>
            <w:r>
              <w:rPr>
                <w:color w:val="auto"/>
                <w:sz w:val="24"/>
                <w:highlight w:val="none"/>
                <w:vertAlign w:val="superscript"/>
              </w:rPr>
              <w:t>3</w:t>
            </w:r>
            <w:r>
              <w:rPr>
                <w:rFonts w:hint="eastAsia"/>
                <w:color w:val="auto"/>
                <w:sz w:val="24"/>
                <w:highlight w:val="none"/>
                <w:vertAlign w:val="baseline"/>
                <w:lang w:eastAsia="zh-CN"/>
              </w:rPr>
              <w:t>；</w:t>
            </w:r>
            <w:r>
              <w:rPr>
                <w:rFonts w:hint="eastAsia"/>
                <w:color w:val="auto"/>
                <w:sz w:val="24"/>
                <w:highlight w:val="none"/>
                <w:vertAlign w:val="baseline"/>
                <w:lang w:val="en-US" w:eastAsia="zh-CN"/>
              </w:rPr>
              <w:t>项目发生事故时生产废水产生量</w:t>
            </w:r>
            <w:r>
              <w:rPr>
                <w:color w:val="auto"/>
                <w:sz w:val="24"/>
                <w:highlight w:val="none"/>
              </w:rPr>
              <w:t>V</w:t>
            </w:r>
            <w:r>
              <w:rPr>
                <w:color w:val="auto"/>
                <w:sz w:val="24"/>
                <w:highlight w:val="none"/>
                <w:vertAlign w:val="subscript"/>
              </w:rPr>
              <w:t>4</w:t>
            </w:r>
            <w:r>
              <w:rPr>
                <w:rFonts w:hint="eastAsia"/>
                <w:color w:val="auto"/>
                <w:sz w:val="24"/>
                <w:highlight w:val="none"/>
                <w:vertAlign w:val="baseline"/>
                <w:lang w:val="en-US" w:eastAsia="zh-CN"/>
              </w:rPr>
              <w:t>约为94</w:t>
            </w:r>
            <w:r>
              <w:rPr>
                <w:rFonts w:hint="eastAsia" w:ascii="Times New Roman" w:hAnsi="Times New Roman" w:eastAsia="宋体" w:cs="Times New Roman"/>
                <w:b w:val="0"/>
                <w:bCs w:val="0"/>
                <w:color w:val="auto"/>
                <w:kern w:val="2"/>
                <w:sz w:val="24"/>
                <w:szCs w:val="24"/>
                <w:highlight w:val="none"/>
                <w:lang w:val="en-US" w:eastAsia="zh-CN" w:bidi="ar-SA"/>
              </w:rPr>
              <w:t>m</w:t>
            </w:r>
            <w:r>
              <w:rPr>
                <w:rFonts w:hint="eastAsia" w:ascii="Times New Roman" w:hAnsi="Times New Roman" w:eastAsia="宋体" w:cs="Times New Roman"/>
                <w:b w:val="0"/>
                <w:bCs w:val="0"/>
                <w:color w:val="auto"/>
                <w:kern w:val="2"/>
                <w:sz w:val="24"/>
                <w:szCs w:val="24"/>
                <w:highlight w:val="none"/>
                <w:vertAlign w:val="superscript"/>
                <w:lang w:val="en-US" w:eastAsia="zh-CN" w:bidi="ar-SA"/>
              </w:rPr>
              <w:t>3</w:t>
            </w:r>
            <w:r>
              <w:rPr>
                <w:rFonts w:hint="eastAsia"/>
                <w:color w:val="auto"/>
                <w:sz w:val="24"/>
                <w:highlight w:val="none"/>
                <w:vertAlign w:val="baseline"/>
                <w:lang w:val="en-US" w:eastAsia="zh-CN"/>
              </w:rPr>
              <w:t>。</w:t>
            </w:r>
          </w:p>
          <w:p w14:paraId="26E73755">
            <w:pPr>
              <w:spacing w:line="360" w:lineRule="auto"/>
              <w:ind w:firstLine="480"/>
              <w:rPr>
                <w:color w:val="auto"/>
                <w:sz w:val="24"/>
                <w:highlight w:val="none"/>
              </w:rPr>
            </w:pPr>
            <w:r>
              <w:rPr>
                <w:color w:val="auto"/>
                <w:sz w:val="24"/>
                <w:highlight w:val="none"/>
              </w:rPr>
              <w:t>V</w:t>
            </w:r>
            <w:r>
              <w:rPr>
                <w:color w:val="auto"/>
                <w:sz w:val="24"/>
                <w:highlight w:val="none"/>
                <w:vertAlign w:val="subscript"/>
              </w:rPr>
              <w:t>5</w:t>
            </w:r>
            <w:r>
              <w:rPr>
                <w:color w:val="auto"/>
                <w:sz w:val="24"/>
                <w:highlight w:val="none"/>
              </w:rPr>
              <w:t>——</w:t>
            </w:r>
            <w:r>
              <w:rPr>
                <w:rFonts w:hint="default" w:ascii="Times New Roman" w:hAnsi="Times New Roman" w:cs="Times New Roman"/>
                <w:color w:val="auto"/>
                <w:sz w:val="24"/>
                <w:szCs w:val="24"/>
                <w:highlight w:val="none"/>
              </w:rPr>
              <w:t>发生事故时可能进入该收集系统的降雨量</w:t>
            </w:r>
            <w:r>
              <w:rPr>
                <w:color w:val="auto"/>
                <w:sz w:val="24"/>
                <w:highlight w:val="none"/>
              </w:rPr>
              <w:t>。</w:t>
            </w:r>
            <w:r>
              <w:rPr>
                <w:rFonts w:hint="default" w:ascii="Times New Roman" w:hAnsi="Times New Roman" w:cs="Times New Roman"/>
                <w:color w:val="auto"/>
                <w:sz w:val="24"/>
                <w:szCs w:val="24"/>
                <w:highlight w:val="none"/>
              </w:rPr>
              <w:t>根据工程分析，本项目</w:t>
            </w:r>
            <w:r>
              <w:rPr>
                <w:color w:val="auto"/>
                <w:sz w:val="24"/>
                <w:highlight w:val="none"/>
              </w:rPr>
              <w:t>V</w:t>
            </w:r>
            <w:r>
              <w:rPr>
                <w:color w:val="auto"/>
                <w:sz w:val="24"/>
                <w:highlight w:val="none"/>
                <w:vertAlign w:val="subscript"/>
              </w:rPr>
              <w:t>5</w:t>
            </w:r>
            <w:r>
              <w:rPr>
                <w:color w:val="auto"/>
                <w:sz w:val="24"/>
                <w:highlight w:val="none"/>
              </w:rPr>
              <w:t>＝</w:t>
            </w:r>
            <w:r>
              <w:rPr>
                <w:rFonts w:hint="eastAsia"/>
                <w:color w:val="auto"/>
                <w:sz w:val="24"/>
                <w:highlight w:val="none"/>
                <w:lang w:val="en-US" w:eastAsia="zh-CN"/>
              </w:rPr>
              <w:t>50</w:t>
            </w:r>
            <w:r>
              <w:rPr>
                <w:rFonts w:hint="eastAsia" w:ascii="Times New Roman" w:hAnsi="Times New Roman" w:eastAsia="宋体" w:cs="Times New Roman"/>
                <w:b w:val="0"/>
                <w:bCs w:val="0"/>
                <w:color w:val="auto"/>
                <w:kern w:val="2"/>
                <w:sz w:val="24"/>
                <w:szCs w:val="24"/>
                <w:highlight w:val="none"/>
                <w:lang w:val="en-US" w:eastAsia="zh-CN" w:bidi="ar-SA"/>
              </w:rPr>
              <w:t>m</w:t>
            </w:r>
            <w:r>
              <w:rPr>
                <w:rFonts w:hint="eastAsia" w:ascii="Times New Roman" w:hAnsi="Times New Roman" w:eastAsia="宋体" w:cs="Times New Roman"/>
                <w:b w:val="0"/>
                <w:bCs w:val="0"/>
                <w:color w:val="auto"/>
                <w:kern w:val="2"/>
                <w:sz w:val="24"/>
                <w:szCs w:val="24"/>
                <w:highlight w:val="none"/>
                <w:vertAlign w:val="superscript"/>
                <w:lang w:val="en-US" w:eastAsia="zh-CN" w:bidi="ar-SA"/>
              </w:rPr>
              <w:t>3</w:t>
            </w:r>
            <w:r>
              <w:rPr>
                <w:color w:val="auto"/>
                <w:sz w:val="24"/>
                <w:highlight w:val="none"/>
              </w:rPr>
              <w:t>。</w:t>
            </w:r>
          </w:p>
          <w:p w14:paraId="1D108A91">
            <w:pPr>
              <w:spacing w:line="360" w:lineRule="auto"/>
              <w:ind w:firstLine="480" w:firstLineChars="200"/>
              <w:rPr>
                <w:color w:val="auto"/>
                <w:sz w:val="24"/>
                <w:highlight w:val="none"/>
              </w:rPr>
            </w:pPr>
            <w:r>
              <w:rPr>
                <w:color w:val="auto"/>
                <w:sz w:val="24"/>
                <w:highlight w:val="none"/>
              </w:rPr>
              <w:t>通过以上基础数据可计算得本项目的事故池容积约为：</w:t>
            </w:r>
          </w:p>
          <w:p w14:paraId="4F60D77F">
            <w:pPr>
              <w:spacing w:line="360" w:lineRule="auto"/>
              <w:ind w:firstLine="480" w:firstLineChars="200"/>
              <w:rPr>
                <w:color w:val="auto"/>
                <w:sz w:val="24"/>
                <w:highlight w:val="none"/>
              </w:rPr>
            </w:pPr>
            <w:r>
              <w:rPr>
                <w:color w:val="auto"/>
                <w:sz w:val="24"/>
                <w:highlight w:val="none"/>
              </w:rPr>
              <w:t>V</w:t>
            </w:r>
            <w:r>
              <w:rPr>
                <w:color w:val="auto"/>
                <w:sz w:val="24"/>
                <w:highlight w:val="none"/>
                <w:vertAlign w:val="subscript"/>
              </w:rPr>
              <w:t>总</w:t>
            </w:r>
            <w:r>
              <w:rPr>
                <w:color w:val="auto"/>
                <w:sz w:val="24"/>
                <w:highlight w:val="none"/>
              </w:rPr>
              <w:t>＝（V</w:t>
            </w:r>
            <w:r>
              <w:rPr>
                <w:color w:val="auto"/>
                <w:sz w:val="24"/>
                <w:highlight w:val="none"/>
                <w:vertAlign w:val="subscript"/>
              </w:rPr>
              <w:t>1</w:t>
            </w:r>
            <w:r>
              <w:rPr>
                <w:color w:val="auto"/>
                <w:sz w:val="24"/>
                <w:highlight w:val="none"/>
              </w:rPr>
              <w:t>＋V</w:t>
            </w:r>
            <w:r>
              <w:rPr>
                <w:color w:val="auto"/>
                <w:sz w:val="24"/>
                <w:highlight w:val="none"/>
                <w:vertAlign w:val="subscript"/>
              </w:rPr>
              <w:t>2</w:t>
            </w:r>
            <w:r>
              <w:rPr>
                <w:color w:val="auto"/>
                <w:sz w:val="24"/>
                <w:highlight w:val="none"/>
              </w:rPr>
              <w:t>-V</w:t>
            </w:r>
            <w:r>
              <w:rPr>
                <w:color w:val="auto"/>
                <w:sz w:val="24"/>
                <w:highlight w:val="none"/>
                <w:vertAlign w:val="subscript"/>
              </w:rPr>
              <w:t>3</w:t>
            </w:r>
            <w:r>
              <w:rPr>
                <w:color w:val="auto"/>
                <w:sz w:val="24"/>
                <w:highlight w:val="none"/>
              </w:rPr>
              <w:t>）</w:t>
            </w:r>
            <w:r>
              <w:rPr>
                <w:color w:val="auto"/>
                <w:sz w:val="24"/>
                <w:highlight w:val="none"/>
                <w:vertAlign w:val="subscript"/>
              </w:rPr>
              <w:t>max</w:t>
            </w:r>
            <w:r>
              <w:rPr>
                <w:color w:val="auto"/>
                <w:sz w:val="24"/>
                <w:highlight w:val="none"/>
              </w:rPr>
              <w:t>+V</w:t>
            </w:r>
            <w:r>
              <w:rPr>
                <w:color w:val="auto"/>
                <w:sz w:val="24"/>
                <w:highlight w:val="none"/>
                <w:vertAlign w:val="subscript"/>
              </w:rPr>
              <w:t>4</w:t>
            </w:r>
            <w:r>
              <w:rPr>
                <w:color w:val="auto"/>
                <w:sz w:val="24"/>
                <w:highlight w:val="none"/>
              </w:rPr>
              <w:t>+V</w:t>
            </w:r>
            <w:r>
              <w:rPr>
                <w:color w:val="auto"/>
                <w:sz w:val="24"/>
                <w:highlight w:val="none"/>
                <w:vertAlign w:val="subscript"/>
              </w:rPr>
              <w:t>5</w:t>
            </w:r>
            <w:r>
              <w:rPr>
                <w:color w:val="auto"/>
                <w:sz w:val="24"/>
                <w:highlight w:val="none"/>
              </w:rPr>
              <w:t>＝（</w:t>
            </w:r>
            <w:r>
              <w:rPr>
                <w:rFonts w:hint="eastAsia"/>
                <w:color w:val="auto"/>
                <w:sz w:val="24"/>
                <w:highlight w:val="none"/>
                <w:lang w:val="en-US" w:eastAsia="zh-CN"/>
              </w:rPr>
              <w:t>50</w:t>
            </w:r>
            <w:r>
              <w:rPr>
                <w:color w:val="auto"/>
                <w:sz w:val="24"/>
                <w:highlight w:val="none"/>
              </w:rPr>
              <w:t>+</w:t>
            </w:r>
            <w:r>
              <w:rPr>
                <w:rFonts w:hint="eastAsia"/>
                <w:color w:val="auto"/>
                <w:sz w:val="24"/>
                <w:highlight w:val="none"/>
                <w:lang w:val="en-US" w:eastAsia="zh-CN"/>
              </w:rPr>
              <w:t>10.8</w:t>
            </w:r>
            <w:r>
              <w:rPr>
                <w:color w:val="auto"/>
                <w:sz w:val="24"/>
                <w:highlight w:val="none"/>
              </w:rPr>
              <w:t>-0）+</w:t>
            </w:r>
            <w:r>
              <w:rPr>
                <w:rFonts w:hint="eastAsia"/>
                <w:color w:val="auto"/>
                <w:sz w:val="24"/>
                <w:highlight w:val="none"/>
                <w:lang w:val="en-US" w:eastAsia="zh-CN"/>
              </w:rPr>
              <w:t>94</w:t>
            </w:r>
            <w:r>
              <w:rPr>
                <w:color w:val="auto"/>
                <w:sz w:val="24"/>
                <w:highlight w:val="none"/>
              </w:rPr>
              <w:t>+</w:t>
            </w:r>
            <w:r>
              <w:rPr>
                <w:rFonts w:hint="eastAsia"/>
                <w:color w:val="auto"/>
                <w:sz w:val="24"/>
                <w:highlight w:val="none"/>
                <w:lang w:val="en-US" w:eastAsia="zh-CN"/>
              </w:rPr>
              <w:t>50=204.8</w:t>
            </w:r>
            <w:r>
              <w:rPr>
                <w:color w:val="auto"/>
                <w:sz w:val="24"/>
                <w:highlight w:val="none"/>
              </w:rPr>
              <w:t>m</w:t>
            </w:r>
            <w:r>
              <w:rPr>
                <w:color w:val="auto"/>
                <w:sz w:val="24"/>
                <w:highlight w:val="none"/>
                <w:vertAlign w:val="superscript"/>
              </w:rPr>
              <w:t>3</w:t>
            </w:r>
          </w:p>
          <w:p w14:paraId="636B96CE">
            <w:pPr>
              <w:spacing w:line="360" w:lineRule="auto"/>
              <w:ind w:firstLine="480" w:firstLineChars="200"/>
              <w:rPr>
                <w:color w:val="auto"/>
                <w:sz w:val="24"/>
                <w:highlight w:val="none"/>
              </w:rPr>
            </w:pPr>
            <w:r>
              <w:rPr>
                <w:color w:val="auto"/>
                <w:sz w:val="24"/>
                <w:highlight w:val="none"/>
              </w:rPr>
              <w:t>根据上述计算结果，本项目应急事故废水最大量为</w:t>
            </w:r>
            <w:r>
              <w:rPr>
                <w:rFonts w:hint="eastAsia"/>
                <w:color w:val="auto"/>
                <w:sz w:val="24"/>
                <w:highlight w:val="none"/>
                <w:lang w:val="en-US" w:eastAsia="zh-CN"/>
              </w:rPr>
              <w:t>204.8</w:t>
            </w:r>
            <w:r>
              <w:rPr>
                <w:color w:val="auto"/>
                <w:sz w:val="24"/>
                <w:highlight w:val="none"/>
              </w:rPr>
              <w:t>m</w:t>
            </w:r>
            <w:r>
              <w:rPr>
                <w:color w:val="auto"/>
                <w:sz w:val="24"/>
                <w:highlight w:val="none"/>
                <w:vertAlign w:val="superscript"/>
              </w:rPr>
              <w:t>3</w:t>
            </w:r>
            <w:r>
              <w:rPr>
                <w:color w:val="auto"/>
                <w:sz w:val="24"/>
                <w:highlight w:val="none"/>
              </w:rPr>
              <w:t>，即本项目应急事故池的容积应不小于</w:t>
            </w:r>
            <w:r>
              <w:rPr>
                <w:rFonts w:hint="eastAsia"/>
                <w:color w:val="auto"/>
                <w:sz w:val="24"/>
                <w:highlight w:val="none"/>
                <w:lang w:val="en-US" w:eastAsia="zh-CN"/>
              </w:rPr>
              <w:t>220</w:t>
            </w:r>
            <w:r>
              <w:rPr>
                <w:color w:val="auto"/>
                <w:sz w:val="24"/>
                <w:highlight w:val="none"/>
              </w:rPr>
              <w:t>m</w:t>
            </w:r>
            <w:r>
              <w:rPr>
                <w:color w:val="auto"/>
                <w:sz w:val="24"/>
                <w:highlight w:val="none"/>
                <w:vertAlign w:val="superscript"/>
              </w:rPr>
              <w:t>3</w:t>
            </w:r>
            <w:r>
              <w:rPr>
                <w:color w:val="auto"/>
                <w:sz w:val="24"/>
                <w:highlight w:val="none"/>
              </w:rPr>
              <w:t>。考虑其他不可预测因素，建议至少设置一座</w:t>
            </w:r>
            <w:r>
              <w:rPr>
                <w:rFonts w:hint="eastAsia"/>
                <w:color w:val="auto"/>
                <w:sz w:val="24"/>
                <w:highlight w:val="none"/>
                <w:lang w:val="en-US" w:eastAsia="zh-CN"/>
              </w:rPr>
              <w:t>220</w:t>
            </w:r>
            <w:r>
              <w:rPr>
                <w:color w:val="auto"/>
                <w:sz w:val="24"/>
                <w:highlight w:val="none"/>
              </w:rPr>
              <w:t>m</w:t>
            </w:r>
            <w:r>
              <w:rPr>
                <w:color w:val="auto"/>
                <w:sz w:val="24"/>
                <w:highlight w:val="none"/>
                <w:vertAlign w:val="superscript"/>
              </w:rPr>
              <w:t>3</w:t>
            </w:r>
            <w:r>
              <w:rPr>
                <w:color w:val="auto"/>
                <w:sz w:val="24"/>
                <w:highlight w:val="none"/>
              </w:rPr>
              <w:t>事故池，容积可满足本项目事故废水存放需求。</w:t>
            </w:r>
          </w:p>
          <w:p w14:paraId="3CDD9741">
            <w:pPr>
              <w:autoSpaceDE w:val="0"/>
              <w:autoSpaceDN w:val="0"/>
              <w:adjustRightInd w:val="0"/>
              <w:spacing w:line="360" w:lineRule="auto"/>
              <w:ind w:firstLine="480"/>
              <w:jc w:val="left"/>
              <w:rPr>
                <w:b w:val="0"/>
                <w:bCs w:val="0"/>
                <w:color w:val="auto"/>
                <w:kern w:val="0"/>
                <w:sz w:val="24"/>
                <w:szCs w:val="22"/>
                <w:highlight w:val="none"/>
              </w:rPr>
            </w:pPr>
            <w:r>
              <w:rPr>
                <w:b w:val="0"/>
                <w:bCs w:val="0"/>
                <w:color w:val="auto"/>
                <w:kern w:val="0"/>
                <w:sz w:val="24"/>
                <w:szCs w:val="22"/>
                <w:highlight w:val="none"/>
              </w:rPr>
              <w:t>消防废水二次污染防范</w:t>
            </w:r>
          </w:p>
          <w:p w14:paraId="7A31A65B">
            <w:pPr>
              <w:autoSpaceDE w:val="0"/>
              <w:autoSpaceDN w:val="0"/>
              <w:adjustRightInd w:val="0"/>
              <w:spacing w:line="360" w:lineRule="auto"/>
              <w:ind w:firstLine="480"/>
              <w:jc w:val="left"/>
              <w:rPr>
                <w:color w:val="auto"/>
                <w:kern w:val="0"/>
                <w:sz w:val="24"/>
                <w:szCs w:val="22"/>
                <w:highlight w:val="none"/>
              </w:rPr>
            </w:pPr>
            <w:r>
              <w:rPr>
                <w:color w:val="auto"/>
                <w:kern w:val="0"/>
                <w:sz w:val="24"/>
                <w:szCs w:val="22"/>
                <w:highlight w:val="none"/>
              </w:rPr>
              <w:t>消防废水是一个不容忽视的二次污染问题，由于消防废水产生时间短，产生量巨大，不易控制和导向，一般进入火灾厂区雨水管网后直接进入市政雨水管网后进入外界水体环境，从而使带有化学品的消防废水对外界水体环境造成的严重的污染事故，根据这些事故特征，本评价提出如下预防措施：</w:t>
            </w:r>
          </w:p>
          <w:p w14:paraId="66BB0E97">
            <w:pPr>
              <w:autoSpaceDE w:val="0"/>
              <w:autoSpaceDN w:val="0"/>
              <w:adjustRightInd w:val="0"/>
              <w:spacing w:line="360" w:lineRule="auto"/>
              <w:ind w:firstLine="480"/>
              <w:jc w:val="left"/>
              <w:rPr>
                <w:rFonts w:hint="eastAsia" w:eastAsia="宋体"/>
                <w:color w:val="auto"/>
                <w:kern w:val="0"/>
                <w:sz w:val="24"/>
                <w:szCs w:val="22"/>
                <w:highlight w:val="none"/>
                <w:lang w:eastAsia="zh-CN"/>
              </w:rPr>
            </w:pPr>
            <w:r>
              <w:rPr>
                <w:rFonts w:hint="eastAsia" w:cs="宋体"/>
                <w:color w:val="auto"/>
                <w:kern w:val="0"/>
                <w:sz w:val="24"/>
                <w:szCs w:val="22"/>
                <w:highlight w:val="none"/>
                <w:lang w:val="en-US" w:eastAsia="zh-CN"/>
              </w:rPr>
              <w:t>A、</w:t>
            </w:r>
            <w:r>
              <w:rPr>
                <w:color w:val="auto"/>
                <w:kern w:val="0"/>
                <w:sz w:val="24"/>
                <w:szCs w:val="22"/>
                <w:highlight w:val="none"/>
              </w:rPr>
              <w:t>在厂区雨水管网集中汇入基地雨水管网的节点上安装可靠的隔断措施，可在灭火时将此隔断措施关闭，防止消防废水直接进入基地雨水管网</w:t>
            </w:r>
            <w:r>
              <w:rPr>
                <w:rFonts w:hint="eastAsia"/>
                <w:color w:val="auto"/>
                <w:kern w:val="0"/>
                <w:sz w:val="24"/>
                <w:szCs w:val="22"/>
                <w:highlight w:val="none"/>
                <w:lang w:eastAsia="zh-CN"/>
              </w:rPr>
              <w:t>；</w:t>
            </w:r>
          </w:p>
          <w:p w14:paraId="68D69D35">
            <w:pPr>
              <w:autoSpaceDE w:val="0"/>
              <w:autoSpaceDN w:val="0"/>
              <w:adjustRightInd w:val="0"/>
              <w:spacing w:line="360" w:lineRule="auto"/>
              <w:ind w:firstLine="480"/>
              <w:jc w:val="left"/>
              <w:rPr>
                <w:color w:val="auto"/>
                <w:kern w:val="0"/>
                <w:sz w:val="24"/>
                <w:szCs w:val="22"/>
                <w:highlight w:val="none"/>
              </w:rPr>
            </w:pPr>
            <w:r>
              <w:rPr>
                <w:rFonts w:hint="eastAsia" w:cs="宋体"/>
                <w:color w:val="auto"/>
                <w:kern w:val="0"/>
                <w:sz w:val="24"/>
                <w:szCs w:val="22"/>
                <w:highlight w:val="none"/>
                <w:lang w:val="en-US" w:eastAsia="zh-CN"/>
              </w:rPr>
              <w:t>B、</w:t>
            </w:r>
            <w:r>
              <w:rPr>
                <w:color w:val="auto"/>
                <w:kern w:val="0"/>
                <w:sz w:val="24"/>
                <w:szCs w:val="22"/>
                <w:highlight w:val="none"/>
              </w:rPr>
              <w:t>在厂区边界预先准备适量的沙包，在厂区灭火时堵住厂界围墙有泄漏的地方，防止消防废水向场外泄漏；</w:t>
            </w:r>
          </w:p>
          <w:p w14:paraId="00B392EC">
            <w:pPr>
              <w:pStyle w:val="133"/>
              <w:tabs>
                <w:tab w:val="left" w:pos="7350"/>
              </w:tabs>
              <w:adjustRightInd/>
              <w:ind w:firstLine="480"/>
              <w:jc w:val="both"/>
              <w:rPr>
                <w:rFonts w:hint="default" w:ascii="Times New Roman" w:hAnsi="Times New Roman" w:cs="Times New Roman"/>
                <w:color w:val="auto"/>
                <w:kern w:val="0"/>
                <w:szCs w:val="24"/>
                <w:highlight w:val="none"/>
              </w:rPr>
            </w:pPr>
            <w:r>
              <w:rPr>
                <w:rFonts w:hint="eastAsia"/>
                <w:color w:val="auto"/>
                <w:kern w:val="0"/>
                <w:sz w:val="24"/>
                <w:szCs w:val="22"/>
                <w:highlight w:val="none"/>
                <w:lang w:val="en-US" w:eastAsia="zh-CN"/>
              </w:rPr>
              <w:t>C、</w:t>
            </w:r>
            <w:r>
              <w:rPr>
                <w:color w:val="auto"/>
                <w:kern w:val="0"/>
                <w:sz w:val="24"/>
                <w:szCs w:val="22"/>
                <w:highlight w:val="none"/>
              </w:rPr>
              <w:t>建设单位须与周边企业建立友好协助关系，尤其在消防力量上应当互助，能够做到一方有难八方支援，将着火厂区的火灾及时扑灭，避免扩大火灾范围。</w:t>
            </w:r>
          </w:p>
          <w:p w14:paraId="27BAB445">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采取以上环境风险防范措施后，本项目环境风险较小，环境风险水平可接受。</w:t>
            </w:r>
          </w:p>
          <w:p w14:paraId="6539A14D">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firstLineChars="200"/>
              <w:textAlignment w:val="auto"/>
              <w:rPr>
                <w:b/>
                <w:color w:val="auto"/>
                <w:sz w:val="24"/>
                <w:szCs w:val="22"/>
              </w:rPr>
            </w:pPr>
            <w:r>
              <w:rPr>
                <w:rFonts w:hint="eastAsia"/>
                <w:b/>
                <w:color w:val="auto"/>
                <w:sz w:val="24"/>
                <w:szCs w:val="22"/>
                <w:lang w:eastAsia="zh-CN"/>
              </w:rPr>
              <w:t>（</w:t>
            </w:r>
            <w:r>
              <w:rPr>
                <w:rFonts w:hint="eastAsia"/>
                <w:b/>
                <w:color w:val="auto"/>
                <w:sz w:val="24"/>
                <w:szCs w:val="22"/>
                <w:lang w:val="en-US" w:eastAsia="zh-CN"/>
              </w:rPr>
              <w:t>七</w:t>
            </w:r>
            <w:r>
              <w:rPr>
                <w:rFonts w:hint="eastAsia"/>
                <w:b/>
                <w:color w:val="auto"/>
                <w:sz w:val="24"/>
                <w:szCs w:val="22"/>
                <w:lang w:eastAsia="zh-CN"/>
              </w:rPr>
              <w:t>）</w:t>
            </w:r>
            <w:r>
              <w:rPr>
                <w:rFonts w:hint="eastAsia"/>
                <w:b/>
                <w:color w:val="auto"/>
                <w:sz w:val="24"/>
                <w:szCs w:val="22"/>
              </w:rPr>
              <w:t>环境监测管理要求</w:t>
            </w:r>
          </w:p>
          <w:p w14:paraId="63CB0BAC">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（1）环境监测计划</w:t>
            </w:r>
          </w:p>
          <w:p w14:paraId="21101012">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本项目建成投产后，应根据工程特征和建设项目环境保护管理的有关规定，积极配合和接受各级环保部门的监督、监测。按时申请本项目的“三同时”验收监测。</w:t>
            </w:r>
          </w:p>
          <w:p w14:paraId="73523907">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（2）环境监测目的</w:t>
            </w:r>
          </w:p>
          <w:p w14:paraId="43E942B2">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监测是一项政府行为，也是环境管理技术的支持。环境监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w:t>
            </w:r>
          </w:p>
          <w:p w14:paraId="19BF9277">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（3）环境监测机构</w:t>
            </w:r>
          </w:p>
          <w:p w14:paraId="5D9B8395">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本项目营运期的环境监测工作委托有资质的第三方环境监测公司承担，日常的生产例行监测则由建设单位分析化验室负责。</w:t>
            </w:r>
          </w:p>
          <w:p w14:paraId="4640285D">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（4）监测项目及监测计划</w:t>
            </w:r>
          </w:p>
          <w:p w14:paraId="4BE6692B">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eastAsia" w:ascii="Times New Roman" w:hAnsi="Times New Roman" w:eastAsia="宋体" w:cs="Times New Roman"/>
                <w:color w:val="auto"/>
                <w:sz w:val="24"/>
                <w:highlight w:val="none"/>
                <w:lang w:val="en-US" w:eastAsia="zh-CN"/>
              </w:rPr>
              <w:t>《排污单位自行监测技术指南 总则》（</w:t>
            </w:r>
            <w:r>
              <w:rPr>
                <w:rFonts w:hint="default" w:ascii="Times New Roman" w:hAnsi="Times New Roman" w:eastAsia="宋体" w:cs="Times New Roman"/>
                <w:color w:val="auto"/>
                <w:sz w:val="24"/>
                <w:highlight w:val="none"/>
                <w:lang w:val="en-US" w:eastAsia="zh-CN"/>
              </w:rPr>
              <w:t>HJ</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819-2017</w:t>
            </w:r>
            <w:r>
              <w:rPr>
                <w:rFonts w:hint="eastAsia" w:ascii="Times New Roman" w:hAnsi="Times New Roman" w:eastAsia="宋体" w:cs="Times New Roman"/>
                <w:color w:val="auto"/>
                <w:sz w:val="24"/>
                <w:highlight w:val="none"/>
                <w:lang w:val="en-US" w:eastAsia="zh-CN"/>
              </w:rPr>
              <w:t>）</w:t>
            </w:r>
            <w:r>
              <w:rPr>
                <w:rFonts w:ascii="宋体" w:hAnsi="宋体" w:eastAsia="宋体" w:cs="宋体"/>
                <w:color w:val="auto"/>
                <w:sz w:val="24"/>
                <w:szCs w:val="24"/>
              </w:rPr>
              <w:t>《</w:t>
            </w:r>
            <w:r>
              <w:rPr>
                <w:rFonts w:hint="eastAsia" w:ascii="Times New Roman" w:hAnsi="Times New Roman" w:eastAsia="宋体" w:cs="Times New Roman"/>
                <w:color w:val="auto"/>
                <w:sz w:val="24"/>
                <w:highlight w:val="none"/>
                <w:lang w:val="en-US" w:eastAsia="zh-CN"/>
              </w:rPr>
              <w:t>排污单位自行监测技术指南 食品制造</w:t>
            </w:r>
            <w:r>
              <w:rPr>
                <w:rFonts w:ascii="宋体" w:hAnsi="宋体" w:eastAsia="宋体" w:cs="宋体"/>
                <w:color w:val="auto"/>
                <w:spacing w:val="1"/>
                <w:sz w:val="24"/>
                <w:szCs w:val="24"/>
              </w:rPr>
              <w:t>》</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highlight w:val="none"/>
                <w:lang w:val="en-US" w:eastAsia="zh-CN"/>
              </w:rPr>
              <w:t>HJ 1084-2020</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w:t>
            </w:r>
            <w:r>
              <w:rPr>
                <w:rFonts w:ascii="宋体" w:hAnsi="宋体" w:eastAsia="宋体" w:cs="宋体"/>
                <w:color w:val="auto"/>
                <w:sz w:val="24"/>
                <w:szCs w:val="24"/>
              </w:rPr>
              <w:t>《</w:t>
            </w:r>
            <w:r>
              <w:rPr>
                <w:rFonts w:hint="eastAsia" w:ascii="Times New Roman" w:hAnsi="Times New Roman" w:eastAsia="宋体" w:cs="Times New Roman"/>
                <w:color w:val="auto"/>
                <w:sz w:val="24"/>
                <w:highlight w:val="none"/>
                <w:lang w:val="en-US" w:eastAsia="zh-CN"/>
              </w:rPr>
              <w:t>排污单位自行监测技术指南 火力发电及锅炉</w:t>
            </w:r>
            <w:r>
              <w:rPr>
                <w:rFonts w:ascii="宋体" w:hAnsi="宋体" w:eastAsia="宋体" w:cs="宋体"/>
                <w:color w:val="auto"/>
                <w:spacing w:val="1"/>
                <w:sz w:val="24"/>
                <w:szCs w:val="24"/>
              </w:rPr>
              <w:t>》</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highlight w:val="none"/>
                <w:lang w:val="en-US" w:eastAsia="zh-CN"/>
              </w:rPr>
              <w:t>HJ 820-2017</w:t>
            </w:r>
            <w:r>
              <w:rPr>
                <w:rFonts w:hint="default" w:ascii="Times New Roman" w:hAnsi="Times New Roman" w:cs="Times New Roman"/>
                <w:color w:val="auto"/>
                <w:sz w:val="24"/>
                <w:szCs w:val="24"/>
                <w:lang w:val="en-US" w:eastAsia="zh-CN"/>
              </w:rPr>
              <w:t>）</w:t>
            </w:r>
            <w:r>
              <w:rPr>
                <w:rFonts w:hint="eastAsia" w:cs="Times New Roman"/>
                <w:color w:val="auto"/>
                <w:spacing w:val="1"/>
                <w:sz w:val="24"/>
                <w:szCs w:val="24"/>
                <w:lang w:val="en-US" w:eastAsia="zh-CN"/>
              </w:rPr>
              <w:t>、</w:t>
            </w:r>
            <w:r>
              <w:rPr>
                <w:rFonts w:hint="eastAsia" w:ascii="Times New Roman" w:hAnsi="Times New Roman" w:eastAsia="宋体" w:cs="Times New Roman"/>
                <w:color w:val="auto"/>
                <w:kern w:val="2"/>
                <w:sz w:val="24"/>
                <w:szCs w:val="24"/>
                <w:highlight w:val="none"/>
                <w:lang w:val="en-US" w:eastAsia="zh-CN" w:bidi="ar-SA"/>
              </w:rPr>
              <w:t>《排污许可证申请与核发技术规范 工业噪声》</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highlight w:val="none"/>
                <w:lang w:val="en-US" w:eastAsia="zh-CN"/>
              </w:rPr>
              <w:t>HJ</w:t>
            </w:r>
            <w:r>
              <w:rPr>
                <w:rFonts w:hint="eastAsia" w:ascii="Times New Roman" w:hAnsi="Times New Roman" w:eastAsia="宋体" w:cs="Times New Roman"/>
                <w:color w:val="auto"/>
                <w:sz w:val="24"/>
                <w:highlight w:val="none"/>
                <w:lang w:val="en-US" w:eastAsia="zh-CN"/>
              </w:rPr>
              <w:t xml:space="preserve"> 1301</w:t>
            </w:r>
            <w:r>
              <w:rPr>
                <w:rFonts w:hint="default" w:ascii="Times New Roman" w:hAnsi="Times New Roman" w:eastAsia="宋体" w:cs="Times New Roman"/>
                <w:color w:val="auto"/>
                <w:sz w:val="24"/>
                <w:highlight w:val="none"/>
                <w:lang w:val="en-US" w:eastAsia="zh-CN"/>
              </w:rPr>
              <w:t>-20</w:t>
            </w:r>
            <w:r>
              <w:rPr>
                <w:rFonts w:hint="eastAsia" w:ascii="Times New Roman" w:hAnsi="Times New Roman" w:eastAsia="宋体" w:cs="Times New Roman"/>
                <w:color w:val="auto"/>
                <w:sz w:val="24"/>
                <w:highlight w:val="none"/>
                <w:lang w:val="en-US" w:eastAsia="zh-CN"/>
              </w:rPr>
              <w:t>23</w:t>
            </w:r>
            <w:r>
              <w:rPr>
                <w:rFonts w:hint="eastAsia" w:cs="Times New Roman"/>
                <w:color w:val="auto"/>
                <w:kern w:val="2"/>
                <w:sz w:val="24"/>
                <w:szCs w:val="24"/>
                <w:highlight w:val="none"/>
                <w:lang w:val="en-US" w:eastAsia="zh-CN" w:bidi="ar-SA"/>
              </w:rPr>
              <w:t>)等，</w:t>
            </w:r>
            <w:r>
              <w:rPr>
                <w:rFonts w:hint="default" w:ascii="Times New Roman" w:hAnsi="Times New Roman" w:eastAsia="宋体" w:cs="Times New Roman"/>
                <w:color w:val="auto"/>
                <w:sz w:val="24"/>
              </w:rPr>
              <w:t>运营期环境监测计划见表</w:t>
            </w:r>
            <w:r>
              <w:rPr>
                <w:rFonts w:hint="eastAsia" w:ascii="Times New Roman" w:hAnsi="Times New Roman" w:eastAsia="宋体" w:cs="Times New Roman"/>
                <w:color w:val="auto"/>
                <w:sz w:val="24"/>
                <w:lang w:val="en-US" w:eastAsia="zh-CN"/>
              </w:rPr>
              <w:t>4-</w:t>
            </w:r>
            <w:r>
              <w:rPr>
                <w:rFonts w:hint="eastAsia" w:cs="Times New Roman"/>
                <w:color w:val="auto"/>
                <w:sz w:val="24"/>
                <w:lang w:val="en-US" w:eastAsia="zh-CN"/>
              </w:rPr>
              <w:t>38</w:t>
            </w:r>
            <w:r>
              <w:rPr>
                <w:rFonts w:hint="default" w:ascii="Times New Roman" w:hAnsi="Times New Roman" w:eastAsia="宋体" w:cs="Times New Roman"/>
                <w:color w:val="auto"/>
                <w:sz w:val="24"/>
              </w:rPr>
              <w:t>。</w:t>
            </w:r>
          </w:p>
          <w:p w14:paraId="368ECF5C">
            <w:pPr>
              <w:jc w:val="center"/>
              <w:rPr>
                <w:b/>
                <w:bCs/>
                <w:color w:val="auto"/>
                <w:sz w:val="21"/>
                <w:szCs w:val="21"/>
              </w:rPr>
            </w:pPr>
            <w:r>
              <w:rPr>
                <w:rFonts w:hint="eastAsia"/>
                <w:b/>
                <w:bCs/>
                <w:color w:val="auto"/>
                <w:sz w:val="21"/>
                <w:szCs w:val="21"/>
              </w:rPr>
              <w:t>表</w:t>
            </w:r>
            <w:r>
              <w:rPr>
                <w:rFonts w:hint="eastAsia"/>
                <w:b/>
                <w:bCs/>
                <w:color w:val="auto"/>
                <w:sz w:val="21"/>
                <w:szCs w:val="21"/>
                <w:lang w:val="en-US" w:eastAsia="zh-CN"/>
              </w:rPr>
              <w:t xml:space="preserve">4-38  </w:t>
            </w:r>
            <w:r>
              <w:rPr>
                <w:b/>
                <w:bCs/>
                <w:color w:val="auto"/>
                <w:sz w:val="21"/>
                <w:szCs w:val="21"/>
              </w:rPr>
              <w:t>运营期环境监测计划</w:t>
            </w:r>
          </w:p>
          <w:tbl>
            <w:tblPr>
              <w:tblStyle w:val="33"/>
              <w:tblW w:w="82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57" w:type="dxa"/>
                <w:left w:w="108" w:type="dxa"/>
                <w:bottom w:w="57" w:type="dxa"/>
                <w:right w:w="108" w:type="dxa"/>
              </w:tblCellMar>
            </w:tblPr>
            <w:tblGrid>
              <w:gridCol w:w="718"/>
              <w:gridCol w:w="1603"/>
              <w:gridCol w:w="2675"/>
              <w:gridCol w:w="1411"/>
              <w:gridCol w:w="951"/>
              <w:gridCol w:w="899"/>
            </w:tblGrid>
            <w:tr w14:paraId="5DE1F93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57" w:type="dxa"/>
                  <w:left w:w="108" w:type="dxa"/>
                  <w:bottom w:w="57" w:type="dxa"/>
                  <w:right w:w="108" w:type="dxa"/>
                </w:tblCellMar>
              </w:tblPrEx>
              <w:trPr>
                <w:trHeight w:val="627" w:hRule="atLeast"/>
                <w:jc w:val="center"/>
              </w:trPr>
              <w:tc>
                <w:tcPr>
                  <w:tcW w:w="718" w:type="dxa"/>
                  <w:tcBorders>
                    <w:tl2br w:val="nil"/>
                    <w:tr2bl w:val="nil"/>
                  </w:tcBorders>
                  <w:noWrap w:val="0"/>
                  <w:tcMar>
                    <w:left w:w="28" w:type="dxa"/>
                    <w:right w:w="28" w:type="dxa"/>
                  </w:tcMar>
                  <w:vAlign w:val="center"/>
                </w:tcPr>
                <w:p w14:paraId="5EBA78F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b/>
                      <w:bCs/>
                      <w:color w:val="auto"/>
                    </w:rPr>
                  </w:pPr>
                  <w:r>
                    <w:rPr>
                      <w:b/>
                      <w:bCs/>
                      <w:color w:val="auto"/>
                    </w:rPr>
                    <w:t>类别</w:t>
                  </w:r>
                </w:p>
              </w:tc>
              <w:tc>
                <w:tcPr>
                  <w:tcW w:w="1603" w:type="dxa"/>
                  <w:tcBorders>
                    <w:tl2br w:val="nil"/>
                    <w:tr2bl w:val="nil"/>
                  </w:tcBorders>
                  <w:noWrap w:val="0"/>
                  <w:tcMar>
                    <w:left w:w="28" w:type="dxa"/>
                    <w:right w:w="28" w:type="dxa"/>
                  </w:tcMar>
                  <w:vAlign w:val="center"/>
                </w:tcPr>
                <w:p w14:paraId="5341384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b/>
                      <w:bCs/>
                      <w:color w:val="auto"/>
                    </w:rPr>
                  </w:pPr>
                  <w:r>
                    <w:rPr>
                      <w:b/>
                      <w:bCs/>
                      <w:color w:val="auto"/>
                    </w:rPr>
                    <w:t>监测地点</w:t>
                  </w:r>
                </w:p>
              </w:tc>
              <w:tc>
                <w:tcPr>
                  <w:tcW w:w="2675" w:type="dxa"/>
                  <w:tcBorders>
                    <w:tl2br w:val="nil"/>
                    <w:tr2bl w:val="nil"/>
                  </w:tcBorders>
                  <w:noWrap w:val="0"/>
                  <w:tcMar>
                    <w:left w:w="28" w:type="dxa"/>
                    <w:right w:w="28" w:type="dxa"/>
                  </w:tcMar>
                  <w:vAlign w:val="center"/>
                </w:tcPr>
                <w:p w14:paraId="54B03E7E">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b/>
                      <w:bCs/>
                      <w:color w:val="auto"/>
                    </w:rPr>
                  </w:pPr>
                  <w:r>
                    <w:rPr>
                      <w:b/>
                      <w:bCs/>
                      <w:color w:val="auto"/>
                    </w:rPr>
                    <w:t>监测项目</w:t>
                  </w:r>
                </w:p>
              </w:tc>
              <w:tc>
                <w:tcPr>
                  <w:tcW w:w="1411" w:type="dxa"/>
                  <w:tcBorders>
                    <w:tl2br w:val="nil"/>
                    <w:tr2bl w:val="nil"/>
                  </w:tcBorders>
                  <w:noWrap w:val="0"/>
                  <w:tcMar>
                    <w:left w:w="28" w:type="dxa"/>
                    <w:right w:w="28" w:type="dxa"/>
                  </w:tcMar>
                  <w:vAlign w:val="center"/>
                </w:tcPr>
                <w:p w14:paraId="625F4B8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b/>
                      <w:bCs/>
                      <w:color w:val="auto"/>
                    </w:rPr>
                  </w:pPr>
                  <w:r>
                    <w:rPr>
                      <w:b/>
                      <w:bCs/>
                      <w:color w:val="auto"/>
                    </w:rPr>
                    <w:t>监测频率</w:t>
                  </w:r>
                </w:p>
              </w:tc>
              <w:tc>
                <w:tcPr>
                  <w:tcW w:w="951" w:type="dxa"/>
                  <w:tcBorders>
                    <w:tl2br w:val="nil"/>
                    <w:tr2bl w:val="nil"/>
                  </w:tcBorders>
                  <w:noWrap w:val="0"/>
                  <w:tcMar>
                    <w:left w:w="28" w:type="dxa"/>
                    <w:right w:w="28" w:type="dxa"/>
                  </w:tcMar>
                  <w:vAlign w:val="center"/>
                </w:tcPr>
                <w:p w14:paraId="325BD816">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b/>
                      <w:bCs/>
                      <w:color w:val="auto"/>
                    </w:rPr>
                  </w:pPr>
                  <w:r>
                    <w:rPr>
                      <w:b/>
                      <w:bCs/>
                      <w:color w:val="auto"/>
                    </w:rPr>
                    <w:t>实施机构</w:t>
                  </w:r>
                </w:p>
              </w:tc>
              <w:tc>
                <w:tcPr>
                  <w:tcW w:w="899" w:type="dxa"/>
                  <w:tcBorders>
                    <w:tl2br w:val="nil"/>
                    <w:tr2bl w:val="nil"/>
                  </w:tcBorders>
                  <w:noWrap w:val="0"/>
                  <w:tcMar>
                    <w:left w:w="28" w:type="dxa"/>
                    <w:right w:w="28" w:type="dxa"/>
                  </w:tcMar>
                  <w:vAlign w:val="center"/>
                </w:tcPr>
                <w:p w14:paraId="281E947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b/>
                      <w:bCs/>
                      <w:color w:val="auto"/>
                    </w:rPr>
                  </w:pPr>
                  <w:r>
                    <w:rPr>
                      <w:b/>
                      <w:bCs/>
                      <w:color w:val="auto"/>
                    </w:rPr>
                    <w:t>监督机构</w:t>
                  </w:r>
                </w:p>
              </w:tc>
            </w:tr>
            <w:tr w14:paraId="693FAB5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57" w:type="dxa"/>
                  <w:left w:w="108" w:type="dxa"/>
                  <w:bottom w:w="57" w:type="dxa"/>
                  <w:right w:w="108" w:type="dxa"/>
                </w:tblCellMar>
              </w:tblPrEx>
              <w:trPr>
                <w:trHeight w:val="498" w:hRule="atLeast"/>
                <w:jc w:val="center"/>
              </w:trPr>
              <w:tc>
                <w:tcPr>
                  <w:tcW w:w="718" w:type="dxa"/>
                  <w:vMerge w:val="restart"/>
                  <w:tcBorders>
                    <w:tl2br w:val="nil"/>
                    <w:tr2bl w:val="nil"/>
                  </w:tcBorders>
                  <w:noWrap w:val="0"/>
                  <w:tcMar>
                    <w:left w:w="28" w:type="dxa"/>
                    <w:right w:w="28" w:type="dxa"/>
                  </w:tcMar>
                  <w:vAlign w:val="center"/>
                </w:tcPr>
                <w:p w14:paraId="29F3FB6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r>
                    <w:rPr>
                      <w:rFonts w:hint="eastAsia"/>
                      <w:color w:val="auto"/>
                    </w:rPr>
                    <w:t>废气</w:t>
                  </w:r>
                </w:p>
              </w:tc>
              <w:tc>
                <w:tcPr>
                  <w:tcW w:w="1603" w:type="dxa"/>
                  <w:tcBorders>
                    <w:tl2br w:val="nil"/>
                    <w:tr2bl w:val="nil"/>
                  </w:tcBorders>
                  <w:noWrap w:val="0"/>
                  <w:tcMar>
                    <w:left w:w="28" w:type="dxa"/>
                    <w:right w:w="28" w:type="dxa"/>
                  </w:tcMar>
                  <w:vAlign w:val="center"/>
                </w:tcPr>
                <w:p w14:paraId="481BD872">
                  <w:pPr>
                    <w:jc w:val="center"/>
                    <w:rPr>
                      <w:rFonts w:hint="eastAsia"/>
                      <w:color w:val="auto"/>
                      <w:szCs w:val="21"/>
                      <w:lang w:val="en-US" w:eastAsia="zh-CN"/>
                    </w:rPr>
                  </w:pPr>
                  <w:r>
                    <w:rPr>
                      <w:rFonts w:hint="eastAsia"/>
                      <w:color w:val="auto"/>
                      <w:szCs w:val="21"/>
                      <w:lang w:val="en-US" w:eastAsia="zh-CN"/>
                    </w:rPr>
                    <w:t>DA001-DA004、DA007-DA014</w:t>
                  </w:r>
                </w:p>
              </w:tc>
              <w:tc>
                <w:tcPr>
                  <w:tcW w:w="2675" w:type="dxa"/>
                  <w:tcBorders>
                    <w:tl2br w:val="nil"/>
                    <w:tr2bl w:val="nil"/>
                  </w:tcBorders>
                  <w:noWrap w:val="0"/>
                  <w:tcMar>
                    <w:left w:w="28" w:type="dxa"/>
                    <w:right w:w="28" w:type="dxa"/>
                  </w:tcMar>
                  <w:vAlign w:val="center"/>
                </w:tcPr>
                <w:p w14:paraId="0BD28DF4">
                  <w:pPr>
                    <w:widowControl/>
                    <w:jc w:val="center"/>
                    <w:rPr>
                      <w:rFonts w:hint="eastAsia"/>
                      <w:color w:val="auto"/>
                      <w:szCs w:val="21"/>
                      <w:lang w:val="en-US" w:eastAsia="zh-CN"/>
                    </w:rPr>
                  </w:pPr>
                  <w:r>
                    <w:rPr>
                      <w:rFonts w:hint="eastAsia"/>
                      <w:color w:val="auto"/>
                      <w:szCs w:val="21"/>
                      <w:lang w:val="en-US" w:eastAsia="zh-CN"/>
                    </w:rPr>
                    <w:t>油烟、非甲烷总烃、</w:t>
                  </w:r>
                  <w:r>
                    <w:rPr>
                      <w:rFonts w:hint="eastAsia" w:cs="Times New Roman"/>
                      <w:color w:val="auto"/>
                      <w:kern w:val="0"/>
                      <w:szCs w:val="21"/>
                      <w:lang w:val="en-US" w:eastAsia="zh-CN"/>
                    </w:rPr>
                    <w:t>颗粒物、二氧化硫、氮氧化物</w:t>
                  </w:r>
                </w:p>
              </w:tc>
              <w:tc>
                <w:tcPr>
                  <w:tcW w:w="1411" w:type="dxa"/>
                  <w:tcBorders>
                    <w:tl2br w:val="nil"/>
                    <w:tr2bl w:val="nil"/>
                  </w:tcBorders>
                  <w:noWrap w:val="0"/>
                  <w:tcMar>
                    <w:left w:w="28" w:type="dxa"/>
                    <w:right w:w="28" w:type="dxa"/>
                  </w:tcMar>
                  <w:vAlign w:val="center"/>
                </w:tcPr>
                <w:p w14:paraId="4938F85D">
                  <w:pPr>
                    <w:widowControl/>
                    <w:jc w:val="center"/>
                    <w:rPr>
                      <w:rFonts w:hint="eastAsia"/>
                      <w:color w:val="auto"/>
                      <w:szCs w:val="21"/>
                      <w:lang w:val="en-US" w:eastAsia="zh-CN"/>
                    </w:rPr>
                  </w:pPr>
                  <w:r>
                    <w:rPr>
                      <w:rFonts w:hint="eastAsia"/>
                      <w:color w:val="auto"/>
                      <w:szCs w:val="21"/>
                      <w:lang w:val="en-US" w:eastAsia="zh-CN"/>
                    </w:rPr>
                    <w:t>1次/半年</w:t>
                  </w:r>
                </w:p>
              </w:tc>
              <w:tc>
                <w:tcPr>
                  <w:tcW w:w="951" w:type="dxa"/>
                  <w:vMerge w:val="restart"/>
                  <w:tcBorders>
                    <w:tl2br w:val="nil"/>
                    <w:tr2bl w:val="nil"/>
                  </w:tcBorders>
                  <w:noWrap w:val="0"/>
                  <w:tcMar>
                    <w:left w:w="28" w:type="dxa"/>
                    <w:right w:w="28" w:type="dxa"/>
                  </w:tcMar>
                  <w:vAlign w:val="center"/>
                </w:tcPr>
                <w:p w14:paraId="118D44C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r>
                    <w:rPr>
                      <w:color w:val="auto"/>
                    </w:rPr>
                    <w:t>有资质的第三方环境监测公司</w:t>
                  </w:r>
                </w:p>
              </w:tc>
              <w:tc>
                <w:tcPr>
                  <w:tcW w:w="899" w:type="dxa"/>
                  <w:vMerge w:val="restart"/>
                  <w:tcBorders>
                    <w:tl2br w:val="nil"/>
                    <w:tr2bl w:val="nil"/>
                  </w:tcBorders>
                  <w:noWrap w:val="0"/>
                  <w:tcMar>
                    <w:left w:w="28" w:type="dxa"/>
                    <w:right w:w="28" w:type="dxa"/>
                  </w:tcMar>
                  <w:vAlign w:val="center"/>
                </w:tcPr>
                <w:p w14:paraId="57F05C6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r>
                    <w:rPr>
                      <w:rFonts w:hint="eastAsia"/>
                      <w:color w:val="auto"/>
                    </w:rPr>
                    <w:t>环保部门</w:t>
                  </w:r>
                </w:p>
              </w:tc>
            </w:tr>
            <w:tr w14:paraId="0ACA84B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57" w:type="dxa"/>
                  <w:left w:w="108" w:type="dxa"/>
                  <w:bottom w:w="57" w:type="dxa"/>
                  <w:right w:w="108" w:type="dxa"/>
                </w:tblCellMar>
              </w:tblPrEx>
              <w:trPr>
                <w:trHeight w:val="603" w:hRule="atLeast"/>
                <w:jc w:val="center"/>
              </w:trPr>
              <w:tc>
                <w:tcPr>
                  <w:tcW w:w="718" w:type="dxa"/>
                  <w:vMerge w:val="continue"/>
                  <w:tcBorders>
                    <w:tl2br w:val="nil"/>
                    <w:tr2bl w:val="nil"/>
                  </w:tcBorders>
                  <w:noWrap w:val="0"/>
                  <w:tcMar>
                    <w:left w:w="28" w:type="dxa"/>
                    <w:right w:w="28" w:type="dxa"/>
                  </w:tcMar>
                  <w:vAlign w:val="center"/>
                </w:tcPr>
                <w:p w14:paraId="5542061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rPr>
                  </w:pPr>
                </w:p>
              </w:tc>
              <w:tc>
                <w:tcPr>
                  <w:tcW w:w="1603" w:type="dxa"/>
                  <w:vMerge w:val="restart"/>
                  <w:tcBorders>
                    <w:tl2br w:val="nil"/>
                    <w:tr2bl w:val="nil"/>
                  </w:tcBorders>
                  <w:noWrap w:val="0"/>
                  <w:tcMar>
                    <w:left w:w="28" w:type="dxa"/>
                    <w:right w:w="28" w:type="dxa"/>
                  </w:tcMar>
                  <w:vAlign w:val="center"/>
                </w:tcPr>
                <w:p w14:paraId="51A0B24C">
                  <w:pPr>
                    <w:jc w:val="center"/>
                    <w:rPr>
                      <w:rFonts w:hint="eastAsia"/>
                      <w:color w:val="auto"/>
                      <w:szCs w:val="21"/>
                      <w:lang w:val="en-US" w:eastAsia="zh-CN"/>
                    </w:rPr>
                  </w:pPr>
                  <w:r>
                    <w:rPr>
                      <w:rFonts w:hint="eastAsia"/>
                      <w:color w:val="auto"/>
                      <w:szCs w:val="21"/>
                      <w:lang w:val="en-US" w:eastAsia="zh-CN"/>
                    </w:rPr>
                    <w:t>DA005、DA006、DA015、DA016</w:t>
                  </w:r>
                </w:p>
              </w:tc>
              <w:tc>
                <w:tcPr>
                  <w:tcW w:w="2675" w:type="dxa"/>
                  <w:tcBorders>
                    <w:tl2br w:val="nil"/>
                    <w:tr2bl w:val="nil"/>
                  </w:tcBorders>
                  <w:noWrap w:val="0"/>
                  <w:tcMar>
                    <w:left w:w="28" w:type="dxa"/>
                    <w:right w:w="28" w:type="dxa"/>
                  </w:tcMar>
                  <w:vAlign w:val="center"/>
                </w:tcPr>
                <w:p w14:paraId="63EF9005">
                  <w:pPr>
                    <w:widowControl/>
                    <w:jc w:val="center"/>
                    <w:rPr>
                      <w:rFonts w:hint="eastAsia"/>
                      <w:color w:val="auto"/>
                      <w:szCs w:val="21"/>
                      <w:lang w:val="en-US" w:eastAsia="zh-CN"/>
                    </w:rPr>
                  </w:pPr>
                  <w:r>
                    <w:rPr>
                      <w:rFonts w:hint="eastAsia" w:cs="Times New Roman"/>
                      <w:color w:val="auto"/>
                      <w:kern w:val="0"/>
                      <w:szCs w:val="21"/>
                      <w:lang w:val="en-US" w:eastAsia="zh-CN"/>
                    </w:rPr>
                    <w:t>氮氧化物</w:t>
                  </w:r>
                </w:p>
              </w:tc>
              <w:tc>
                <w:tcPr>
                  <w:tcW w:w="1411" w:type="dxa"/>
                  <w:tcBorders>
                    <w:tl2br w:val="nil"/>
                    <w:tr2bl w:val="nil"/>
                  </w:tcBorders>
                  <w:noWrap w:val="0"/>
                  <w:tcMar>
                    <w:left w:w="28" w:type="dxa"/>
                    <w:right w:w="28" w:type="dxa"/>
                  </w:tcMar>
                  <w:vAlign w:val="center"/>
                </w:tcPr>
                <w:p w14:paraId="4BAFDAF8">
                  <w:pPr>
                    <w:widowControl/>
                    <w:jc w:val="center"/>
                    <w:rPr>
                      <w:rFonts w:hint="eastAsia"/>
                      <w:color w:val="auto"/>
                      <w:szCs w:val="21"/>
                      <w:lang w:val="en-US" w:eastAsia="zh-CN"/>
                    </w:rPr>
                  </w:pPr>
                  <w:r>
                    <w:rPr>
                      <w:rFonts w:hint="eastAsia"/>
                      <w:color w:val="auto"/>
                      <w:szCs w:val="21"/>
                      <w:lang w:val="en-US" w:eastAsia="zh-CN"/>
                    </w:rPr>
                    <w:t>1次/月</w:t>
                  </w:r>
                </w:p>
              </w:tc>
              <w:tc>
                <w:tcPr>
                  <w:tcW w:w="951" w:type="dxa"/>
                  <w:vMerge w:val="continue"/>
                  <w:tcBorders>
                    <w:tl2br w:val="nil"/>
                    <w:tr2bl w:val="nil"/>
                  </w:tcBorders>
                  <w:noWrap w:val="0"/>
                  <w:tcMar>
                    <w:left w:w="28" w:type="dxa"/>
                    <w:right w:w="28" w:type="dxa"/>
                  </w:tcMar>
                  <w:vAlign w:val="center"/>
                </w:tcPr>
                <w:p w14:paraId="7291F584">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p>
              </w:tc>
              <w:tc>
                <w:tcPr>
                  <w:tcW w:w="899" w:type="dxa"/>
                  <w:vMerge w:val="continue"/>
                  <w:tcBorders>
                    <w:tl2br w:val="nil"/>
                    <w:tr2bl w:val="nil"/>
                  </w:tcBorders>
                  <w:noWrap w:val="0"/>
                  <w:tcMar>
                    <w:left w:w="28" w:type="dxa"/>
                    <w:right w:w="28" w:type="dxa"/>
                  </w:tcMar>
                  <w:vAlign w:val="center"/>
                </w:tcPr>
                <w:p w14:paraId="3D471EA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rPr>
                  </w:pPr>
                </w:p>
              </w:tc>
            </w:tr>
            <w:tr w14:paraId="2494C8B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57" w:type="dxa"/>
                  <w:left w:w="108" w:type="dxa"/>
                  <w:bottom w:w="57" w:type="dxa"/>
                  <w:right w:w="108" w:type="dxa"/>
                </w:tblCellMar>
              </w:tblPrEx>
              <w:trPr>
                <w:trHeight w:val="603" w:hRule="atLeast"/>
                <w:jc w:val="center"/>
              </w:trPr>
              <w:tc>
                <w:tcPr>
                  <w:tcW w:w="718" w:type="dxa"/>
                  <w:vMerge w:val="continue"/>
                  <w:tcBorders>
                    <w:tl2br w:val="nil"/>
                    <w:tr2bl w:val="nil"/>
                  </w:tcBorders>
                  <w:noWrap w:val="0"/>
                  <w:tcMar>
                    <w:left w:w="28" w:type="dxa"/>
                    <w:right w:w="28" w:type="dxa"/>
                  </w:tcMar>
                  <w:vAlign w:val="center"/>
                </w:tcPr>
                <w:p w14:paraId="01D53F0D">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rPr>
                  </w:pPr>
                </w:p>
              </w:tc>
              <w:tc>
                <w:tcPr>
                  <w:tcW w:w="1603" w:type="dxa"/>
                  <w:vMerge w:val="continue"/>
                  <w:tcBorders>
                    <w:tl2br w:val="nil"/>
                    <w:tr2bl w:val="nil"/>
                  </w:tcBorders>
                  <w:noWrap w:val="0"/>
                  <w:tcMar>
                    <w:left w:w="28" w:type="dxa"/>
                    <w:right w:w="28" w:type="dxa"/>
                  </w:tcMar>
                  <w:vAlign w:val="center"/>
                </w:tcPr>
                <w:p w14:paraId="5934F77D">
                  <w:pPr>
                    <w:jc w:val="center"/>
                    <w:rPr>
                      <w:rFonts w:hint="eastAsia"/>
                      <w:color w:val="auto"/>
                      <w:szCs w:val="21"/>
                      <w:lang w:val="en-US" w:eastAsia="zh-CN"/>
                    </w:rPr>
                  </w:pPr>
                </w:p>
              </w:tc>
              <w:tc>
                <w:tcPr>
                  <w:tcW w:w="2675" w:type="dxa"/>
                  <w:tcBorders>
                    <w:tl2br w:val="nil"/>
                    <w:tr2bl w:val="nil"/>
                  </w:tcBorders>
                  <w:noWrap w:val="0"/>
                  <w:tcMar>
                    <w:left w:w="28" w:type="dxa"/>
                    <w:right w:w="28" w:type="dxa"/>
                  </w:tcMar>
                  <w:vAlign w:val="center"/>
                </w:tcPr>
                <w:p w14:paraId="4E3AEC5E">
                  <w:pPr>
                    <w:widowControl/>
                    <w:jc w:val="center"/>
                    <w:rPr>
                      <w:rFonts w:hint="eastAsia" w:ascii="Times New Roman" w:hAnsi="Times New Roman" w:cs="Times New Roman"/>
                      <w:color w:val="auto"/>
                      <w:kern w:val="0"/>
                      <w:szCs w:val="21"/>
                      <w:lang w:val="en-US" w:eastAsia="zh-CN"/>
                    </w:rPr>
                  </w:pPr>
                  <w:r>
                    <w:rPr>
                      <w:rFonts w:hint="eastAsia" w:cs="Times New Roman"/>
                      <w:color w:val="auto"/>
                      <w:kern w:val="0"/>
                      <w:szCs w:val="21"/>
                      <w:lang w:val="en-US" w:eastAsia="zh-CN"/>
                    </w:rPr>
                    <w:t>颗粒物、二氧化硫、林格曼黑度</w:t>
                  </w:r>
                </w:p>
              </w:tc>
              <w:tc>
                <w:tcPr>
                  <w:tcW w:w="1411" w:type="dxa"/>
                  <w:tcBorders>
                    <w:tl2br w:val="nil"/>
                    <w:tr2bl w:val="nil"/>
                  </w:tcBorders>
                  <w:noWrap w:val="0"/>
                  <w:tcMar>
                    <w:left w:w="28" w:type="dxa"/>
                    <w:right w:w="28" w:type="dxa"/>
                  </w:tcMar>
                  <w:vAlign w:val="center"/>
                </w:tcPr>
                <w:p w14:paraId="6669CBC6">
                  <w:pPr>
                    <w:widowControl/>
                    <w:jc w:val="center"/>
                    <w:rPr>
                      <w:rFonts w:hint="eastAsia"/>
                      <w:color w:val="auto"/>
                      <w:szCs w:val="21"/>
                      <w:lang w:val="en-US" w:eastAsia="zh-CN"/>
                    </w:rPr>
                  </w:pPr>
                  <w:r>
                    <w:rPr>
                      <w:rFonts w:hint="eastAsia"/>
                      <w:color w:val="auto"/>
                      <w:szCs w:val="21"/>
                      <w:lang w:val="en-US" w:eastAsia="zh-CN"/>
                    </w:rPr>
                    <w:t>1次/年</w:t>
                  </w:r>
                </w:p>
              </w:tc>
              <w:tc>
                <w:tcPr>
                  <w:tcW w:w="951" w:type="dxa"/>
                  <w:vMerge w:val="continue"/>
                  <w:tcBorders>
                    <w:tl2br w:val="nil"/>
                    <w:tr2bl w:val="nil"/>
                  </w:tcBorders>
                  <w:noWrap w:val="0"/>
                  <w:tcMar>
                    <w:left w:w="28" w:type="dxa"/>
                    <w:right w:w="28" w:type="dxa"/>
                  </w:tcMar>
                  <w:vAlign w:val="center"/>
                </w:tcPr>
                <w:p w14:paraId="764D533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p>
              </w:tc>
              <w:tc>
                <w:tcPr>
                  <w:tcW w:w="899" w:type="dxa"/>
                  <w:vMerge w:val="continue"/>
                  <w:tcBorders>
                    <w:tl2br w:val="nil"/>
                    <w:tr2bl w:val="nil"/>
                  </w:tcBorders>
                  <w:noWrap w:val="0"/>
                  <w:tcMar>
                    <w:left w:w="28" w:type="dxa"/>
                    <w:right w:w="28" w:type="dxa"/>
                  </w:tcMar>
                  <w:vAlign w:val="center"/>
                </w:tcPr>
                <w:p w14:paraId="6DAD9FF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rPr>
                  </w:pPr>
                </w:p>
              </w:tc>
            </w:tr>
            <w:tr w14:paraId="05FE199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57" w:type="dxa"/>
                  <w:left w:w="108" w:type="dxa"/>
                  <w:bottom w:w="57" w:type="dxa"/>
                  <w:right w:w="108" w:type="dxa"/>
                </w:tblCellMar>
              </w:tblPrEx>
              <w:trPr>
                <w:trHeight w:val="603" w:hRule="atLeast"/>
                <w:jc w:val="center"/>
              </w:trPr>
              <w:tc>
                <w:tcPr>
                  <w:tcW w:w="718" w:type="dxa"/>
                  <w:vMerge w:val="continue"/>
                  <w:tcBorders>
                    <w:tl2br w:val="nil"/>
                    <w:tr2bl w:val="nil"/>
                  </w:tcBorders>
                  <w:noWrap w:val="0"/>
                  <w:tcMar>
                    <w:left w:w="28" w:type="dxa"/>
                    <w:right w:w="28" w:type="dxa"/>
                  </w:tcMar>
                  <w:vAlign w:val="center"/>
                </w:tcPr>
                <w:p w14:paraId="36947F7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p>
              </w:tc>
              <w:tc>
                <w:tcPr>
                  <w:tcW w:w="1603" w:type="dxa"/>
                  <w:tcBorders>
                    <w:tl2br w:val="nil"/>
                    <w:tr2bl w:val="nil"/>
                  </w:tcBorders>
                  <w:noWrap w:val="0"/>
                  <w:tcMar>
                    <w:left w:w="28" w:type="dxa"/>
                    <w:right w:w="28" w:type="dxa"/>
                  </w:tcMar>
                  <w:vAlign w:val="center"/>
                </w:tcPr>
                <w:p w14:paraId="3B2DB65A">
                  <w:pPr>
                    <w:keepNext w:val="0"/>
                    <w:keepLines w:val="0"/>
                    <w:pageBreakBefore w:val="0"/>
                    <w:kinsoku/>
                    <w:wordWrap/>
                    <w:overflowPunct/>
                    <w:topLinePunct w:val="0"/>
                    <w:autoSpaceDE/>
                    <w:autoSpaceDN/>
                    <w:bidi w:val="0"/>
                    <w:spacing w:line="240" w:lineRule="auto"/>
                    <w:ind w:left="0" w:leftChars="0" w:right="0" w:rightChars="0"/>
                    <w:jc w:val="center"/>
                    <w:textAlignment w:val="auto"/>
                    <w:rPr>
                      <w:color w:val="auto"/>
                    </w:rPr>
                  </w:pPr>
                  <w:r>
                    <w:rPr>
                      <w:rFonts w:hint="eastAsia"/>
                      <w:color w:val="auto"/>
                      <w:szCs w:val="21"/>
                      <w:lang w:val="en-US" w:eastAsia="zh-CN"/>
                    </w:rPr>
                    <w:t>污水处理站厂界</w:t>
                  </w:r>
                </w:p>
              </w:tc>
              <w:tc>
                <w:tcPr>
                  <w:tcW w:w="2675" w:type="dxa"/>
                  <w:tcBorders>
                    <w:tl2br w:val="nil"/>
                    <w:tr2bl w:val="nil"/>
                  </w:tcBorders>
                  <w:noWrap w:val="0"/>
                  <w:tcMar>
                    <w:left w:w="28" w:type="dxa"/>
                    <w:right w:w="28" w:type="dxa"/>
                  </w:tcMar>
                  <w:vAlign w:val="center"/>
                </w:tcPr>
                <w:p w14:paraId="16B1D2C9">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硫化氢、氨、臭气浓度</w:t>
                  </w:r>
                </w:p>
              </w:tc>
              <w:tc>
                <w:tcPr>
                  <w:tcW w:w="1411" w:type="dxa"/>
                  <w:tcBorders>
                    <w:tl2br w:val="nil"/>
                    <w:tr2bl w:val="nil"/>
                  </w:tcBorders>
                  <w:noWrap w:val="0"/>
                  <w:tcMar>
                    <w:left w:w="28" w:type="dxa"/>
                    <w:right w:w="28" w:type="dxa"/>
                  </w:tcMar>
                  <w:vAlign w:val="center"/>
                </w:tcPr>
                <w:p w14:paraId="5E619A01">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Cs w:val="21"/>
                      <w:lang w:val="en-US" w:eastAsia="zh-CN"/>
                    </w:rPr>
                    <w:t>1次/半年</w:t>
                  </w:r>
                </w:p>
              </w:tc>
              <w:tc>
                <w:tcPr>
                  <w:tcW w:w="951" w:type="dxa"/>
                  <w:vMerge w:val="continue"/>
                  <w:tcBorders>
                    <w:tl2br w:val="nil"/>
                    <w:tr2bl w:val="nil"/>
                  </w:tcBorders>
                  <w:noWrap w:val="0"/>
                  <w:tcMar>
                    <w:left w:w="28" w:type="dxa"/>
                    <w:right w:w="28" w:type="dxa"/>
                  </w:tcMar>
                  <w:vAlign w:val="center"/>
                </w:tcPr>
                <w:p w14:paraId="566616F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p>
              </w:tc>
              <w:tc>
                <w:tcPr>
                  <w:tcW w:w="899" w:type="dxa"/>
                  <w:vMerge w:val="continue"/>
                  <w:tcBorders>
                    <w:tl2br w:val="nil"/>
                    <w:tr2bl w:val="nil"/>
                  </w:tcBorders>
                  <w:noWrap w:val="0"/>
                  <w:tcMar>
                    <w:left w:w="28" w:type="dxa"/>
                    <w:right w:w="28" w:type="dxa"/>
                  </w:tcMar>
                  <w:vAlign w:val="center"/>
                </w:tcPr>
                <w:p w14:paraId="1768B37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p>
              </w:tc>
            </w:tr>
            <w:tr w14:paraId="74A96B0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57" w:type="dxa"/>
                  <w:left w:w="108" w:type="dxa"/>
                  <w:bottom w:w="57" w:type="dxa"/>
                  <w:right w:w="108" w:type="dxa"/>
                </w:tblCellMar>
              </w:tblPrEx>
              <w:trPr>
                <w:trHeight w:val="513" w:hRule="atLeast"/>
                <w:jc w:val="center"/>
              </w:trPr>
              <w:tc>
                <w:tcPr>
                  <w:tcW w:w="718" w:type="dxa"/>
                  <w:tcBorders>
                    <w:tl2br w:val="nil"/>
                    <w:tr2bl w:val="nil"/>
                  </w:tcBorders>
                  <w:noWrap w:val="0"/>
                  <w:tcMar>
                    <w:left w:w="28" w:type="dxa"/>
                    <w:right w:w="28" w:type="dxa"/>
                  </w:tcMar>
                  <w:vAlign w:val="center"/>
                </w:tcPr>
                <w:p w14:paraId="38572EBE">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宋体"/>
                      <w:color w:val="auto"/>
                      <w:lang w:val="en-US" w:eastAsia="zh-CN"/>
                    </w:rPr>
                  </w:pPr>
                  <w:r>
                    <w:rPr>
                      <w:rFonts w:hint="eastAsia"/>
                      <w:color w:val="auto"/>
                      <w:lang w:val="en-US" w:eastAsia="zh-CN"/>
                    </w:rPr>
                    <w:t>废水</w:t>
                  </w:r>
                </w:p>
              </w:tc>
              <w:tc>
                <w:tcPr>
                  <w:tcW w:w="1603" w:type="dxa"/>
                  <w:tcBorders>
                    <w:tl2br w:val="nil"/>
                    <w:tr2bl w:val="nil"/>
                  </w:tcBorders>
                  <w:noWrap w:val="0"/>
                  <w:tcMar>
                    <w:left w:w="28" w:type="dxa"/>
                    <w:right w:w="28" w:type="dxa"/>
                  </w:tcMar>
                  <w:vAlign w:val="center"/>
                </w:tcPr>
                <w:p w14:paraId="456BEC42">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color w:val="auto"/>
                      <w:szCs w:val="21"/>
                      <w:lang w:val="en-US" w:eastAsia="zh-CN"/>
                    </w:rPr>
                  </w:pPr>
                  <w:r>
                    <w:rPr>
                      <w:rFonts w:hint="eastAsia"/>
                      <w:color w:val="auto"/>
                      <w:szCs w:val="21"/>
                      <w:lang w:val="en-US" w:eastAsia="zh-CN"/>
                    </w:rPr>
                    <w:t>DW001</w:t>
                  </w:r>
                </w:p>
              </w:tc>
              <w:tc>
                <w:tcPr>
                  <w:tcW w:w="2675" w:type="dxa"/>
                  <w:tcBorders>
                    <w:tl2br w:val="nil"/>
                    <w:tr2bl w:val="nil"/>
                  </w:tcBorders>
                  <w:noWrap w:val="0"/>
                  <w:tcMar>
                    <w:left w:w="28" w:type="dxa"/>
                    <w:right w:w="28" w:type="dxa"/>
                  </w:tcMar>
                  <w:vAlign w:val="center"/>
                </w:tcPr>
                <w:p w14:paraId="39EC943B">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eastAsia="宋体"/>
                      <w:color w:val="auto"/>
                      <w:szCs w:val="21"/>
                      <w:lang w:val="en-US" w:eastAsia="zh-CN"/>
                    </w:rPr>
                  </w:pPr>
                  <w:r>
                    <w:rPr>
                      <w:rFonts w:hint="eastAsia"/>
                      <w:color w:val="auto"/>
                      <w:szCs w:val="21"/>
                      <w:lang w:val="en-US" w:eastAsia="zh-CN"/>
                    </w:rPr>
                    <w:t>pH、CODcr、BOD5、SS、</w:t>
                  </w:r>
                  <w:r>
                    <w:rPr>
                      <w:color w:val="auto"/>
                      <w:sz w:val="21"/>
                      <w:szCs w:val="21"/>
                      <w:lang w:eastAsia="en-US"/>
                    </w:rPr>
                    <w:t>NH</w:t>
                  </w:r>
                  <w:r>
                    <w:rPr>
                      <w:color w:val="auto"/>
                      <w:sz w:val="21"/>
                      <w:szCs w:val="21"/>
                      <w:vertAlign w:val="subscript"/>
                      <w:lang w:eastAsia="en-US"/>
                    </w:rPr>
                    <w:t>3</w:t>
                  </w:r>
                  <w:r>
                    <w:rPr>
                      <w:color w:val="auto"/>
                      <w:sz w:val="21"/>
                      <w:szCs w:val="21"/>
                      <w:lang w:eastAsia="en-US"/>
                    </w:rPr>
                    <w:t>-N</w:t>
                  </w:r>
                  <w:r>
                    <w:rPr>
                      <w:rFonts w:hint="eastAsia"/>
                      <w:color w:val="auto"/>
                      <w:sz w:val="21"/>
                      <w:szCs w:val="21"/>
                      <w:lang w:eastAsia="zh-CN"/>
                    </w:rPr>
                    <w:t>、</w:t>
                  </w:r>
                  <w:r>
                    <w:rPr>
                      <w:rFonts w:hint="eastAsia"/>
                      <w:color w:val="auto"/>
                      <w:sz w:val="21"/>
                      <w:szCs w:val="21"/>
                      <w:lang w:val="en-US" w:eastAsia="zh-CN"/>
                    </w:rPr>
                    <w:t>TP、TN、动植物油</w:t>
                  </w:r>
                </w:p>
              </w:tc>
              <w:tc>
                <w:tcPr>
                  <w:tcW w:w="1411" w:type="dxa"/>
                  <w:tcBorders>
                    <w:tl2br w:val="nil"/>
                    <w:tr2bl w:val="nil"/>
                  </w:tcBorders>
                  <w:noWrap w:val="0"/>
                  <w:tcMar>
                    <w:left w:w="28" w:type="dxa"/>
                    <w:right w:w="28" w:type="dxa"/>
                  </w:tcMar>
                  <w:vAlign w:val="center"/>
                </w:tcPr>
                <w:p w14:paraId="72500E5B">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hint="default"/>
                      <w:color w:val="auto"/>
                      <w:szCs w:val="21"/>
                      <w:lang w:val="en-US" w:eastAsia="zh-CN"/>
                    </w:rPr>
                  </w:pPr>
                  <w:r>
                    <w:rPr>
                      <w:rFonts w:hint="eastAsia"/>
                      <w:color w:val="auto"/>
                      <w:szCs w:val="21"/>
                      <w:lang w:val="en-US" w:eastAsia="zh-CN"/>
                    </w:rPr>
                    <w:t>1次/半年</w:t>
                  </w:r>
                </w:p>
              </w:tc>
              <w:tc>
                <w:tcPr>
                  <w:tcW w:w="951" w:type="dxa"/>
                  <w:vMerge w:val="continue"/>
                  <w:tcBorders>
                    <w:tl2br w:val="nil"/>
                    <w:tr2bl w:val="nil"/>
                  </w:tcBorders>
                  <w:noWrap w:val="0"/>
                  <w:tcMar>
                    <w:left w:w="28" w:type="dxa"/>
                    <w:right w:w="28" w:type="dxa"/>
                  </w:tcMar>
                  <w:vAlign w:val="center"/>
                </w:tcPr>
                <w:p w14:paraId="544DED0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p>
              </w:tc>
              <w:tc>
                <w:tcPr>
                  <w:tcW w:w="899" w:type="dxa"/>
                  <w:vMerge w:val="continue"/>
                  <w:tcBorders>
                    <w:tl2br w:val="nil"/>
                    <w:tr2bl w:val="nil"/>
                  </w:tcBorders>
                  <w:noWrap w:val="0"/>
                  <w:tcMar>
                    <w:left w:w="28" w:type="dxa"/>
                    <w:right w:w="28" w:type="dxa"/>
                  </w:tcMar>
                  <w:vAlign w:val="center"/>
                </w:tcPr>
                <w:p w14:paraId="6B81729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p>
              </w:tc>
            </w:tr>
            <w:tr w14:paraId="0C3DD3D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57" w:type="dxa"/>
                  <w:left w:w="108" w:type="dxa"/>
                  <w:bottom w:w="57" w:type="dxa"/>
                  <w:right w:w="108" w:type="dxa"/>
                </w:tblCellMar>
              </w:tblPrEx>
              <w:trPr>
                <w:trHeight w:val="563" w:hRule="atLeast"/>
                <w:jc w:val="center"/>
              </w:trPr>
              <w:tc>
                <w:tcPr>
                  <w:tcW w:w="718" w:type="dxa"/>
                  <w:tcBorders>
                    <w:tl2br w:val="nil"/>
                    <w:tr2bl w:val="nil"/>
                  </w:tcBorders>
                  <w:noWrap w:val="0"/>
                  <w:tcMar>
                    <w:left w:w="28" w:type="dxa"/>
                    <w:right w:w="28" w:type="dxa"/>
                  </w:tcMar>
                  <w:vAlign w:val="center"/>
                </w:tcPr>
                <w:p w14:paraId="491F90E6">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宋体"/>
                      <w:color w:val="auto"/>
                      <w:lang w:val="en-US" w:eastAsia="zh-CN"/>
                    </w:rPr>
                  </w:pPr>
                  <w:r>
                    <w:rPr>
                      <w:rFonts w:hint="eastAsia"/>
                      <w:color w:val="auto"/>
                      <w:lang w:val="en-US" w:eastAsia="zh-CN"/>
                    </w:rPr>
                    <w:t>噪声</w:t>
                  </w:r>
                </w:p>
              </w:tc>
              <w:tc>
                <w:tcPr>
                  <w:tcW w:w="1603" w:type="dxa"/>
                  <w:tcBorders>
                    <w:tl2br w:val="nil"/>
                    <w:tr2bl w:val="nil"/>
                  </w:tcBorders>
                  <w:noWrap w:val="0"/>
                  <w:tcMar>
                    <w:left w:w="28" w:type="dxa"/>
                    <w:right w:w="28" w:type="dxa"/>
                  </w:tcMar>
                  <w:vAlign w:val="center"/>
                </w:tcPr>
                <w:p w14:paraId="4A3EEF5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color w:val="auto"/>
                      <w:lang w:val="en-US" w:eastAsia="zh-CN"/>
                    </w:rPr>
                  </w:pPr>
                  <w:r>
                    <w:rPr>
                      <w:rFonts w:hint="eastAsia"/>
                      <w:color w:val="auto"/>
                      <w:lang w:val="en-US" w:eastAsia="zh-CN"/>
                    </w:rPr>
                    <w:t>厂界</w:t>
                  </w:r>
                </w:p>
              </w:tc>
              <w:tc>
                <w:tcPr>
                  <w:tcW w:w="2675" w:type="dxa"/>
                  <w:tcBorders>
                    <w:tl2br w:val="nil"/>
                    <w:tr2bl w:val="nil"/>
                  </w:tcBorders>
                  <w:noWrap w:val="0"/>
                  <w:tcMar>
                    <w:left w:w="28" w:type="dxa"/>
                    <w:right w:w="28" w:type="dxa"/>
                  </w:tcMar>
                  <w:vAlign w:val="center"/>
                </w:tcPr>
                <w:p w14:paraId="259BECE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color w:val="auto"/>
                    </w:rPr>
                  </w:pPr>
                  <w:r>
                    <w:rPr>
                      <w:rFonts w:hint="default" w:ascii="Times New Roman" w:hAnsi="Times New Roman" w:eastAsia="宋体" w:cs="Times New Roman"/>
                      <w:color w:val="auto"/>
                      <w:kern w:val="2"/>
                      <w:sz w:val="21"/>
                      <w:szCs w:val="21"/>
                      <w:lang w:val="en-US" w:eastAsia="zh-CN" w:bidi="ar-SA"/>
                    </w:rPr>
                    <w:t>等效连续A声级</w:t>
                  </w:r>
                </w:p>
              </w:tc>
              <w:tc>
                <w:tcPr>
                  <w:tcW w:w="1411" w:type="dxa"/>
                  <w:tcBorders>
                    <w:tl2br w:val="nil"/>
                    <w:tr2bl w:val="nil"/>
                  </w:tcBorders>
                  <w:noWrap w:val="0"/>
                  <w:tcMar>
                    <w:left w:w="28" w:type="dxa"/>
                    <w:right w:w="28" w:type="dxa"/>
                  </w:tcMar>
                  <w:vAlign w:val="center"/>
                </w:tcPr>
                <w:p w14:paraId="55D6587F">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color w:val="auto"/>
                      <w:lang w:val="en-US" w:eastAsia="zh-CN"/>
                    </w:rPr>
                  </w:pPr>
                  <w:r>
                    <w:rPr>
                      <w:rFonts w:hint="default" w:ascii="Times New Roman" w:hAnsi="Times New Roman" w:eastAsia="宋体" w:cs="Times New Roman"/>
                      <w:color w:val="auto"/>
                      <w:kern w:val="2"/>
                      <w:sz w:val="21"/>
                      <w:szCs w:val="21"/>
                      <w:lang w:val="en-US" w:eastAsia="zh-CN" w:bidi="ar-SA"/>
                    </w:rPr>
                    <w:t>1次/季度</w:t>
                  </w:r>
                </w:p>
              </w:tc>
              <w:tc>
                <w:tcPr>
                  <w:tcW w:w="951" w:type="dxa"/>
                  <w:vMerge w:val="continue"/>
                  <w:tcBorders>
                    <w:tl2br w:val="nil"/>
                    <w:tr2bl w:val="nil"/>
                  </w:tcBorders>
                  <w:noWrap w:val="0"/>
                  <w:tcMar>
                    <w:left w:w="28" w:type="dxa"/>
                    <w:right w:w="28" w:type="dxa"/>
                  </w:tcMar>
                  <w:vAlign w:val="center"/>
                </w:tcPr>
                <w:p w14:paraId="1188707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p>
              </w:tc>
              <w:tc>
                <w:tcPr>
                  <w:tcW w:w="899" w:type="dxa"/>
                  <w:vMerge w:val="continue"/>
                  <w:tcBorders>
                    <w:tl2br w:val="nil"/>
                    <w:tr2bl w:val="nil"/>
                  </w:tcBorders>
                  <w:noWrap w:val="0"/>
                  <w:tcMar>
                    <w:left w:w="28" w:type="dxa"/>
                    <w:right w:w="28" w:type="dxa"/>
                  </w:tcMar>
                  <w:vAlign w:val="center"/>
                </w:tcPr>
                <w:p w14:paraId="4D16F9AC">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color w:val="auto"/>
                    </w:rPr>
                  </w:pPr>
                </w:p>
              </w:tc>
            </w:tr>
          </w:tbl>
          <w:p w14:paraId="0A2639EB">
            <w:pPr>
              <w:widowControl w:val="0"/>
              <w:bidi w:val="0"/>
              <w:spacing w:line="360" w:lineRule="auto"/>
              <w:ind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八</w:t>
            </w:r>
            <w:r>
              <w:rPr>
                <w:rFonts w:hint="eastAsia" w:ascii="Times New Roman" w:hAnsi="Times New Roman" w:eastAsia="宋体" w:cs="Times New Roman"/>
                <w:b/>
                <w:bCs/>
                <w:color w:val="auto"/>
                <w:kern w:val="2"/>
                <w:sz w:val="24"/>
                <w:szCs w:val="24"/>
                <w:lang w:val="en-US" w:eastAsia="zh-CN" w:bidi="ar-SA"/>
              </w:rPr>
              <w:t>）环保设施及投资估算</w:t>
            </w:r>
          </w:p>
          <w:p w14:paraId="7BA82CF8">
            <w:pPr>
              <w:pStyle w:val="129"/>
              <w:bidi w:val="0"/>
              <w:jc w:val="center"/>
              <w:rPr>
                <w:color w:val="auto"/>
              </w:rPr>
            </w:pPr>
            <w:r>
              <w:rPr>
                <w:color w:val="auto"/>
              </w:rPr>
              <w:t>表</w:t>
            </w:r>
            <w:r>
              <w:rPr>
                <w:rFonts w:hint="eastAsia"/>
                <w:color w:val="auto"/>
                <w:lang w:val="en-US" w:eastAsia="zh-CN"/>
              </w:rPr>
              <w:t xml:space="preserve">4-39  </w:t>
            </w:r>
            <w:r>
              <w:rPr>
                <w:color w:val="auto"/>
              </w:rPr>
              <w:t>环保投资估算表</w:t>
            </w:r>
          </w:p>
          <w:tbl>
            <w:tblPr>
              <w:tblStyle w:val="3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0"/>
              <w:gridCol w:w="958"/>
              <w:gridCol w:w="1473"/>
              <w:gridCol w:w="3550"/>
              <w:gridCol w:w="1752"/>
            </w:tblGrid>
            <w:tr w14:paraId="50BD5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60" w:type="pct"/>
                  <w:gridSpan w:val="2"/>
                  <w:tcBorders>
                    <w:tl2br w:val="nil"/>
                    <w:tr2bl w:val="nil"/>
                  </w:tcBorders>
                  <w:noWrap w:val="0"/>
                  <w:vAlign w:val="center"/>
                </w:tcPr>
                <w:p w14:paraId="1DB65681">
                  <w:pPr>
                    <w:pStyle w:val="126"/>
                    <w:bidi w:val="0"/>
                    <w:rPr>
                      <w:color w:val="auto"/>
                    </w:rPr>
                  </w:pPr>
                  <w:r>
                    <w:rPr>
                      <w:color w:val="auto"/>
                    </w:rPr>
                    <w:t>类别</w:t>
                  </w:r>
                </w:p>
              </w:tc>
              <w:tc>
                <w:tcPr>
                  <w:tcW w:w="900" w:type="pct"/>
                  <w:tcBorders>
                    <w:tl2br w:val="nil"/>
                    <w:tr2bl w:val="nil"/>
                  </w:tcBorders>
                  <w:noWrap w:val="0"/>
                  <w:vAlign w:val="center"/>
                </w:tcPr>
                <w:p w14:paraId="59B6079F">
                  <w:pPr>
                    <w:pStyle w:val="126"/>
                    <w:bidi w:val="0"/>
                    <w:rPr>
                      <w:color w:val="auto"/>
                    </w:rPr>
                  </w:pPr>
                  <w:r>
                    <w:rPr>
                      <w:color w:val="auto"/>
                    </w:rPr>
                    <w:t>名称</w:t>
                  </w:r>
                </w:p>
              </w:tc>
              <w:tc>
                <w:tcPr>
                  <w:tcW w:w="2169" w:type="pct"/>
                  <w:tcBorders>
                    <w:tl2br w:val="nil"/>
                    <w:tr2bl w:val="nil"/>
                  </w:tcBorders>
                  <w:noWrap w:val="0"/>
                  <w:vAlign w:val="center"/>
                </w:tcPr>
                <w:p w14:paraId="036C5AE8">
                  <w:pPr>
                    <w:pStyle w:val="126"/>
                    <w:bidi w:val="0"/>
                    <w:rPr>
                      <w:color w:val="auto"/>
                    </w:rPr>
                  </w:pPr>
                  <w:r>
                    <w:rPr>
                      <w:color w:val="auto"/>
                    </w:rPr>
                    <w:t>治理措施</w:t>
                  </w:r>
                </w:p>
              </w:tc>
              <w:tc>
                <w:tcPr>
                  <w:tcW w:w="1070" w:type="pct"/>
                  <w:tcBorders>
                    <w:tl2br w:val="nil"/>
                    <w:tr2bl w:val="nil"/>
                  </w:tcBorders>
                  <w:noWrap w:val="0"/>
                  <w:vAlign w:val="center"/>
                </w:tcPr>
                <w:p w14:paraId="0204A154">
                  <w:pPr>
                    <w:pStyle w:val="126"/>
                    <w:bidi w:val="0"/>
                    <w:rPr>
                      <w:color w:val="auto"/>
                    </w:rPr>
                  </w:pPr>
                  <w:r>
                    <w:rPr>
                      <w:color w:val="auto"/>
                    </w:rPr>
                    <w:t>环保投资（万元）</w:t>
                  </w:r>
                </w:p>
              </w:tc>
            </w:tr>
            <w:tr w14:paraId="3538E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274" w:type="pct"/>
                  <w:vMerge w:val="restart"/>
                  <w:tcBorders>
                    <w:tl2br w:val="nil"/>
                    <w:tr2bl w:val="nil"/>
                  </w:tcBorders>
                  <w:noWrap w:val="0"/>
                  <w:vAlign w:val="center"/>
                </w:tcPr>
                <w:p w14:paraId="2DFD9963">
                  <w:pPr>
                    <w:pStyle w:val="127"/>
                    <w:bidi w:val="0"/>
                    <w:rPr>
                      <w:rFonts w:hint="eastAsia"/>
                      <w:color w:val="auto"/>
                      <w:lang w:val="en-US" w:eastAsia="zh-CN"/>
                    </w:rPr>
                  </w:pPr>
                  <w:r>
                    <w:rPr>
                      <w:rFonts w:hint="eastAsia"/>
                      <w:color w:val="auto"/>
                      <w:lang w:val="en-US" w:eastAsia="zh-CN"/>
                    </w:rPr>
                    <w:t>运</w:t>
                  </w:r>
                </w:p>
                <w:p w14:paraId="0B78212C">
                  <w:pPr>
                    <w:pStyle w:val="127"/>
                    <w:bidi w:val="0"/>
                    <w:rPr>
                      <w:rFonts w:hint="eastAsia"/>
                      <w:color w:val="auto"/>
                      <w:lang w:val="en-US" w:eastAsia="zh-CN"/>
                    </w:rPr>
                  </w:pPr>
                  <w:r>
                    <w:rPr>
                      <w:rFonts w:hint="eastAsia"/>
                      <w:color w:val="auto"/>
                      <w:lang w:val="en-US" w:eastAsia="zh-CN"/>
                    </w:rPr>
                    <w:t>营</w:t>
                  </w:r>
                </w:p>
                <w:p w14:paraId="51DC66B4">
                  <w:pPr>
                    <w:pStyle w:val="127"/>
                    <w:bidi w:val="0"/>
                    <w:rPr>
                      <w:rFonts w:hint="eastAsia" w:eastAsia="宋体"/>
                      <w:color w:val="auto"/>
                      <w:lang w:val="en-US" w:eastAsia="zh-CN"/>
                    </w:rPr>
                  </w:pPr>
                  <w:r>
                    <w:rPr>
                      <w:rFonts w:hint="eastAsia"/>
                      <w:color w:val="auto"/>
                      <w:lang w:val="en-US" w:eastAsia="zh-CN"/>
                    </w:rPr>
                    <w:t>期</w:t>
                  </w:r>
                </w:p>
              </w:tc>
              <w:tc>
                <w:tcPr>
                  <w:tcW w:w="585" w:type="pct"/>
                  <w:vMerge w:val="restart"/>
                  <w:tcBorders>
                    <w:tl2br w:val="nil"/>
                    <w:tr2bl w:val="nil"/>
                  </w:tcBorders>
                  <w:noWrap w:val="0"/>
                  <w:vAlign w:val="center"/>
                </w:tcPr>
                <w:p w14:paraId="78611E6C">
                  <w:pPr>
                    <w:pStyle w:val="127"/>
                    <w:bidi w:val="0"/>
                    <w:rPr>
                      <w:rFonts w:hint="eastAsia" w:eastAsia="宋体"/>
                      <w:color w:val="auto"/>
                      <w:lang w:val="en-US" w:eastAsia="zh-CN"/>
                    </w:rPr>
                  </w:pPr>
                  <w:r>
                    <w:rPr>
                      <w:rFonts w:hint="eastAsia"/>
                      <w:color w:val="auto"/>
                      <w:lang w:val="en-US" w:eastAsia="zh-CN"/>
                    </w:rPr>
                    <w:t>废气</w:t>
                  </w:r>
                </w:p>
              </w:tc>
              <w:tc>
                <w:tcPr>
                  <w:tcW w:w="900" w:type="pct"/>
                  <w:tcBorders>
                    <w:tl2br w:val="nil"/>
                    <w:tr2bl w:val="nil"/>
                  </w:tcBorders>
                  <w:noWrap w:val="0"/>
                  <w:vAlign w:val="center"/>
                </w:tcPr>
                <w:p w14:paraId="08D603B1">
                  <w:pPr>
                    <w:pStyle w:val="127"/>
                    <w:bidi w:val="0"/>
                    <w:rPr>
                      <w:rFonts w:hint="default"/>
                      <w:color w:val="auto"/>
                      <w:sz w:val="21"/>
                      <w:szCs w:val="21"/>
                      <w:lang w:val="en-US" w:eastAsia="zh-CN"/>
                    </w:rPr>
                  </w:pPr>
                  <w:r>
                    <w:rPr>
                      <w:rFonts w:hint="eastAsia"/>
                      <w:color w:val="auto"/>
                      <w:sz w:val="21"/>
                      <w:szCs w:val="21"/>
                      <w:lang w:val="en-US" w:eastAsia="zh-CN"/>
                    </w:rPr>
                    <w:t>油烟</w:t>
                  </w:r>
                </w:p>
              </w:tc>
              <w:tc>
                <w:tcPr>
                  <w:tcW w:w="2169" w:type="pct"/>
                  <w:tcBorders>
                    <w:tl2br w:val="nil"/>
                    <w:tr2bl w:val="nil"/>
                  </w:tcBorders>
                  <w:noWrap w:val="0"/>
                  <w:vAlign w:val="center"/>
                </w:tcPr>
                <w:p w14:paraId="2DCF06F0">
                  <w:pPr>
                    <w:pStyle w:val="127"/>
                    <w:bidi w:val="0"/>
                    <w:rPr>
                      <w:rFonts w:hint="default" w:eastAsia="宋体"/>
                      <w:color w:val="auto"/>
                      <w:sz w:val="21"/>
                      <w:szCs w:val="21"/>
                      <w:lang w:val="en-US" w:eastAsia="zh-CN"/>
                    </w:rPr>
                  </w:pPr>
                  <w:r>
                    <w:rPr>
                      <w:rFonts w:hint="eastAsia" w:ascii="Times New Roman" w:cs="Times New Roman"/>
                      <w:b w:val="0"/>
                      <w:bCs w:val="0"/>
                      <w:color w:val="auto"/>
                      <w:kern w:val="24"/>
                      <w:sz w:val="21"/>
                      <w:szCs w:val="21"/>
                      <w:lang w:val="en-US" w:eastAsia="zh-CN" w:bidi="ar-SA"/>
                    </w:rPr>
                    <w:t>静电油烟净化装置</w:t>
                  </w:r>
                  <w:r>
                    <w:rPr>
                      <w:rFonts w:hint="eastAsia"/>
                      <w:color w:val="auto"/>
                      <w:sz w:val="21"/>
                      <w:szCs w:val="21"/>
                      <w:lang w:val="en-US" w:eastAsia="zh-CN"/>
                    </w:rPr>
                    <w:t>、风机、排气筒</w:t>
                  </w:r>
                </w:p>
              </w:tc>
              <w:tc>
                <w:tcPr>
                  <w:tcW w:w="1070" w:type="pct"/>
                  <w:tcBorders>
                    <w:tl2br w:val="nil"/>
                    <w:tr2bl w:val="nil"/>
                  </w:tcBorders>
                  <w:noWrap w:val="0"/>
                  <w:vAlign w:val="center"/>
                </w:tcPr>
                <w:p w14:paraId="03A7F6BC">
                  <w:pPr>
                    <w:pStyle w:val="127"/>
                    <w:bidi w:val="0"/>
                    <w:rPr>
                      <w:rFonts w:hint="default"/>
                      <w:color w:val="auto"/>
                      <w:sz w:val="21"/>
                      <w:szCs w:val="21"/>
                      <w:lang w:val="en-US" w:eastAsia="zh-CN"/>
                    </w:rPr>
                  </w:pPr>
                  <w:r>
                    <w:rPr>
                      <w:rFonts w:hint="eastAsia"/>
                      <w:color w:val="auto"/>
                      <w:sz w:val="21"/>
                      <w:szCs w:val="21"/>
                      <w:lang w:val="en-US" w:eastAsia="zh-CN"/>
                    </w:rPr>
                    <w:t>50</w:t>
                  </w:r>
                </w:p>
              </w:tc>
            </w:tr>
            <w:tr w14:paraId="3E54A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274" w:type="pct"/>
                  <w:vMerge w:val="continue"/>
                  <w:tcBorders>
                    <w:tl2br w:val="nil"/>
                    <w:tr2bl w:val="nil"/>
                  </w:tcBorders>
                  <w:noWrap w:val="0"/>
                  <w:vAlign w:val="center"/>
                </w:tcPr>
                <w:p w14:paraId="22924111">
                  <w:pPr>
                    <w:pStyle w:val="127"/>
                    <w:bidi w:val="0"/>
                    <w:rPr>
                      <w:color w:val="auto"/>
                    </w:rPr>
                  </w:pPr>
                </w:p>
              </w:tc>
              <w:tc>
                <w:tcPr>
                  <w:tcW w:w="585" w:type="pct"/>
                  <w:vMerge w:val="continue"/>
                  <w:tcBorders>
                    <w:tl2br w:val="nil"/>
                    <w:tr2bl w:val="nil"/>
                  </w:tcBorders>
                  <w:noWrap w:val="0"/>
                  <w:vAlign w:val="center"/>
                </w:tcPr>
                <w:p w14:paraId="4F0AC2AD">
                  <w:pPr>
                    <w:pStyle w:val="127"/>
                    <w:bidi w:val="0"/>
                    <w:rPr>
                      <w:color w:val="auto"/>
                    </w:rPr>
                  </w:pPr>
                </w:p>
              </w:tc>
              <w:tc>
                <w:tcPr>
                  <w:tcW w:w="900" w:type="pct"/>
                  <w:tcBorders>
                    <w:tl2br w:val="nil"/>
                    <w:tr2bl w:val="nil"/>
                  </w:tcBorders>
                  <w:noWrap w:val="0"/>
                  <w:vAlign w:val="center"/>
                </w:tcPr>
                <w:p w14:paraId="2F54556C">
                  <w:pPr>
                    <w:pStyle w:val="127"/>
                    <w:bidi w:val="0"/>
                    <w:rPr>
                      <w:rFonts w:hint="default" w:eastAsia="宋体"/>
                      <w:color w:val="auto"/>
                      <w:sz w:val="21"/>
                      <w:szCs w:val="21"/>
                      <w:lang w:val="en-US" w:eastAsia="zh-CN"/>
                    </w:rPr>
                  </w:pPr>
                  <w:r>
                    <w:rPr>
                      <w:rFonts w:hint="eastAsia" w:cs="Times New Roman"/>
                      <w:color w:val="auto"/>
                      <w:kern w:val="0"/>
                      <w:sz w:val="21"/>
                      <w:szCs w:val="21"/>
                      <w:lang w:val="en-US" w:eastAsia="zh-CN"/>
                    </w:rPr>
                    <w:t>颗粒物、二氧化硫、氮氧化物</w:t>
                  </w:r>
                </w:p>
              </w:tc>
              <w:tc>
                <w:tcPr>
                  <w:tcW w:w="2169" w:type="pct"/>
                  <w:tcBorders>
                    <w:tl2br w:val="nil"/>
                    <w:tr2bl w:val="nil"/>
                  </w:tcBorders>
                  <w:noWrap w:val="0"/>
                  <w:vAlign w:val="center"/>
                </w:tcPr>
                <w:p w14:paraId="75797DF7">
                  <w:pPr>
                    <w:pStyle w:val="127"/>
                    <w:bidi w:val="0"/>
                    <w:rPr>
                      <w:rFonts w:hint="default" w:eastAsia="宋体"/>
                      <w:color w:val="auto"/>
                      <w:sz w:val="21"/>
                      <w:szCs w:val="21"/>
                      <w:lang w:val="en-US" w:eastAsia="zh-CN"/>
                    </w:rPr>
                  </w:pPr>
                  <w:r>
                    <w:rPr>
                      <w:rFonts w:hint="eastAsia"/>
                      <w:color w:val="auto"/>
                      <w:sz w:val="21"/>
                      <w:szCs w:val="21"/>
                      <w:lang w:val="en-US" w:eastAsia="zh-CN"/>
                    </w:rPr>
                    <w:t>风机、排气筒</w:t>
                  </w:r>
                </w:p>
              </w:tc>
              <w:tc>
                <w:tcPr>
                  <w:tcW w:w="1070" w:type="pct"/>
                  <w:tcBorders>
                    <w:tl2br w:val="nil"/>
                    <w:tr2bl w:val="nil"/>
                  </w:tcBorders>
                  <w:noWrap w:val="0"/>
                  <w:vAlign w:val="center"/>
                </w:tcPr>
                <w:p w14:paraId="5C36B6FD">
                  <w:pPr>
                    <w:pStyle w:val="127"/>
                    <w:bidi w:val="0"/>
                    <w:rPr>
                      <w:rFonts w:hint="default"/>
                      <w:color w:val="auto"/>
                      <w:sz w:val="21"/>
                      <w:szCs w:val="21"/>
                      <w:lang w:val="en-US" w:eastAsia="zh-CN"/>
                    </w:rPr>
                  </w:pPr>
                  <w:r>
                    <w:rPr>
                      <w:rFonts w:hint="eastAsia"/>
                      <w:color w:val="auto"/>
                      <w:sz w:val="21"/>
                      <w:szCs w:val="21"/>
                      <w:lang w:val="en-US" w:eastAsia="zh-CN"/>
                    </w:rPr>
                    <w:t>20</w:t>
                  </w:r>
                </w:p>
              </w:tc>
            </w:tr>
            <w:tr w14:paraId="366F3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274" w:type="pct"/>
                  <w:vMerge w:val="continue"/>
                  <w:tcBorders>
                    <w:tl2br w:val="nil"/>
                    <w:tr2bl w:val="nil"/>
                  </w:tcBorders>
                  <w:noWrap w:val="0"/>
                  <w:vAlign w:val="center"/>
                </w:tcPr>
                <w:p w14:paraId="55A1A4EF">
                  <w:pPr>
                    <w:pStyle w:val="127"/>
                    <w:bidi w:val="0"/>
                    <w:rPr>
                      <w:color w:val="auto"/>
                    </w:rPr>
                  </w:pPr>
                </w:p>
              </w:tc>
              <w:tc>
                <w:tcPr>
                  <w:tcW w:w="585" w:type="pct"/>
                  <w:vMerge w:val="continue"/>
                  <w:tcBorders>
                    <w:tl2br w:val="nil"/>
                    <w:tr2bl w:val="nil"/>
                  </w:tcBorders>
                  <w:noWrap w:val="0"/>
                  <w:vAlign w:val="center"/>
                </w:tcPr>
                <w:p w14:paraId="3D22D9F7">
                  <w:pPr>
                    <w:pStyle w:val="127"/>
                    <w:bidi w:val="0"/>
                    <w:rPr>
                      <w:color w:val="auto"/>
                    </w:rPr>
                  </w:pPr>
                </w:p>
              </w:tc>
              <w:tc>
                <w:tcPr>
                  <w:tcW w:w="900" w:type="pct"/>
                  <w:tcBorders>
                    <w:tl2br w:val="nil"/>
                    <w:tr2bl w:val="nil"/>
                  </w:tcBorders>
                  <w:noWrap w:val="0"/>
                  <w:vAlign w:val="center"/>
                </w:tcPr>
                <w:p w14:paraId="30E91114">
                  <w:pPr>
                    <w:pStyle w:val="127"/>
                    <w:bidi w:val="0"/>
                    <w:rPr>
                      <w:rFonts w:hint="default"/>
                      <w:color w:val="auto"/>
                      <w:sz w:val="21"/>
                      <w:szCs w:val="21"/>
                      <w:lang w:val="en-US" w:eastAsia="zh-CN"/>
                    </w:rPr>
                  </w:pPr>
                  <w:r>
                    <w:rPr>
                      <w:rFonts w:hint="eastAsia"/>
                      <w:color w:val="auto"/>
                      <w:sz w:val="21"/>
                      <w:szCs w:val="21"/>
                      <w:lang w:val="en-US" w:eastAsia="zh-CN"/>
                    </w:rPr>
                    <w:t>硫化氢、氨、臭气浓度</w:t>
                  </w:r>
                </w:p>
              </w:tc>
              <w:tc>
                <w:tcPr>
                  <w:tcW w:w="2169" w:type="pct"/>
                  <w:tcBorders>
                    <w:tl2br w:val="nil"/>
                    <w:tr2bl w:val="nil"/>
                  </w:tcBorders>
                  <w:noWrap w:val="0"/>
                  <w:vAlign w:val="center"/>
                </w:tcPr>
                <w:p w14:paraId="2CD5FFD6">
                  <w:pPr>
                    <w:pStyle w:val="127"/>
                    <w:bidi w:val="0"/>
                    <w:rPr>
                      <w:rFonts w:hint="default"/>
                      <w:color w:val="auto"/>
                      <w:sz w:val="21"/>
                      <w:szCs w:val="21"/>
                      <w:lang w:val="en-US" w:eastAsia="zh-CN"/>
                    </w:rPr>
                  </w:pPr>
                  <w:r>
                    <w:rPr>
                      <w:rFonts w:hint="eastAsia"/>
                      <w:color w:val="auto"/>
                      <w:sz w:val="21"/>
                      <w:szCs w:val="21"/>
                      <w:lang w:val="en-US" w:eastAsia="zh-CN"/>
                    </w:rPr>
                    <w:t>除臭剂</w:t>
                  </w:r>
                </w:p>
              </w:tc>
              <w:tc>
                <w:tcPr>
                  <w:tcW w:w="1070" w:type="pct"/>
                  <w:tcBorders>
                    <w:tl2br w:val="nil"/>
                    <w:tr2bl w:val="nil"/>
                  </w:tcBorders>
                  <w:noWrap w:val="0"/>
                  <w:vAlign w:val="center"/>
                </w:tcPr>
                <w:p w14:paraId="092A8B65">
                  <w:pPr>
                    <w:pStyle w:val="127"/>
                    <w:bidi w:val="0"/>
                    <w:rPr>
                      <w:rFonts w:hint="default"/>
                      <w:color w:val="auto"/>
                      <w:sz w:val="21"/>
                      <w:szCs w:val="21"/>
                      <w:lang w:val="en-US" w:eastAsia="zh-CN"/>
                    </w:rPr>
                  </w:pPr>
                  <w:r>
                    <w:rPr>
                      <w:rFonts w:hint="eastAsia"/>
                      <w:color w:val="auto"/>
                      <w:sz w:val="21"/>
                      <w:szCs w:val="21"/>
                      <w:lang w:val="en-US" w:eastAsia="zh-CN"/>
                    </w:rPr>
                    <w:t>2</w:t>
                  </w:r>
                </w:p>
              </w:tc>
            </w:tr>
            <w:tr w14:paraId="4A385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274" w:type="pct"/>
                  <w:vMerge w:val="continue"/>
                  <w:tcBorders>
                    <w:tl2br w:val="nil"/>
                    <w:tr2bl w:val="nil"/>
                  </w:tcBorders>
                  <w:noWrap w:val="0"/>
                  <w:vAlign w:val="center"/>
                </w:tcPr>
                <w:p w14:paraId="1D697307">
                  <w:pPr>
                    <w:pStyle w:val="127"/>
                    <w:bidi w:val="0"/>
                    <w:rPr>
                      <w:color w:val="auto"/>
                    </w:rPr>
                  </w:pPr>
                </w:p>
              </w:tc>
              <w:tc>
                <w:tcPr>
                  <w:tcW w:w="585" w:type="pct"/>
                  <w:tcBorders>
                    <w:tl2br w:val="nil"/>
                    <w:tr2bl w:val="nil"/>
                  </w:tcBorders>
                  <w:noWrap w:val="0"/>
                  <w:vAlign w:val="center"/>
                </w:tcPr>
                <w:p w14:paraId="1608C412">
                  <w:pPr>
                    <w:pStyle w:val="127"/>
                    <w:bidi w:val="0"/>
                    <w:rPr>
                      <w:color w:val="auto"/>
                    </w:rPr>
                  </w:pPr>
                  <w:r>
                    <w:rPr>
                      <w:color w:val="auto"/>
                    </w:rPr>
                    <w:t>废水</w:t>
                  </w:r>
                </w:p>
              </w:tc>
              <w:tc>
                <w:tcPr>
                  <w:tcW w:w="900" w:type="pct"/>
                  <w:tcBorders>
                    <w:tl2br w:val="nil"/>
                    <w:tr2bl w:val="nil"/>
                  </w:tcBorders>
                  <w:noWrap w:val="0"/>
                  <w:vAlign w:val="center"/>
                </w:tcPr>
                <w:p w14:paraId="6236CDA2">
                  <w:pPr>
                    <w:pStyle w:val="127"/>
                    <w:bidi w:val="0"/>
                    <w:rPr>
                      <w:color w:val="auto"/>
                    </w:rPr>
                  </w:pPr>
                  <w:r>
                    <w:rPr>
                      <w:color w:val="auto"/>
                    </w:rPr>
                    <w:t>污水</w:t>
                  </w:r>
                </w:p>
              </w:tc>
              <w:tc>
                <w:tcPr>
                  <w:tcW w:w="2169" w:type="pct"/>
                  <w:tcBorders>
                    <w:tl2br w:val="nil"/>
                    <w:tr2bl w:val="nil"/>
                  </w:tcBorders>
                  <w:noWrap w:val="0"/>
                  <w:vAlign w:val="center"/>
                </w:tcPr>
                <w:p w14:paraId="75D4A7B2">
                  <w:pPr>
                    <w:pStyle w:val="127"/>
                    <w:bidi w:val="0"/>
                    <w:rPr>
                      <w:rFonts w:hint="default" w:eastAsia="宋体"/>
                      <w:color w:val="auto"/>
                      <w:lang w:val="en-US" w:eastAsia="zh-CN"/>
                    </w:rPr>
                  </w:pPr>
                  <w:r>
                    <w:rPr>
                      <w:rFonts w:hint="eastAsia"/>
                      <w:color w:val="auto"/>
                      <w:lang w:val="en-US" w:eastAsia="zh-CN"/>
                    </w:rPr>
                    <w:t>化粪池、污水处理站、事故池</w:t>
                  </w:r>
                </w:p>
              </w:tc>
              <w:tc>
                <w:tcPr>
                  <w:tcW w:w="1070" w:type="pct"/>
                  <w:tcBorders>
                    <w:tl2br w:val="nil"/>
                    <w:tr2bl w:val="nil"/>
                  </w:tcBorders>
                  <w:noWrap w:val="0"/>
                  <w:vAlign w:val="center"/>
                </w:tcPr>
                <w:p w14:paraId="62DAFBFF">
                  <w:pPr>
                    <w:pStyle w:val="127"/>
                    <w:bidi w:val="0"/>
                    <w:rPr>
                      <w:rFonts w:hint="default"/>
                      <w:color w:val="auto"/>
                      <w:lang w:val="en-US" w:eastAsia="zh-CN"/>
                    </w:rPr>
                  </w:pPr>
                  <w:r>
                    <w:rPr>
                      <w:rFonts w:hint="eastAsia"/>
                      <w:color w:val="auto"/>
                      <w:lang w:val="en-US" w:eastAsia="zh-CN"/>
                    </w:rPr>
                    <w:t>100</w:t>
                  </w:r>
                </w:p>
              </w:tc>
            </w:tr>
            <w:tr w14:paraId="7565A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274" w:type="pct"/>
                  <w:vMerge w:val="continue"/>
                  <w:tcBorders>
                    <w:tl2br w:val="nil"/>
                    <w:tr2bl w:val="nil"/>
                  </w:tcBorders>
                  <w:noWrap w:val="0"/>
                  <w:vAlign w:val="center"/>
                </w:tcPr>
                <w:p w14:paraId="668E8899">
                  <w:pPr>
                    <w:pStyle w:val="127"/>
                    <w:bidi w:val="0"/>
                    <w:rPr>
                      <w:color w:val="auto"/>
                    </w:rPr>
                  </w:pPr>
                </w:p>
              </w:tc>
              <w:tc>
                <w:tcPr>
                  <w:tcW w:w="585" w:type="pct"/>
                  <w:tcBorders>
                    <w:tl2br w:val="nil"/>
                    <w:tr2bl w:val="nil"/>
                  </w:tcBorders>
                  <w:noWrap w:val="0"/>
                  <w:vAlign w:val="center"/>
                </w:tcPr>
                <w:p w14:paraId="79B20D49">
                  <w:pPr>
                    <w:pStyle w:val="127"/>
                    <w:bidi w:val="0"/>
                    <w:ind w:left="0" w:leftChars="0" w:right="0" w:rightChars="0"/>
                    <w:rPr>
                      <w:color w:val="auto"/>
                    </w:rPr>
                  </w:pPr>
                  <w:r>
                    <w:rPr>
                      <w:color w:val="auto"/>
                    </w:rPr>
                    <w:t>噪声</w:t>
                  </w:r>
                </w:p>
              </w:tc>
              <w:tc>
                <w:tcPr>
                  <w:tcW w:w="900" w:type="pct"/>
                  <w:tcBorders>
                    <w:tl2br w:val="nil"/>
                    <w:tr2bl w:val="nil"/>
                  </w:tcBorders>
                  <w:noWrap w:val="0"/>
                  <w:vAlign w:val="center"/>
                </w:tcPr>
                <w:p w14:paraId="79276608">
                  <w:pPr>
                    <w:pStyle w:val="127"/>
                    <w:bidi w:val="0"/>
                    <w:ind w:left="0" w:leftChars="0" w:right="0" w:rightChars="0"/>
                    <w:rPr>
                      <w:color w:val="auto"/>
                    </w:rPr>
                  </w:pPr>
                  <w:r>
                    <w:rPr>
                      <w:color w:val="auto"/>
                    </w:rPr>
                    <w:t>机械噪声</w:t>
                  </w:r>
                </w:p>
              </w:tc>
              <w:tc>
                <w:tcPr>
                  <w:tcW w:w="2169" w:type="pct"/>
                  <w:tcBorders>
                    <w:tl2br w:val="nil"/>
                    <w:tr2bl w:val="nil"/>
                  </w:tcBorders>
                  <w:noWrap w:val="0"/>
                  <w:vAlign w:val="center"/>
                </w:tcPr>
                <w:p w14:paraId="42A16424">
                  <w:pPr>
                    <w:pStyle w:val="127"/>
                    <w:bidi w:val="0"/>
                    <w:ind w:left="0" w:leftChars="0" w:right="0" w:rightChars="0"/>
                    <w:rPr>
                      <w:rFonts w:hint="eastAsia"/>
                      <w:color w:val="auto"/>
                    </w:rPr>
                  </w:pPr>
                  <w:r>
                    <w:rPr>
                      <w:rFonts w:hint="eastAsia"/>
                      <w:color w:val="auto"/>
                    </w:rPr>
                    <w:t>选用低噪声的设备，隔声、降噪等</w:t>
                  </w:r>
                </w:p>
              </w:tc>
              <w:tc>
                <w:tcPr>
                  <w:tcW w:w="1070" w:type="pct"/>
                  <w:tcBorders>
                    <w:tl2br w:val="nil"/>
                    <w:tr2bl w:val="nil"/>
                  </w:tcBorders>
                  <w:noWrap w:val="0"/>
                  <w:vAlign w:val="center"/>
                </w:tcPr>
                <w:p w14:paraId="042AE4CC">
                  <w:pPr>
                    <w:pStyle w:val="127"/>
                    <w:bidi w:val="0"/>
                    <w:ind w:left="0" w:leftChars="0" w:right="0" w:rightChars="0"/>
                    <w:rPr>
                      <w:rFonts w:hint="eastAsia"/>
                      <w:color w:val="auto"/>
                      <w:lang w:val="en-US" w:eastAsia="zh-CN"/>
                    </w:rPr>
                  </w:pPr>
                  <w:r>
                    <w:rPr>
                      <w:rFonts w:hint="eastAsia"/>
                      <w:color w:val="auto"/>
                      <w:lang w:val="en-US" w:eastAsia="zh-CN"/>
                    </w:rPr>
                    <w:t>5</w:t>
                  </w:r>
                </w:p>
              </w:tc>
            </w:tr>
            <w:tr w14:paraId="18AA8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blHeader/>
                <w:jc w:val="center"/>
              </w:trPr>
              <w:tc>
                <w:tcPr>
                  <w:tcW w:w="274" w:type="pct"/>
                  <w:vMerge w:val="continue"/>
                  <w:tcBorders>
                    <w:tl2br w:val="nil"/>
                    <w:tr2bl w:val="nil"/>
                  </w:tcBorders>
                  <w:noWrap w:val="0"/>
                  <w:vAlign w:val="center"/>
                </w:tcPr>
                <w:p w14:paraId="1E298A7D">
                  <w:pPr>
                    <w:pStyle w:val="127"/>
                    <w:bidi w:val="0"/>
                    <w:rPr>
                      <w:color w:val="auto"/>
                    </w:rPr>
                  </w:pPr>
                </w:p>
              </w:tc>
              <w:tc>
                <w:tcPr>
                  <w:tcW w:w="585" w:type="pct"/>
                  <w:vMerge w:val="restart"/>
                  <w:tcBorders>
                    <w:tl2br w:val="nil"/>
                    <w:tr2bl w:val="nil"/>
                  </w:tcBorders>
                  <w:noWrap w:val="0"/>
                  <w:vAlign w:val="center"/>
                </w:tcPr>
                <w:p w14:paraId="47341B59">
                  <w:pPr>
                    <w:pStyle w:val="127"/>
                    <w:bidi w:val="0"/>
                    <w:rPr>
                      <w:color w:val="auto"/>
                    </w:rPr>
                  </w:pPr>
                  <w:r>
                    <w:rPr>
                      <w:color w:val="auto"/>
                    </w:rPr>
                    <w:t>固废</w:t>
                  </w:r>
                </w:p>
              </w:tc>
              <w:tc>
                <w:tcPr>
                  <w:tcW w:w="900" w:type="pct"/>
                  <w:tcBorders>
                    <w:tl2br w:val="nil"/>
                    <w:tr2bl w:val="nil"/>
                  </w:tcBorders>
                  <w:noWrap w:val="0"/>
                  <w:vAlign w:val="center"/>
                </w:tcPr>
                <w:p w14:paraId="73CAA512">
                  <w:pPr>
                    <w:pStyle w:val="127"/>
                    <w:bidi w:val="0"/>
                    <w:rPr>
                      <w:rFonts w:hint="default"/>
                      <w:color w:val="auto"/>
                      <w:lang w:val="en-US" w:eastAsia="zh-CN"/>
                    </w:rPr>
                  </w:pPr>
                  <w:r>
                    <w:rPr>
                      <w:rFonts w:hint="eastAsia"/>
                      <w:color w:val="auto"/>
                      <w:lang w:val="en-US" w:eastAsia="zh-CN"/>
                    </w:rPr>
                    <w:t>生活垃圾</w:t>
                  </w:r>
                </w:p>
              </w:tc>
              <w:tc>
                <w:tcPr>
                  <w:tcW w:w="2169" w:type="pct"/>
                  <w:tcBorders>
                    <w:tl2br w:val="nil"/>
                    <w:tr2bl w:val="nil"/>
                  </w:tcBorders>
                  <w:noWrap w:val="0"/>
                  <w:vAlign w:val="center"/>
                </w:tcPr>
                <w:p w14:paraId="758458D4">
                  <w:pPr>
                    <w:pStyle w:val="127"/>
                    <w:bidi w:val="0"/>
                    <w:rPr>
                      <w:rFonts w:hint="eastAsia"/>
                      <w:color w:val="auto"/>
                      <w:lang w:val="en-US" w:eastAsia="zh-CN"/>
                    </w:rPr>
                  </w:pPr>
                  <w:r>
                    <w:rPr>
                      <w:rFonts w:hint="eastAsia"/>
                      <w:color w:val="auto"/>
                      <w:lang w:val="en-US" w:eastAsia="zh-CN"/>
                    </w:rPr>
                    <w:t>垃圾桶、环卫部门清运</w:t>
                  </w:r>
                </w:p>
              </w:tc>
              <w:tc>
                <w:tcPr>
                  <w:tcW w:w="1070" w:type="pct"/>
                  <w:tcBorders>
                    <w:tl2br w:val="nil"/>
                    <w:tr2bl w:val="nil"/>
                  </w:tcBorders>
                  <w:noWrap w:val="0"/>
                  <w:vAlign w:val="center"/>
                </w:tcPr>
                <w:p w14:paraId="58388BBA">
                  <w:pPr>
                    <w:pStyle w:val="127"/>
                    <w:bidi w:val="0"/>
                    <w:rPr>
                      <w:rFonts w:hint="default"/>
                      <w:color w:val="auto"/>
                      <w:lang w:val="en-US" w:eastAsia="zh-CN"/>
                    </w:rPr>
                  </w:pPr>
                  <w:r>
                    <w:rPr>
                      <w:rFonts w:hint="eastAsia"/>
                      <w:color w:val="auto"/>
                      <w:lang w:val="en-US" w:eastAsia="zh-CN"/>
                    </w:rPr>
                    <w:t>2</w:t>
                  </w:r>
                </w:p>
              </w:tc>
            </w:tr>
            <w:tr w14:paraId="01CB1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blHeader/>
                <w:jc w:val="center"/>
              </w:trPr>
              <w:tc>
                <w:tcPr>
                  <w:tcW w:w="274" w:type="pct"/>
                  <w:vMerge w:val="continue"/>
                  <w:tcBorders>
                    <w:tl2br w:val="nil"/>
                    <w:tr2bl w:val="nil"/>
                  </w:tcBorders>
                  <w:noWrap w:val="0"/>
                  <w:vAlign w:val="center"/>
                </w:tcPr>
                <w:p w14:paraId="39A94B2A">
                  <w:pPr>
                    <w:pStyle w:val="127"/>
                    <w:bidi w:val="0"/>
                    <w:rPr>
                      <w:color w:val="auto"/>
                    </w:rPr>
                  </w:pPr>
                </w:p>
              </w:tc>
              <w:tc>
                <w:tcPr>
                  <w:tcW w:w="585" w:type="pct"/>
                  <w:vMerge w:val="continue"/>
                  <w:tcBorders>
                    <w:tl2br w:val="nil"/>
                    <w:tr2bl w:val="nil"/>
                  </w:tcBorders>
                  <w:noWrap w:val="0"/>
                  <w:vAlign w:val="center"/>
                </w:tcPr>
                <w:p w14:paraId="7F1E409B">
                  <w:pPr>
                    <w:pStyle w:val="127"/>
                    <w:bidi w:val="0"/>
                    <w:rPr>
                      <w:color w:val="auto"/>
                    </w:rPr>
                  </w:pPr>
                </w:p>
              </w:tc>
              <w:tc>
                <w:tcPr>
                  <w:tcW w:w="900" w:type="pct"/>
                  <w:tcBorders>
                    <w:tl2br w:val="nil"/>
                    <w:tr2bl w:val="nil"/>
                  </w:tcBorders>
                  <w:noWrap w:val="0"/>
                  <w:vAlign w:val="center"/>
                </w:tcPr>
                <w:p w14:paraId="30AA63AB">
                  <w:pPr>
                    <w:pStyle w:val="127"/>
                    <w:bidi w:val="0"/>
                    <w:rPr>
                      <w:rFonts w:hint="default" w:eastAsia="宋体"/>
                      <w:color w:val="auto"/>
                      <w:lang w:val="en-US" w:eastAsia="zh-CN"/>
                    </w:rPr>
                  </w:pPr>
                  <w:r>
                    <w:rPr>
                      <w:rFonts w:hint="eastAsia"/>
                      <w:color w:val="auto"/>
                      <w:lang w:val="en-US" w:eastAsia="zh-CN"/>
                    </w:rPr>
                    <w:t>一般固废</w:t>
                  </w:r>
                </w:p>
              </w:tc>
              <w:tc>
                <w:tcPr>
                  <w:tcW w:w="2169" w:type="pct"/>
                  <w:tcBorders>
                    <w:tl2br w:val="nil"/>
                    <w:tr2bl w:val="nil"/>
                  </w:tcBorders>
                  <w:noWrap w:val="0"/>
                  <w:vAlign w:val="center"/>
                </w:tcPr>
                <w:p w14:paraId="3573AE59">
                  <w:pPr>
                    <w:pStyle w:val="127"/>
                    <w:bidi w:val="0"/>
                    <w:rPr>
                      <w:rFonts w:hint="default"/>
                      <w:color w:val="auto"/>
                      <w:lang w:val="en-US" w:eastAsia="zh-CN"/>
                    </w:rPr>
                  </w:pPr>
                  <w:r>
                    <w:rPr>
                      <w:rFonts w:hint="eastAsia"/>
                      <w:color w:val="auto"/>
                      <w:lang w:val="en-US" w:eastAsia="zh-CN"/>
                    </w:rPr>
                    <w:t>一般固废暂存间</w:t>
                  </w:r>
                </w:p>
              </w:tc>
              <w:tc>
                <w:tcPr>
                  <w:tcW w:w="1070" w:type="pct"/>
                  <w:tcBorders>
                    <w:tl2br w:val="nil"/>
                    <w:tr2bl w:val="nil"/>
                  </w:tcBorders>
                  <w:noWrap w:val="0"/>
                  <w:vAlign w:val="center"/>
                </w:tcPr>
                <w:p w14:paraId="1CECEE09">
                  <w:pPr>
                    <w:pStyle w:val="127"/>
                    <w:bidi w:val="0"/>
                    <w:rPr>
                      <w:rFonts w:hint="default"/>
                      <w:color w:val="auto"/>
                      <w:lang w:val="en-US" w:eastAsia="zh-CN"/>
                    </w:rPr>
                  </w:pPr>
                  <w:r>
                    <w:rPr>
                      <w:rFonts w:hint="eastAsia"/>
                      <w:color w:val="auto"/>
                      <w:lang w:val="en-US" w:eastAsia="zh-CN"/>
                    </w:rPr>
                    <w:t>3</w:t>
                  </w:r>
                </w:p>
              </w:tc>
            </w:tr>
            <w:tr w14:paraId="66467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4" w:type="pct"/>
                  <w:vMerge w:val="continue"/>
                  <w:tcBorders>
                    <w:tl2br w:val="nil"/>
                    <w:tr2bl w:val="nil"/>
                  </w:tcBorders>
                  <w:noWrap w:val="0"/>
                  <w:vAlign w:val="center"/>
                </w:tcPr>
                <w:p w14:paraId="7B45D8E3">
                  <w:pPr>
                    <w:pStyle w:val="127"/>
                    <w:bidi w:val="0"/>
                    <w:rPr>
                      <w:color w:val="auto"/>
                    </w:rPr>
                  </w:pPr>
                </w:p>
              </w:tc>
              <w:tc>
                <w:tcPr>
                  <w:tcW w:w="585" w:type="pct"/>
                  <w:vMerge w:val="continue"/>
                  <w:tcBorders>
                    <w:tl2br w:val="nil"/>
                    <w:tr2bl w:val="nil"/>
                  </w:tcBorders>
                  <w:noWrap w:val="0"/>
                  <w:vAlign w:val="center"/>
                </w:tcPr>
                <w:p w14:paraId="09FB1B98">
                  <w:pPr>
                    <w:pStyle w:val="127"/>
                    <w:bidi w:val="0"/>
                    <w:rPr>
                      <w:color w:val="auto"/>
                    </w:rPr>
                  </w:pPr>
                </w:p>
              </w:tc>
              <w:tc>
                <w:tcPr>
                  <w:tcW w:w="900" w:type="pct"/>
                  <w:tcBorders>
                    <w:tl2br w:val="nil"/>
                    <w:tr2bl w:val="nil"/>
                  </w:tcBorders>
                  <w:noWrap w:val="0"/>
                  <w:vAlign w:val="center"/>
                </w:tcPr>
                <w:p w14:paraId="2A7785B4">
                  <w:pPr>
                    <w:pStyle w:val="127"/>
                    <w:bidi w:val="0"/>
                    <w:rPr>
                      <w:color w:val="auto"/>
                    </w:rPr>
                  </w:pPr>
                  <w:r>
                    <w:rPr>
                      <w:rFonts w:hint="eastAsia"/>
                      <w:color w:val="auto"/>
                    </w:rPr>
                    <w:t>危险废物</w:t>
                  </w:r>
                </w:p>
              </w:tc>
              <w:tc>
                <w:tcPr>
                  <w:tcW w:w="2169" w:type="pct"/>
                  <w:tcBorders>
                    <w:tl2br w:val="nil"/>
                    <w:tr2bl w:val="nil"/>
                  </w:tcBorders>
                  <w:noWrap w:val="0"/>
                  <w:vAlign w:val="center"/>
                </w:tcPr>
                <w:p w14:paraId="4571EDD9">
                  <w:pPr>
                    <w:pStyle w:val="127"/>
                    <w:bidi w:val="0"/>
                    <w:rPr>
                      <w:rFonts w:hint="default" w:eastAsia="宋体"/>
                      <w:color w:val="auto"/>
                      <w:lang w:val="en-US" w:eastAsia="zh-CN"/>
                    </w:rPr>
                  </w:pPr>
                  <w:r>
                    <w:rPr>
                      <w:rFonts w:hint="eastAsia"/>
                      <w:color w:val="auto"/>
                      <w:lang w:val="en-US" w:eastAsia="zh-CN"/>
                    </w:rPr>
                    <w:t>危险废物</w:t>
                  </w:r>
                  <w:r>
                    <w:rPr>
                      <w:rFonts w:hint="eastAsia"/>
                      <w:color w:val="auto"/>
                    </w:rPr>
                    <w:t>暂存间</w:t>
                  </w:r>
                </w:p>
              </w:tc>
              <w:tc>
                <w:tcPr>
                  <w:tcW w:w="1070" w:type="pct"/>
                  <w:tcBorders>
                    <w:tl2br w:val="nil"/>
                    <w:tr2bl w:val="nil"/>
                  </w:tcBorders>
                  <w:noWrap w:val="0"/>
                  <w:vAlign w:val="center"/>
                </w:tcPr>
                <w:p w14:paraId="0A0D6442">
                  <w:pPr>
                    <w:pStyle w:val="127"/>
                    <w:bidi w:val="0"/>
                    <w:rPr>
                      <w:rFonts w:hint="default"/>
                      <w:color w:val="auto"/>
                      <w:lang w:val="en-US" w:eastAsia="zh-CN"/>
                    </w:rPr>
                  </w:pPr>
                  <w:r>
                    <w:rPr>
                      <w:rFonts w:hint="eastAsia"/>
                      <w:color w:val="auto"/>
                      <w:lang w:val="en-US" w:eastAsia="zh-CN"/>
                    </w:rPr>
                    <w:t>2</w:t>
                  </w:r>
                </w:p>
              </w:tc>
            </w:tr>
            <w:tr w14:paraId="40A2A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29" w:type="pct"/>
                  <w:gridSpan w:val="4"/>
                  <w:tcBorders>
                    <w:tl2br w:val="nil"/>
                    <w:tr2bl w:val="nil"/>
                  </w:tcBorders>
                  <w:noWrap w:val="0"/>
                  <w:vAlign w:val="center"/>
                </w:tcPr>
                <w:p w14:paraId="1F461F95">
                  <w:pPr>
                    <w:pStyle w:val="127"/>
                    <w:bidi w:val="0"/>
                    <w:rPr>
                      <w:color w:val="auto"/>
                    </w:rPr>
                  </w:pPr>
                  <w:r>
                    <w:rPr>
                      <w:color w:val="auto"/>
                    </w:rPr>
                    <w:t>合计</w:t>
                  </w:r>
                </w:p>
              </w:tc>
              <w:tc>
                <w:tcPr>
                  <w:tcW w:w="1070" w:type="pct"/>
                  <w:tcBorders>
                    <w:tl2br w:val="nil"/>
                    <w:tr2bl w:val="nil"/>
                  </w:tcBorders>
                  <w:noWrap w:val="0"/>
                  <w:vAlign w:val="center"/>
                </w:tcPr>
                <w:p w14:paraId="56DFF273">
                  <w:pPr>
                    <w:pStyle w:val="127"/>
                    <w:bidi w:val="0"/>
                    <w:rPr>
                      <w:rFonts w:hint="default"/>
                      <w:color w:val="auto"/>
                      <w:lang w:val="en-US" w:eastAsia="zh-CN"/>
                    </w:rPr>
                  </w:pPr>
                  <w:r>
                    <w:rPr>
                      <w:rFonts w:hint="eastAsia"/>
                      <w:color w:val="auto"/>
                      <w:lang w:val="en-US" w:eastAsia="zh-CN"/>
                    </w:rPr>
                    <w:t>184</w:t>
                  </w:r>
                </w:p>
              </w:tc>
            </w:tr>
          </w:tbl>
          <w:p w14:paraId="18E21DFD">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（九）</w:t>
            </w:r>
            <w:r>
              <w:rPr>
                <w:rFonts w:hint="default" w:ascii="Times New Roman" w:hAnsi="Times New Roman" w:eastAsia="宋体" w:cs="Times New Roman"/>
                <w:b/>
                <w:bCs w:val="0"/>
                <w:color w:val="auto"/>
                <w:sz w:val="24"/>
                <w:szCs w:val="24"/>
                <w:highlight w:val="none"/>
                <w:lang w:val="en-US" w:eastAsia="zh-CN"/>
              </w:rPr>
              <w:t>环保竣工验收清单</w:t>
            </w:r>
          </w:p>
          <w:p w14:paraId="1A7D09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本项目的环保设施验收清单见下表。</w:t>
            </w:r>
          </w:p>
          <w:p w14:paraId="40B46AE9">
            <w:pPr>
              <w:pStyle w:val="129"/>
              <w:rPr>
                <w:rFonts w:hint="default" w:ascii="Times New Roman" w:hAnsi="Times New Roman" w:eastAsia="宋体" w:cs="Times New Roman"/>
                <w:b/>
                <w:bCs w:val="0"/>
                <w:color w:val="auto"/>
                <w:sz w:val="21"/>
                <w:szCs w:val="24"/>
                <w:highlight w:val="none"/>
                <w:lang w:val="zh-CN"/>
              </w:rPr>
            </w:pPr>
            <w:r>
              <w:rPr>
                <w:rFonts w:hint="default" w:ascii="Times New Roman" w:hAnsi="Times New Roman" w:eastAsia="宋体" w:cs="Times New Roman"/>
                <w:b/>
                <w:bCs w:val="0"/>
                <w:color w:val="auto"/>
                <w:sz w:val="21"/>
                <w:szCs w:val="24"/>
                <w:highlight w:val="none"/>
                <w:lang w:val="zh-CN"/>
              </w:rPr>
              <w:t>表</w:t>
            </w:r>
            <w:r>
              <w:rPr>
                <w:rFonts w:hint="default" w:ascii="Times New Roman" w:hAnsi="Times New Roman" w:eastAsia="宋体" w:cs="Times New Roman"/>
                <w:b/>
                <w:bCs w:val="0"/>
                <w:color w:val="auto"/>
                <w:sz w:val="21"/>
                <w:szCs w:val="24"/>
                <w:highlight w:val="none"/>
                <w:lang w:val="en-US" w:eastAsia="zh-CN"/>
              </w:rPr>
              <w:t>4-</w:t>
            </w:r>
            <w:r>
              <w:rPr>
                <w:rFonts w:hint="eastAsia" w:cs="Times New Roman"/>
                <w:b/>
                <w:bCs w:val="0"/>
                <w:color w:val="auto"/>
                <w:sz w:val="21"/>
                <w:szCs w:val="24"/>
                <w:highlight w:val="none"/>
                <w:lang w:val="en-US" w:eastAsia="zh-CN"/>
              </w:rPr>
              <w:t>40</w:t>
            </w:r>
            <w:r>
              <w:rPr>
                <w:rFonts w:hint="default" w:ascii="Times New Roman" w:hAnsi="Times New Roman" w:eastAsia="宋体" w:cs="Times New Roman"/>
                <w:b/>
                <w:bCs w:val="0"/>
                <w:color w:val="auto"/>
                <w:sz w:val="21"/>
                <w:szCs w:val="24"/>
                <w:highlight w:val="none"/>
                <w:lang w:val="en-US" w:eastAsia="zh-CN"/>
              </w:rPr>
              <w:t xml:space="preserve">  </w:t>
            </w:r>
            <w:r>
              <w:rPr>
                <w:rFonts w:hint="default" w:ascii="Times New Roman" w:hAnsi="Times New Roman" w:eastAsia="宋体" w:cs="Times New Roman"/>
                <w:b/>
                <w:bCs w:val="0"/>
                <w:color w:val="auto"/>
                <w:sz w:val="21"/>
                <w:szCs w:val="24"/>
                <w:highlight w:val="none"/>
                <w:lang w:val="zh-CN"/>
              </w:rPr>
              <w:t>环保设施验收清单</w:t>
            </w:r>
          </w:p>
          <w:tbl>
            <w:tblPr>
              <w:tblStyle w:val="33"/>
              <w:tblW w:w="48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925"/>
              <w:gridCol w:w="2439"/>
              <w:gridCol w:w="3228"/>
            </w:tblGrid>
            <w:tr w14:paraId="320CD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noWrap w:val="0"/>
                  <w:vAlign w:val="center"/>
                </w:tcPr>
                <w:p w14:paraId="1C05800B">
                  <w:pPr>
                    <w:pStyle w:val="8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925" w:type="dxa"/>
                  <w:noWrap w:val="0"/>
                  <w:vAlign w:val="center"/>
                </w:tcPr>
                <w:p w14:paraId="6C138CB7">
                  <w:pPr>
                    <w:pStyle w:val="8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2439" w:type="dxa"/>
                  <w:noWrap w:val="0"/>
                  <w:vAlign w:val="center"/>
                </w:tcPr>
                <w:p w14:paraId="654BB2B2">
                  <w:pPr>
                    <w:pStyle w:val="8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治理设施</w:t>
                  </w:r>
                </w:p>
              </w:tc>
              <w:tc>
                <w:tcPr>
                  <w:tcW w:w="3228" w:type="dxa"/>
                  <w:noWrap w:val="0"/>
                  <w:vAlign w:val="center"/>
                </w:tcPr>
                <w:p w14:paraId="53EF09B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kern w:val="0"/>
                      <w:sz w:val="21"/>
                      <w:szCs w:val="21"/>
                      <w:highlight w:val="none"/>
                    </w:rPr>
                    <w:t>验收标准及要求</w:t>
                  </w:r>
                </w:p>
              </w:tc>
            </w:tr>
            <w:tr w14:paraId="569EB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33" w:type="dxa"/>
                  <w:vMerge w:val="restart"/>
                  <w:noWrap w:val="0"/>
                  <w:vAlign w:val="center"/>
                </w:tcPr>
                <w:p w14:paraId="2FC4E4B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925" w:type="dxa"/>
                  <w:noWrap w:val="0"/>
                  <w:vAlign w:val="center"/>
                </w:tcPr>
                <w:p w14:paraId="24DEAB4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Cs w:val="21"/>
                      <w:lang w:val="en-US" w:eastAsia="zh-CN"/>
                    </w:rPr>
                    <w:t>油烟废气</w:t>
                  </w:r>
                </w:p>
              </w:tc>
              <w:tc>
                <w:tcPr>
                  <w:tcW w:w="2439" w:type="dxa"/>
                  <w:vMerge w:val="restart"/>
                  <w:noWrap w:val="0"/>
                  <w:vAlign w:val="center"/>
                </w:tcPr>
                <w:p w14:paraId="7C9B90C6">
                  <w:pPr>
                    <w:pStyle w:val="1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sz w:val="21"/>
                      <w:szCs w:val="21"/>
                      <w:lang w:val="en-US" w:eastAsia="zh-CN"/>
                    </w:rPr>
                    <w:t>静电油烟净化装置+中央厨房DA001-DA004排气筒、1号预制菜车间DA007-DA014排气筒</w:t>
                  </w:r>
                </w:p>
              </w:tc>
              <w:tc>
                <w:tcPr>
                  <w:tcW w:w="3228" w:type="dxa"/>
                  <w:vMerge w:val="restart"/>
                  <w:noWrap w:val="0"/>
                  <w:vAlign w:val="center"/>
                </w:tcPr>
                <w:p w14:paraId="48799E3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ascii="Times New Roman" w:cs="Times New Roman"/>
                      <w:color w:val="auto"/>
                      <w:sz w:val="21"/>
                      <w:szCs w:val="21"/>
                      <w:lang w:val="en-US" w:eastAsia="zh-CN"/>
                    </w:rPr>
                    <w:t>油烟</w:t>
                  </w:r>
                  <w:r>
                    <w:rPr>
                      <w:rFonts w:hint="default" w:ascii="Times New Roman" w:hAnsi="Times New Roman" w:eastAsia="宋体" w:cs="Times New Roman"/>
                      <w:color w:val="auto"/>
                      <w:sz w:val="21"/>
                      <w:szCs w:val="21"/>
                      <w:lang w:val="en-US" w:eastAsia="zh-CN"/>
                    </w:rPr>
                    <w:t>执行</w:t>
                  </w:r>
                  <w:r>
                    <w:rPr>
                      <w:rFonts w:hint="eastAsia" w:ascii="宋体" w:hAnsi="宋体" w:eastAsia="宋体" w:cs="宋体"/>
                      <w:color w:val="000000"/>
                      <w:kern w:val="0"/>
                      <w:sz w:val="21"/>
                      <w:szCs w:val="21"/>
                      <w:lang w:val="en-US" w:eastAsia="zh-CN" w:bidi="ar"/>
                    </w:rPr>
                    <w:t>《饮食业油烟排放标准（试行）》（</w:t>
                  </w:r>
                  <w:r>
                    <w:rPr>
                      <w:rFonts w:hint="default" w:ascii="Times New Roman" w:hAnsi="Times New Roman" w:eastAsia="宋体" w:cs="Times New Roman"/>
                      <w:color w:val="000000"/>
                      <w:kern w:val="0"/>
                      <w:sz w:val="21"/>
                      <w:szCs w:val="21"/>
                      <w:lang w:val="en-US" w:eastAsia="zh-CN" w:bidi="ar"/>
                    </w:rPr>
                    <w:t>GB18483-2001</w:t>
                  </w:r>
                  <w:r>
                    <w:rPr>
                      <w:rFonts w:hint="eastAsia" w:ascii="宋体" w:hAnsi="宋体" w:eastAsia="宋体" w:cs="宋体"/>
                      <w:color w:val="000000"/>
                      <w:kern w:val="0"/>
                      <w:sz w:val="21"/>
                      <w:szCs w:val="21"/>
                      <w:lang w:val="en-US" w:eastAsia="zh-CN" w:bidi="ar"/>
                    </w:rPr>
                    <w:t>）大型规模标准</w:t>
                  </w:r>
                  <w:r>
                    <w:rPr>
                      <w:rFonts w:hint="eastAsia" w:cs="Times New Roman"/>
                      <w:color w:val="auto"/>
                      <w:sz w:val="21"/>
                      <w:szCs w:val="21"/>
                      <w:lang w:val="en-US" w:eastAsia="zh-CN"/>
                    </w:rPr>
                    <w:t>；</w:t>
                  </w:r>
                </w:p>
                <w:p w14:paraId="2CB0147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b w:val="0"/>
                      <w:bCs/>
                      <w:sz w:val="21"/>
                      <w:szCs w:val="21"/>
                      <w:lang w:val="en-US" w:eastAsia="zh-CN"/>
                    </w:rPr>
                    <w:t>颗粒物、二氧化硫、氮氧化物执行</w:t>
                  </w:r>
                  <w:r>
                    <w:rPr>
                      <w:rFonts w:hint="default" w:ascii="Times New Roman" w:hAnsi="Times New Roman" w:eastAsia="宋体" w:cs="Times New Roman"/>
                      <w:color w:val="000000"/>
                      <w:sz w:val="21"/>
                      <w:szCs w:val="21"/>
                      <w:lang w:val="en-US" w:eastAsia="zh-CN"/>
                    </w:rPr>
                    <w:t>《大气污染物综合排放标准》（GB16297-1996）中</w:t>
                  </w:r>
                  <w:r>
                    <w:rPr>
                      <w:rFonts w:hint="eastAsia" w:ascii="Times New Roman" w:hAnsi="Times New Roman" w:eastAsia="宋体" w:cs="Times New Roman"/>
                      <w:color w:val="000000"/>
                      <w:sz w:val="21"/>
                      <w:szCs w:val="21"/>
                      <w:lang w:val="en-US" w:eastAsia="zh-CN"/>
                    </w:rPr>
                    <w:t>表2</w:t>
                  </w:r>
                  <w:r>
                    <w:rPr>
                      <w:rFonts w:hint="default" w:ascii="Times New Roman" w:hAnsi="Times New Roman" w:eastAsia="宋体" w:cs="Times New Roman"/>
                      <w:color w:val="000000"/>
                      <w:sz w:val="21"/>
                      <w:szCs w:val="21"/>
                      <w:lang w:val="en-US" w:eastAsia="zh-CN"/>
                    </w:rPr>
                    <w:t>二级排放标准</w:t>
                  </w:r>
                  <w:r>
                    <w:rPr>
                      <w:rFonts w:hint="eastAsia" w:cs="Times New Roman"/>
                      <w:b w:val="0"/>
                      <w:bCs/>
                      <w:sz w:val="21"/>
                      <w:szCs w:val="21"/>
                      <w:lang w:val="en-US" w:eastAsia="zh-CN"/>
                    </w:rPr>
                    <w:t>；</w:t>
                  </w:r>
                </w:p>
              </w:tc>
            </w:tr>
            <w:tr w14:paraId="2AFD0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33" w:type="dxa"/>
                  <w:vMerge w:val="continue"/>
                  <w:noWrap w:val="0"/>
                  <w:vAlign w:val="center"/>
                </w:tcPr>
                <w:p w14:paraId="56D5A5F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25" w:type="dxa"/>
                  <w:noWrap w:val="0"/>
                  <w:vAlign w:val="center"/>
                </w:tcPr>
                <w:p w14:paraId="0953D6F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lang w:val="en-US" w:eastAsia="zh-CN"/>
                    </w:rPr>
                    <w:t>燃气灶燃烧废气</w:t>
                  </w:r>
                </w:p>
              </w:tc>
              <w:tc>
                <w:tcPr>
                  <w:tcW w:w="2439" w:type="dxa"/>
                  <w:vMerge w:val="continue"/>
                  <w:noWrap w:val="0"/>
                  <w:vAlign w:val="center"/>
                </w:tcPr>
                <w:p w14:paraId="5D33D1D5">
                  <w:pPr>
                    <w:pStyle w:val="1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228" w:type="dxa"/>
                  <w:vMerge w:val="continue"/>
                  <w:noWrap w:val="0"/>
                  <w:vAlign w:val="center"/>
                </w:tcPr>
                <w:p w14:paraId="7578143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666EC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Merge w:val="continue"/>
                  <w:noWrap w:val="0"/>
                  <w:vAlign w:val="center"/>
                </w:tcPr>
                <w:p w14:paraId="236C71E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25" w:type="dxa"/>
                  <w:noWrap w:val="0"/>
                  <w:vAlign w:val="center"/>
                </w:tcPr>
                <w:p w14:paraId="27114B6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锅炉废气</w:t>
                  </w:r>
                </w:p>
              </w:tc>
              <w:tc>
                <w:tcPr>
                  <w:tcW w:w="2439" w:type="dxa"/>
                  <w:noWrap w:val="0"/>
                  <w:vAlign w:val="center"/>
                </w:tcPr>
                <w:p w14:paraId="267BA17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低氮燃烧技术+</w:t>
                  </w:r>
                  <w:r>
                    <w:rPr>
                      <w:rFonts w:hint="eastAsia" w:cs="Times New Roman"/>
                      <w:b w:val="0"/>
                      <w:bCs/>
                      <w:sz w:val="21"/>
                      <w:szCs w:val="21"/>
                      <w:lang w:val="en-US" w:eastAsia="zh-CN"/>
                    </w:rPr>
                    <w:t>中央厨房DA005和DA006、1号预制菜车间DA015和DA016</w:t>
                  </w:r>
                </w:p>
              </w:tc>
              <w:tc>
                <w:tcPr>
                  <w:tcW w:w="3228" w:type="dxa"/>
                  <w:noWrap w:val="0"/>
                  <w:vAlign w:val="center"/>
                </w:tcPr>
                <w:p w14:paraId="5C45B7B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ascii="宋体" w:hAnsi="宋体" w:eastAsia="宋体" w:cs="宋体"/>
                      <w:color w:val="000000"/>
                      <w:kern w:val="0"/>
                      <w:sz w:val="21"/>
                      <w:szCs w:val="21"/>
                      <w:lang w:val="en-US" w:eastAsia="zh-CN" w:bidi="ar"/>
                    </w:rPr>
                    <w:t>《锅炉大气污染物排放标准》（</w:t>
                  </w:r>
                  <w:r>
                    <w:rPr>
                      <w:rFonts w:hint="default" w:ascii="Times New Roman" w:hAnsi="Times New Roman" w:eastAsia="宋体" w:cs="Times New Roman"/>
                      <w:color w:val="000000"/>
                      <w:kern w:val="0"/>
                      <w:sz w:val="21"/>
                      <w:szCs w:val="21"/>
                      <w:lang w:val="en-US" w:eastAsia="zh-CN" w:bidi="ar"/>
                    </w:rPr>
                    <w:t>GB13271-2014</w:t>
                  </w:r>
                  <w:r>
                    <w:rPr>
                      <w:rFonts w:hint="eastAsia" w:ascii="宋体" w:hAnsi="宋体" w:eastAsia="宋体" w:cs="宋体"/>
                      <w:color w:val="000000"/>
                      <w:kern w:val="0"/>
                      <w:sz w:val="21"/>
                      <w:szCs w:val="21"/>
                      <w:lang w:val="en-US" w:eastAsia="zh-CN" w:bidi="ar"/>
                    </w:rPr>
                    <w:t>）中表</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燃气锅炉标准；</w:t>
                  </w:r>
                </w:p>
              </w:tc>
            </w:tr>
            <w:tr w14:paraId="4380C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Merge w:val="continue"/>
                  <w:noWrap w:val="0"/>
                  <w:vAlign w:val="center"/>
                </w:tcPr>
                <w:p w14:paraId="53A0176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25" w:type="dxa"/>
                  <w:noWrap w:val="0"/>
                  <w:vAlign w:val="center"/>
                </w:tcPr>
                <w:p w14:paraId="0B12DF2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cs="Times New Roman"/>
                      <w:color w:val="auto"/>
                      <w:kern w:val="24"/>
                      <w:sz w:val="21"/>
                      <w:szCs w:val="21"/>
                      <w:lang w:val="en-US" w:eastAsia="zh-CN"/>
                    </w:rPr>
                  </w:pPr>
                  <w:r>
                    <w:rPr>
                      <w:rFonts w:hint="eastAsia" w:cs="Times New Roman"/>
                      <w:color w:val="auto"/>
                      <w:kern w:val="24"/>
                      <w:szCs w:val="21"/>
                      <w:lang w:val="en-US" w:eastAsia="zh-CN"/>
                    </w:rPr>
                    <w:t>污水处理站恶臭污染物</w:t>
                  </w:r>
                </w:p>
              </w:tc>
              <w:tc>
                <w:tcPr>
                  <w:tcW w:w="2439" w:type="dxa"/>
                  <w:noWrap w:val="0"/>
                  <w:vAlign w:val="center"/>
                </w:tcPr>
                <w:p w14:paraId="2219A0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可通过对污水处理站定期喷洒除臭剂、</w:t>
                  </w:r>
                  <w:r>
                    <w:rPr>
                      <w:rFonts w:hint="eastAsia" w:cs="Times New Roman"/>
                      <w:b w:val="0"/>
                      <w:bCs/>
                      <w:sz w:val="21"/>
                      <w:szCs w:val="21"/>
                      <w:lang w:val="en-US" w:eastAsia="zh-CN"/>
                    </w:rPr>
                    <w:t>加盖密闭、</w:t>
                  </w:r>
                  <w:r>
                    <w:rPr>
                      <w:rFonts w:hint="eastAsia" w:ascii="Times New Roman" w:hAnsi="Times New Roman" w:eastAsia="宋体" w:cs="Times New Roman"/>
                      <w:b w:val="0"/>
                      <w:bCs/>
                      <w:sz w:val="21"/>
                      <w:szCs w:val="21"/>
                      <w:lang w:val="en-US" w:eastAsia="zh-CN"/>
                    </w:rPr>
                    <w:t>加强通风等措施处理后排放</w:t>
                  </w:r>
                </w:p>
              </w:tc>
              <w:tc>
                <w:tcPr>
                  <w:tcW w:w="3228" w:type="dxa"/>
                  <w:noWrap w:val="0"/>
                  <w:vAlign w:val="center"/>
                </w:tcPr>
                <w:p w14:paraId="1B2C26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《恶臭污染物排放标准》（GB14554-93）中表1二</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级标准限值</w:t>
                  </w:r>
                </w:p>
              </w:tc>
            </w:tr>
            <w:tr w14:paraId="7E838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433" w:type="dxa"/>
                  <w:vMerge w:val="restart"/>
                  <w:noWrap w:val="0"/>
                  <w:vAlign w:val="center"/>
                </w:tcPr>
                <w:p w14:paraId="68FAE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925" w:type="dxa"/>
                  <w:noWrap w:val="0"/>
                  <w:vAlign w:val="center"/>
                </w:tcPr>
                <w:p w14:paraId="7BF44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2439" w:type="dxa"/>
                  <w:noWrap w:val="0"/>
                  <w:vAlign w:val="center"/>
                </w:tcPr>
                <w:p w14:paraId="699AB2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化粪池+污水处理站（</w:t>
                  </w:r>
                  <w:r>
                    <w:rPr>
                      <w:rFonts w:hint="default" w:ascii="Times New Roman" w:hAnsi="Times New Roman" w:eastAsia="宋体" w:cs="Times New Roman"/>
                      <w:color w:val="auto"/>
                      <w:sz w:val="21"/>
                      <w:szCs w:val="21"/>
                      <w:highlight w:val="none"/>
                      <w:lang w:val="en-US" w:eastAsia="zh-CN"/>
                    </w:rPr>
                    <w:t>格栅-隔油池-调节池-A/O工艺</w:t>
                  </w:r>
                  <w:r>
                    <w:rPr>
                      <w:rFonts w:hint="eastAsia" w:ascii="Times New Roman" w:hAnsi="Times New Roman" w:eastAsia="宋体" w:cs="Times New Roman"/>
                      <w:color w:val="auto"/>
                      <w:sz w:val="21"/>
                      <w:szCs w:val="21"/>
                      <w:highlight w:val="none"/>
                      <w:lang w:val="en-US" w:eastAsia="zh-CN"/>
                    </w:rPr>
                    <w:t>一体化设备-混凝沉淀池</w:t>
                  </w:r>
                  <w:r>
                    <w:rPr>
                      <w:rFonts w:hint="eastAsia" w:cs="Times New Roman"/>
                      <w:color w:val="auto"/>
                      <w:kern w:val="2"/>
                      <w:sz w:val="21"/>
                      <w:szCs w:val="21"/>
                      <w:highlight w:val="none"/>
                      <w:lang w:val="en-US" w:eastAsia="zh-CN" w:bidi="ar-SA"/>
                    </w:rPr>
                    <w:t>）</w:t>
                  </w:r>
                </w:p>
              </w:tc>
              <w:tc>
                <w:tcPr>
                  <w:tcW w:w="3228" w:type="dxa"/>
                  <w:vMerge w:val="restart"/>
                  <w:noWrap w:val="0"/>
                  <w:vAlign w:val="center"/>
                </w:tcPr>
                <w:p w14:paraId="7C71C6F6">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highlight w:val="none"/>
                    </w:rPr>
                    <w:t>措施到位，</w:t>
                  </w:r>
                  <w:r>
                    <w:rPr>
                      <w:rFonts w:hint="eastAsia" w:ascii="Times New Roman" w:hAnsi="Times New Roman" w:eastAsia="宋体" w:cs="Times New Roman"/>
                      <w:color w:val="000000"/>
                      <w:kern w:val="0"/>
                      <w:sz w:val="21"/>
                      <w:szCs w:val="21"/>
                      <w:lang w:val="en-US" w:eastAsia="zh-CN" w:bidi="ar"/>
                    </w:rPr>
                    <w:t>生活污水经化粪池处理后和生产废水一起</w:t>
                  </w:r>
                  <w:r>
                    <w:rPr>
                      <w:rFonts w:hint="default" w:ascii="Times New Roman" w:hAnsi="Times New Roman" w:eastAsia="宋体" w:cs="Times New Roman"/>
                      <w:color w:val="000000"/>
                      <w:kern w:val="0"/>
                      <w:sz w:val="21"/>
                      <w:szCs w:val="21"/>
                      <w:lang w:val="en-US" w:eastAsia="zh-CN" w:bidi="ar"/>
                    </w:rPr>
                    <w:t>进入自建污水处理站处理达标后通过污水管网进入宁都县第二污水处理厂处理</w:t>
                  </w:r>
                  <w:r>
                    <w:rPr>
                      <w:rFonts w:hint="default" w:ascii="Times New Roman" w:hAnsi="Times New Roman" w:cs="Times New Roman"/>
                      <w:color w:val="auto"/>
                      <w:sz w:val="21"/>
                      <w:szCs w:val="21"/>
                      <w:lang w:val="en-US" w:eastAsia="zh-CN"/>
                    </w:rPr>
                    <w:t>达到《城镇污水处理厂污染物排放标准》（GB18918-2002）</w:t>
                  </w:r>
                  <w:r>
                    <w:rPr>
                      <w:rFonts w:hint="eastAsia" w:cs="Times New Roman"/>
                      <w:color w:val="auto"/>
                      <w:sz w:val="21"/>
                      <w:szCs w:val="21"/>
                      <w:lang w:val="en-US" w:eastAsia="zh-CN"/>
                    </w:rPr>
                    <w:t>一级A</w:t>
                  </w:r>
                  <w:r>
                    <w:rPr>
                      <w:rFonts w:hint="default" w:ascii="Times New Roman" w:hAnsi="Times New Roman" w:cs="Times New Roman"/>
                      <w:color w:val="auto"/>
                      <w:sz w:val="21"/>
                      <w:szCs w:val="21"/>
                      <w:lang w:val="en-US" w:eastAsia="zh-CN"/>
                    </w:rPr>
                    <w:t>标准</w:t>
                  </w:r>
                  <w:r>
                    <w:rPr>
                      <w:rFonts w:hint="default" w:ascii="Times New Roman" w:hAnsi="Times New Roman" w:eastAsia="宋体" w:cs="Times New Roman"/>
                      <w:b w:val="0"/>
                      <w:bCs/>
                      <w:color w:val="auto"/>
                      <w:kern w:val="2"/>
                      <w:sz w:val="21"/>
                      <w:szCs w:val="21"/>
                      <w:lang w:val="en-US" w:eastAsia="zh-CN" w:bidi="ar-SA"/>
                    </w:rPr>
                    <w:t>后</w:t>
                  </w:r>
                  <w:r>
                    <w:rPr>
                      <w:rFonts w:hint="default" w:ascii="Times New Roman" w:hAnsi="Times New Roman" w:eastAsia="宋体" w:cs="Times New Roman"/>
                      <w:color w:val="000000"/>
                      <w:kern w:val="0"/>
                      <w:sz w:val="21"/>
                      <w:szCs w:val="21"/>
                      <w:lang w:val="en-US" w:eastAsia="zh-CN" w:bidi="ar"/>
                    </w:rPr>
                    <w:t>，最终排入梅江。</w:t>
                  </w:r>
                </w:p>
                <w:p w14:paraId="5FB97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厂区综合废水排放</w:t>
                  </w:r>
                  <w:r>
                    <w:rPr>
                      <w:rFonts w:hint="eastAsia" w:ascii="Times New Roman" w:hAnsi="Times New Roman" w:eastAsia="宋体" w:cs="Times New Roman"/>
                      <w:color w:val="000000"/>
                      <w:kern w:val="0"/>
                      <w:sz w:val="21"/>
                      <w:szCs w:val="21"/>
                      <w:lang w:val="en-US" w:eastAsia="zh-CN" w:bidi="ar"/>
                    </w:rPr>
                    <w:t>执行《肉类加工工业水污染物排放标准》（</w:t>
                  </w:r>
                  <w:r>
                    <w:rPr>
                      <w:rFonts w:hint="default" w:ascii="Times New Roman" w:hAnsi="Times New Roman" w:eastAsia="宋体" w:cs="Times New Roman"/>
                      <w:color w:val="000000"/>
                      <w:kern w:val="0"/>
                      <w:sz w:val="21"/>
                      <w:szCs w:val="21"/>
                      <w:lang w:val="en-US" w:eastAsia="zh-CN" w:bidi="ar"/>
                    </w:rPr>
                    <w:t>GB13457-92</w:t>
                  </w:r>
                  <w:r>
                    <w:rPr>
                      <w:rFonts w:hint="eastAsia" w:ascii="Times New Roman" w:hAnsi="Times New Roman" w:eastAsia="宋体" w:cs="Times New Roman"/>
                      <w:color w:val="000000"/>
                      <w:kern w:val="0"/>
                      <w:sz w:val="21"/>
                      <w:szCs w:val="21"/>
                      <w:lang w:val="en-US" w:eastAsia="zh-CN" w:bidi="ar"/>
                    </w:rPr>
                    <w:t xml:space="preserve">）表 </w:t>
                  </w:r>
                  <w:r>
                    <w:rPr>
                      <w:rFonts w:hint="default" w:ascii="Times New Roman" w:hAnsi="Times New Roman" w:eastAsia="宋体" w:cs="Times New Roman"/>
                      <w:color w:val="000000"/>
                      <w:kern w:val="0"/>
                      <w:sz w:val="21"/>
                      <w:szCs w:val="21"/>
                      <w:lang w:val="en-US" w:eastAsia="zh-CN" w:bidi="ar"/>
                    </w:rPr>
                    <w:t xml:space="preserve">3 </w:t>
                  </w:r>
                  <w:r>
                    <w:rPr>
                      <w:rFonts w:hint="eastAsia" w:ascii="Times New Roman" w:hAnsi="Times New Roman" w:eastAsia="宋体" w:cs="Times New Roman"/>
                      <w:color w:val="000000"/>
                      <w:kern w:val="0"/>
                      <w:sz w:val="21"/>
                      <w:szCs w:val="21"/>
                      <w:lang w:val="en-US" w:eastAsia="zh-CN" w:bidi="ar"/>
                    </w:rPr>
                    <w:t>三级标准和宁都县第二污水处理厂接管标准较严值。</w:t>
                  </w:r>
                </w:p>
              </w:tc>
            </w:tr>
            <w:tr w14:paraId="4D1C5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Merge w:val="continue"/>
                  <w:noWrap w:val="0"/>
                  <w:vAlign w:val="center"/>
                </w:tcPr>
                <w:p w14:paraId="7B209E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25" w:type="dxa"/>
                  <w:noWrap w:val="0"/>
                  <w:vAlign w:val="center"/>
                </w:tcPr>
                <w:p w14:paraId="4A902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rPr>
                  </w:pPr>
                  <w:r>
                    <w:rPr>
                      <w:rFonts w:hint="eastAsia" w:cs="Times New Roman"/>
                      <w:color w:val="auto"/>
                      <w:sz w:val="21"/>
                      <w:szCs w:val="21"/>
                      <w:highlight w:val="none"/>
                      <w:lang w:val="en-US" w:eastAsia="zh-CN"/>
                    </w:rPr>
                    <w:t>生产废水</w:t>
                  </w:r>
                </w:p>
              </w:tc>
              <w:tc>
                <w:tcPr>
                  <w:tcW w:w="2439" w:type="dxa"/>
                  <w:noWrap w:val="0"/>
                  <w:vAlign w:val="center"/>
                </w:tcPr>
                <w:p w14:paraId="38721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污水处理站（</w:t>
                  </w:r>
                  <w:r>
                    <w:rPr>
                      <w:rFonts w:hint="default" w:ascii="Times New Roman" w:hAnsi="Times New Roman" w:eastAsia="宋体" w:cs="Times New Roman"/>
                      <w:color w:val="auto"/>
                      <w:sz w:val="21"/>
                      <w:szCs w:val="21"/>
                      <w:highlight w:val="none"/>
                      <w:lang w:val="en-US" w:eastAsia="zh-CN"/>
                    </w:rPr>
                    <w:t>格栅-隔油池-调节池-A/O工艺</w:t>
                  </w:r>
                  <w:r>
                    <w:rPr>
                      <w:rFonts w:hint="eastAsia" w:ascii="Times New Roman" w:hAnsi="Times New Roman" w:eastAsia="宋体" w:cs="Times New Roman"/>
                      <w:color w:val="auto"/>
                      <w:sz w:val="21"/>
                      <w:szCs w:val="21"/>
                      <w:highlight w:val="none"/>
                      <w:lang w:val="en-US" w:eastAsia="zh-CN"/>
                    </w:rPr>
                    <w:t>一体化设备-混凝沉淀池</w:t>
                  </w:r>
                  <w:r>
                    <w:rPr>
                      <w:rFonts w:hint="eastAsia" w:cs="Times New Roman"/>
                      <w:color w:val="auto"/>
                      <w:kern w:val="2"/>
                      <w:sz w:val="21"/>
                      <w:szCs w:val="21"/>
                      <w:highlight w:val="none"/>
                      <w:lang w:val="en-US" w:eastAsia="zh-CN" w:bidi="ar-SA"/>
                    </w:rPr>
                    <w:t>）</w:t>
                  </w:r>
                </w:p>
              </w:tc>
              <w:tc>
                <w:tcPr>
                  <w:tcW w:w="3228" w:type="dxa"/>
                  <w:vMerge w:val="continue"/>
                  <w:noWrap w:val="0"/>
                  <w:vAlign w:val="center"/>
                </w:tcPr>
                <w:p w14:paraId="2AB65C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0DE17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Merge w:val="continue"/>
                  <w:noWrap w:val="0"/>
                  <w:vAlign w:val="center"/>
                </w:tcPr>
                <w:p w14:paraId="6095C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925" w:type="dxa"/>
                  <w:shd w:val="clear" w:color="auto" w:fill="auto"/>
                  <w:noWrap w:val="0"/>
                  <w:vAlign w:val="center"/>
                </w:tcPr>
                <w:p w14:paraId="3CB15C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纯水制备浓水</w:t>
                  </w:r>
                </w:p>
              </w:tc>
              <w:tc>
                <w:tcPr>
                  <w:tcW w:w="2439" w:type="dxa"/>
                  <w:shd w:val="clear" w:color="auto" w:fill="auto"/>
                  <w:noWrap w:val="0"/>
                  <w:vAlign w:val="center"/>
                </w:tcPr>
                <w:p w14:paraId="352794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228" w:type="dxa"/>
                  <w:shd w:val="clear" w:color="auto" w:fill="auto"/>
                  <w:noWrap w:val="0"/>
                  <w:vAlign w:val="center"/>
                </w:tcPr>
                <w:p w14:paraId="61F1FBE5">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highlight w:val="none"/>
                      <w:lang w:val="en-US" w:eastAsia="zh-CN"/>
                    </w:rPr>
                    <w:t>纯水制备浓水</w:t>
                  </w:r>
                  <w:r>
                    <w:rPr>
                      <w:rFonts w:hint="eastAsia" w:ascii="Times New Roman" w:hAnsi="Times New Roman" w:eastAsia="宋体" w:cs="Times New Roman"/>
                      <w:color w:val="auto"/>
                      <w:sz w:val="21"/>
                      <w:szCs w:val="21"/>
                      <w:lang w:val="en-US" w:eastAsia="zh-CN"/>
                    </w:rPr>
                    <w:t>部分</w:t>
                  </w:r>
                  <w:r>
                    <w:rPr>
                      <w:rFonts w:hint="eastAsia" w:ascii="Times New Roman" w:hAnsi="Times New Roman" w:cs="Times New Roman"/>
                      <w:color w:val="auto"/>
                      <w:sz w:val="21"/>
                      <w:szCs w:val="21"/>
                      <w:lang w:val="en-US" w:eastAsia="zh-CN"/>
                    </w:rPr>
                    <w:t>回用于生产</w:t>
                  </w:r>
                  <w:r>
                    <w:rPr>
                      <w:rFonts w:hint="eastAsia" w:ascii="Times New Roman" w:hAnsi="Times New Roman" w:eastAsia="宋体" w:cs="Times New Roman"/>
                      <w:color w:val="auto"/>
                      <w:sz w:val="21"/>
                      <w:szCs w:val="21"/>
                      <w:lang w:val="en-US" w:eastAsia="zh-CN"/>
                    </w:rPr>
                    <w:t>，其他部分</w:t>
                  </w:r>
                  <w:r>
                    <w:rPr>
                      <w:rFonts w:hint="eastAsia" w:cs="Times New Roman"/>
                      <w:color w:val="auto"/>
                      <w:sz w:val="21"/>
                      <w:szCs w:val="21"/>
                      <w:highlight w:val="none"/>
                      <w:lang w:val="en-US" w:eastAsia="zh-CN"/>
                    </w:rPr>
                    <w:t>不经过污水处理站处理直接</w:t>
                  </w:r>
                  <w:r>
                    <w:rPr>
                      <w:rFonts w:hint="default" w:ascii="Times New Roman" w:hAnsi="Times New Roman" w:cs="Times New Roman"/>
                      <w:color w:val="auto"/>
                      <w:sz w:val="21"/>
                      <w:szCs w:val="21"/>
                      <w:highlight w:val="none"/>
                      <w:lang w:val="en-US" w:eastAsia="zh-CN"/>
                    </w:rPr>
                    <w:t>和</w:t>
                  </w:r>
                  <w:r>
                    <w:rPr>
                      <w:rFonts w:hint="eastAsia" w:ascii="Times New Roman" w:hAnsi="Times New Roman" w:cs="Times New Roman"/>
                      <w:color w:val="auto"/>
                      <w:sz w:val="21"/>
                      <w:szCs w:val="21"/>
                      <w:highlight w:val="none"/>
                      <w:lang w:val="en-US" w:eastAsia="zh-CN"/>
                    </w:rPr>
                    <w:t>污水处理站</w:t>
                  </w:r>
                  <w:r>
                    <w:rPr>
                      <w:rFonts w:hint="default" w:ascii="Times New Roman" w:hAnsi="Times New Roman" w:cs="Times New Roman"/>
                      <w:color w:val="auto"/>
                      <w:sz w:val="21"/>
                      <w:szCs w:val="21"/>
                      <w:highlight w:val="none"/>
                      <w:lang w:val="en-US" w:eastAsia="zh-CN"/>
                    </w:rPr>
                    <w:t>处理过的废水一起经总排口排入污水管网。</w:t>
                  </w:r>
                </w:p>
              </w:tc>
            </w:tr>
            <w:tr w14:paraId="4793B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noWrap w:val="0"/>
                  <w:vAlign w:val="center"/>
                </w:tcPr>
                <w:p w14:paraId="6F2B6D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925" w:type="dxa"/>
                  <w:noWrap w:val="0"/>
                  <w:vAlign w:val="center"/>
                </w:tcPr>
                <w:p w14:paraId="5E5F71E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2439" w:type="dxa"/>
                  <w:noWrap w:val="0"/>
                  <w:vAlign w:val="center"/>
                </w:tcPr>
                <w:p w14:paraId="114F27FD">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低噪声设备，减振、隔声等</w:t>
                  </w:r>
                </w:p>
              </w:tc>
              <w:tc>
                <w:tcPr>
                  <w:tcW w:w="3228" w:type="dxa"/>
                  <w:noWrap w:val="0"/>
                  <w:vAlign w:val="center"/>
                </w:tcPr>
                <w:p w14:paraId="6505CCB0">
                  <w:pPr>
                    <w:pStyle w:val="12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sz w:val="21"/>
                      <w:szCs w:val="21"/>
                      <w:lang w:val="en-US" w:eastAsia="zh-CN"/>
                    </w:rPr>
                    <w:t>厂界东侧噪声</w:t>
                  </w:r>
                  <w:r>
                    <w:rPr>
                      <w:rFonts w:hint="default" w:ascii="Times New Roman" w:hAnsi="Times New Roman" w:eastAsia="Times New Roman" w:cs="Times New Roman"/>
                      <w:sz w:val="21"/>
                      <w:szCs w:val="21"/>
                      <w:lang w:val="zh-CN"/>
                    </w:rPr>
                    <w:t>执行《工业企业厂界环境噪声排放标准》（GB12348-2008）中的</w:t>
                  </w:r>
                  <w:r>
                    <w:rPr>
                      <w:rFonts w:hint="eastAsia" w:ascii="Times New Roman" w:hAnsi="Times New Roman" w:eastAsia="Times New Roman" w:cs="Times New Roman"/>
                      <w:sz w:val="21"/>
                      <w:szCs w:val="21"/>
                      <w:lang w:val="en-US" w:eastAsia="zh-CN"/>
                    </w:rPr>
                    <w:t>4</w:t>
                  </w:r>
                  <w:r>
                    <w:rPr>
                      <w:rFonts w:hint="default" w:ascii="Times New Roman" w:hAnsi="Times New Roman" w:eastAsia="宋体" w:cs="Times New Roman"/>
                      <w:color w:val="auto"/>
                      <w:sz w:val="21"/>
                      <w:szCs w:val="21"/>
                    </w:rPr>
                    <w:t>类区标准</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其余三侧</w:t>
                  </w:r>
                  <w:r>
                    <w:rPr>
                      <w:rFonts w:hint="default" w:ascii="Times New Roman" w:hAnsi="Times New Roman" w:eastAsia="Times New Roman" w:cs="Times New Roman"/>
                      <w:sz w:val="21"/>
                      <w:szCs w:val="21"/>
                      <w:lang w:val="zh-CN"/>
                    </w:rPr>
                    <w:t>执行</w:t>
                  </w:r>
                  <w:r>
                    <w:rPr>
                      <w:rFonts w:hint="eastAsia" w:ascii="Times New Roman" w:hAnsi="Times New Roman" w:eastAsia="Times New Roman" w:cs="Times New Roman"/>
                      <w:sz w:val="21"/>
                      <w:szCs w:val="21"/>
                      <w:lang w:val="en-US" w:eastAsia="zh-CN"/>
                    </w:rPr>
                    <w:t>3</w:t>
                  </w:r>
                  <w:r>
                    <w:rPr>
                      <w:rFonts w:hint="default" w:ascii="Times New Roman" w:hAnsi="Times New Roman" w:eastAsia="宋体" w:cs="Times New Roman"/>
                      <w:color w:val="auto"/>
                      <w:sz w:val="21"/>
                      <w:szCs w:val="21"/>
                    </w:rPr>
                    <w:t>类区标准</w:t>
                  </w:r>
                  <w:r>
                    <w:rPr>
                      <w:rFonts w:hint="eastAsia" w:cs="Times New Roman"/>
                      <w:color w:val="auto"/>
                      <w:sz w:val="21"/>
                      <w:szCs w:val="21"/>
                      <w:lang w:eastAsia="zh-CN"/>
                    </w:rPr>
                    <w:t>。</w:t>
                  </w:r>
                </w:p>
              </w:tc>
            </w:tr>
            <w:tr w14:paraId="2AFFF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1" w:hRule="atLeast"/>
              </w:trPr>
              <w:tc>
                <w:tcPr>
                  <w:tcW w:w="433" w:type="dxa"/>
                  <w:noWrap w:val="0"/>
                  <w:vAlign w:val="center"/>
                </w:tcPr>
                <w:p w14:paraId="5AEFC2C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925" w:type="dxa"/>
                  <w:noWrap w:val="0"/>
                  <w:vAlign w:val="center"/>
                </w:tcPr>
                <w:p w14:paraId="6C191A2C">
                  <w:pPr>
                    <w:pStyle w:val="12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1"/>
                      <w:lang w:val="en-US" w:eastAsia="zh-CN"/>
                    </w:rPr>
                    <w:t>一般固体废物暂存间</w:t>
                  </w:r>
                </w:p>
              </w:tc>
              <w:tc>
                <w:tcPr>
                  <w:tcW w:w="2439" w:type="dxa"/>
                  <w:noWrap w:val="0"/>
                  <w:vAlign w:val="center"/>
                </w:tcPr>
                <w:p w14:paraId="2A3C8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0"/>
                      <w:kern w:val="2"/>
                      <w:sz w:val="21"/>
                      <w:szCs w:val="21"/>
                      <w:lang w:val="en-US" w:eastAsia="zh-CN" w:bidi="ar-SA"/>
                    </w:rPr>
                  </w:pPr>
                  <w:r>
                    <w:rPr>
                      <w:rFonts w:hint="eastAsia"/>
                      <w:color w:val="auto"/>
                      <w:sz w:val="21"/>
                      <w:szCs w:val="21"/>
                      <w:highlight w:val="none"/>
                      <w:lang w:val="en-US" w:eastAsia="zh-CN"/>
                    </w:rPr>
                    <w:t>本项目一般固废暂存间建设于中央厨房东侧</w:t>
                  </w:r>
                  <w:r>
                    <w:rPr>
                      <w:rFonts w:hint="eastAsia" w:cs="Times New Roman"/>
                      <w:color w:val="auto"/>
                      <w:kern w:val="2"/>
                      <w:sz w:val="21"/>
                      <w:szCs w:val="21"/>
                      <w:lang w:val="en-US" w:eastAsia="zh-CN" w:bidi="ar-SA"/>
                    </w:rPr>
                    <w:t>，占地面积20m</w:t>
                  </w:r>
                  <w:r>
                    <w:rPr>
                      <w:rFonts w:hint="eastAsia" w:cs="Times New Roman"/>
                      <w:color w:val="auto"/>
                      <w:kern w:val="2"/>
                      <w:sz w:val="21"/>
                      <w:szCs w:val="21"/>
                      <w:vertAlign w:val="superscript"/>
                      <w:lang w:val="en-US" w:eastAsia="zh-CN" w:bidi="ar-SA"/>
                    </w:rPr>
                    <w:t>2</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lang w:val="en-US" w:eastAsia="zh-CN" w:bidi="ar-SA"/>
                    </w:rPr>
                    <w:t>参照《一般工业固体废物贮存和填埋污染控制标准》(GB18599-2020)的要求，采取相应防渗漏、防雨淋、防扬尘等环境保护要求，设置环境保护图形标志</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sz w:val="21"/>
                      <w:szCs w:val="21"/>
                    </w:rPr>
                    <w:t>禁止危险废物</w:t>
                  </w:r>
                  <w:r>
                    <w:rPr>
                      <w:rFonts w:hint="eastAsia" w:ascii="Times New Roman" w:hAnsi="Times New Roman" w:eastAsia="宋体" w:cs="Times New Roman"/>
                      <w:color w:val="auto"/>
                      <w:sz w:val="21"/>
                      <w:szCs w:val="21"/>
                      <w:lang w:val="en-US" w:eastAsia="zh-CN"/>
                    </w:rPr>
                    <w:t>和生活垃圾</w:t>
                  </w:r>
                  <w:r>
                    <w:rPr>
                      <w:rFonts w:hint="default" w:ascii="Times New Roman" w:hAnsi="Times New Roman" w:eastAsia="宋体" w:cs="Times New Roman"/>
                      <w:color w:val="auto"/>
                      <w:sz w:val="21"/>
                      <w:szCs w:val="21"/>
                    </w:rPr>
                    <w:t>混入</w:t>
                  </w:r>
                  <w:r>
                    <w:rPr>
                      <w:rFonts w:hint="eastAsia" w:cs="Times New Roman"/>
                      <w:color w:val="auto"/>
                      <w:sz w:val="21"/>
                      <w:szCs w:val="21"/>
                      <w:lang w:eastAsia="zh-CN"/>
                    </w:rPr>
                    <w:t>。</w:t>
                  </w:r>
                </w:p>
              </w:tc>
              <w:tc>
                <w:tcPr>
                  <w:tcW w:w="3228" w:type="dxa"/>
                  <w:noWrap w:val="0"/>
                  <w:vAlign w:val="center"/>
                </w:tcPr>
                <w:p w14:paraId="068F55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Calibri" w:cs="Times New Roman"/>
                      <w:color w:val="auto"/>
                      <w:kern w:val="2"/>
                      <w:sz w:val="21"/>
                      <w:szCs w:val="21"/>
                      <w:lang w:val="en-US" w:eastAsia="zh-CN" w:bidi="ar-SA"/>
                    </w:rPr>
                    <w:t>《一般工业固体废物贮存和填埋污染控制标准》（GB18599-2020）</w:t>
                  </w:r>
                </w:p>
              </w:tc>
            </w:tr>
            <w:tr w14:paraId="553AE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noWrap w:val="0"/>
                  <w:vAlign w:val="center"/>
                </w:tcPr>
                <w:p w14:paraId="30C8626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危险</w:t>
                  </w:r>
                  <w:r>
                    <w:rPr>
                      <w:rFonts w:hint="eastAsia" w:cs="Times New Roman"/>
                      <w:color w:val="auto"/>
                      <w:sz w:val="21"/>
                      <w:szCs w:val="21"/>
                      <w:highlight w:val="none"/>
                      <w:lang w:val="en-US" w:eastAsia="zh-CN"/>
                    </w:rPr>
                    <w:t>废物</w:t>
                  </w:r>
                </w:p>
              </w:tc>
              <w:tc>
                <w:tcPr>
                  <w:tcW w:w="1925" w:type="dxa"/>
                  <w:noWrap w:val="0"/>
                  <w:vAlign w:val="center"/>
                </w:tcPr>
                <w:p w14:paraId="31E44D58">
                  <w:pPr>
                    <w:pStyle w:val="12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危险废物暂存间</w:t>
                  </w:r>
                </w:p>
              </w:tc>
              <w:tc>
                <w:tcPr>
                  <w:tcW w:w="2439" w:type="dxa"/>
                  <w:noWrap w:val="0"/>
                  <w:vAlign w:val="center"/>
                </w:tcPr>
                <w:p w14:paraId="13292C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olor w:val="auto"/>
                      <w:sz w:val="21"/>
                      <w:szCs w:val="21"/>
                      <w:highlight w:val="none"/>
                      <w:lang w:val="en-US" w:eastAsia="zh-CN"/>
                    </w:rPr>
                    <w:t>本项目危险废物暂存间建设于</w:t>
                  </w:r>
                  <w:r>
                    <w:rPr>
                      <w:rFonts w:hint="eastAsia"/>
                      <w:color w:val="auto"/>
                      <w:lang w:val="en-US" w:eastAsia="zh-CN"/>
                    </w:rPr>
                    <w:t>肉类车间西侧</w:t>
                  </w:r>
                  <w:r>
                    <w:rPr>
                      <w:rFonts w:hint="eastAsia" w:cs="Times New Roman"/>
                      <w:color w:val="auto"/>
                      <w:kern w:val="2"/>
                      <w:sz w:val="21"/>
                      <w:szCs w:val="21"/>
                      <w:lang w:val="en-US" w:eastAsia="zh-CN" w:bidi="ar-SA"/>
                    </w:rPr>
                    <w:t>，占地面积10m</w:t>
                  </w:r>
                  <w:r>
                    <w:rPr>
                      <w:rFonts w:hint="eastAsia" w:cs="Times New Roman"/>
                      <w:color w:val="auto"/>
                      <w:kern w:val="2"/>
                      <w:sz w:val="21"/>
                      <w:szCs w:val="21"/>
                      <w:vertAlign w:val="superscript"/>
                      <w:lang w:val="en-US" w:eastAsia="zh-CN" w:bidi="ar-SA"/>
                    </w:rPr>
                    <w:t>2</w:t>
                  </w:r>
                  <w:r>
                    <w:rPr>
                      <w:rFonts w:hint="eastAsia" w:cs="Times New Roman"/>
                      <w:color w:val="auto"/>
                      <w:kern w:val="2"/>
                      <w:sz w:val="21"/>
                      <w:szCs w:val="21"/>
                      <w:vertAlign w:val="baseline"/>
                      <w:lang w:val="en-US" w:eastAsia="zh-CN" w:bidi="ar-SA"/>
                    </w:rPr>
                    <w:t>，参照</w:t>
                  </w:r>
                  <w:r>
                    <w:rPr>
                      <w:rFonts w:hint="default" w:ascii="Times New Roman" w:hAnsi="Times New Roman" w:eastAsia="宋体" w:cs="Times New Roman"/>
                      <w:color w:val="auto"/>
                      <w:kern w:val="2"/>
                      <w:sz w:val="21"/>
                      <w:szCs w:val="21"/>
                      <w:lang w:val="en-US" w:eastAsia="zh-CN" w:bidi="ar-SA"/>
                    </w:rPr>
                    <w:t>《危险废物贮存污染控制标准》(GB18597-20</w:t>
                  </w:r>
                  <w:r>
                    <w:rPr>
                      <w:rFonts w:hint="eastAsia" w:eastAsia="宋体" w:cs="Times New Roman"/>
                      <w:color w:val="auto"/>
                      <w:kern w:val="2"/>
                      <w:sz w:val="21"/>
                      <w:szCs w:val="21"/>
                      <w:lang w:val="en-US" w:eastAsia="zh-CN" w:bidi="ar-SA"/>
                    </w:rPr>
                    <w:t>23</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的要求。</w:t>
                  </w:r>
                  <w:r>
                    <w:rPr>
                      <w:rFonts w:hint="default" w:ascii="Times New Roman" w:hAnsi="Times New Roman" w:eastAsia="宋体" w:cs="Times New Roman"/>
                      <w:color w:val="auto"/>
                      <w:kern w:val="2"/>
                      <w:sz w:val="21"/>
                      <w:szCs w:val="21"/>
                      <w:lang w:val="en-US" w:eastAsia="zh-CN" w:bidi="ar-SA"/>
                    </w:rPr>
                    <w:t>地面与裙脚应采取表面防渗措施，可采用抗惨混凝土、高密度聚乙烯膜或其他防渗性能等效的材料。根据危险废物的类别、数量、形态、物理化学性质和污染防治等要求设置必要的贮存分区，设立</w:t>
                  </w:r>
                  <w:r>
                    <w:rPr>
                      <w:rFonts w:hint="eastAsia" w:cs="Times New Roman"/>
                      <w:color w:val="auto"/>
                      <w:kern w:val="2"/>
                      <w:sz w:val="21"/>
                      <w:szCs w:val="21"/>
                      <w:lang w:val="en-US" w:eastAsia="zh-CN" w:bidi="ar-SA"/>
                    </w:rPr>
                    <w:t>相应的标识</w:t>
                  </w:r>
                  <w:r>
                    <w:rPr>
                      <w:rFonts w:hint="default" w:ascii="Times New Roman" w:hAnsi="Times New Roman" w:eastAsia="宋体" w:cs="Times New Roman"/>
                      <w:color w:val="auto"/>
                      <w:kern w:val="2"/>
                      <w:sz w:val="21"/>
                      <w:szCs w:val="21"/>
                      <w:lang w:val="en-US" w:eastAsia="zh-CN" w:bidi="ar-SA"/>
                    </w:rPr>
                    <w:t>标牌，做好“四防”（防风、防雨、防晒、防渗漏）工作</w:t>
                  </w:r>
                  <w:r>
                    <w:rPr>
                      <w:rFonts w:hint="eastAsia" w:cs="Times New Roman"/>
                      <w:color w:val="auto"/>
                      <w:kern w:val="2"/>
                      <w:sz w:val="21"/>
                      <w:szCs w:val="21"/>
                      <w:lang w:val="en-US" w:eastAsia="zh-CN" w:bidi="ar-SA"/>
                    </w:rPr>
                    <w:t>。</w:t>
                  </w:r>
                </w:p>
              </w:tc>
              <w:tc>
                <w:tcPr>
                  <w:tcW w:w="3228" w:type="dxa"/>
                  <w:noWrap w:val="0"/>
                  <w:vAlign w:val="center"/>
                </w:tcPr>
                <w:p w14:paraId="3E7470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Calibri" w:cs="Times New Roman"/>
                      <w:color w:val="auto"/>
                      <w:kern w:val="2"/>
                      <w:sz w:val="21"/>
                      <w:szCs w:val="21"/>
                      <w:lang w:val="en-US" w:eastAsia="zh-CN" w:bidi="ar-SA"/>
                    </w:rPr>
                    <w:t>危险废物执行《危险废物贮存污染控制标准》（GB18597-</w:t>
                  </w:r>
                  <w:r>
                    <w:rPr>
                      <w:rFonts w:hint="eastAsia" w:ascii="Times New Roman" w:hAnsi="Times New Roman" w:eastAsia="Calibri" w:cs="Times New Roman"/>
                      <w:color w:val="auto"/>
                      <w:kern w:val="2"/>
                      <w:sz w:val="21"/>
                      <w:szCs w:val="21"/>
                      <w:lang w:val="en-US" w:eastAsia="zh-CN" w:bidi="ar-SA"/>
                    </w:rPr>
                    <w:t>2023</w:t>
                  </w:r>
                  <w:r>
                    <w:rPr>
                      <w:rFonts w:hint="default" w:ascii="Times New Roman" w:hAnsi="Times New Roman" w:eastAsia="Calibri" w:cs="Times New Roman"/>
                      <w:color w:val="auto"/>
                      <w:kern w:val="2"/>
                      <w:sz w:val="21"/>
                      <w:szCs w:val="21"/>
                      <w:lang w:val="en-US" w:eastAsia="zh-CN" w:bidi="ar-SA"/>
                    </w:rPr>
                    <w:t>）</w:t>
                  </w:r>
                </w:p>
              </w:tc>
            </w:tr>
            <w:tr w14:paraId="7C0A4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Merge w:val="restart"/>
                  <w:noWrap w:val="0"/>
                  <w:vAlign w:val="center"/>
                </w:tcPr>
                <w:p w14:paraId="0BCE12C6">
                  <w:pPr>
                    <w:pStyle w:val="1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环境风险防范措施</w:t>
                  </w:r>
                </w:p>
              </w:tc>
              <w:tc>
                <w:tcPr>
                  <w:tcW w:w="1925" w:type="dxa"/>
                  <w:noWrap w:val="0"/>
                  <w:vAlign w:val="center"/>
                </w:tcPr>
                <w:p w14:paraId="28335792">
                  <w:pPr>
                    <w:pStyle w:val="1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防渗处理</w:t>
                  </w:r>
                </w:p>
              </w:tc>
              <w:tc>
                <w:tcPr>
                  <w:tcW w:w="2439" w:type="dxa"/>
                  <w:noWrap w:val="0"/>
                  <w:vAlign w:val="center"/>
                </w:tcPr>
                <w:p w14:paraId="7806940B">
                  <w:pPr>
                    <w:pStyle w:val="1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分区防渗</w:t>
                  </w:r>
                </w:p>
              </w:tc>
              <w:tc>
                <w:tcPr>
                  <w:tcW w:w="3228" w:type="dxa"/>
                  <w:noWrap w:val="0"/>
                  <w:vAlign w:val="center"/>
                </w:tcPr>
                <w:p w14:paraId="0EC8086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2976A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Merge w:val="continue"/>
                  <w:noWrap w:val="0"/>
                  <w:vAlign w:val="center"/>
                </w:tcPr>
                <w:p w14:paraId="5EE09ADA">
                  <w:pPr>
                    <w:pStyle w:val="1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p>
              </w:tc>
              <w:tc>
                <w:tcPr>
                  <w:tcW w:w="1925" w:type="dxa"/>
                  <w:noWrap w:val="0"/>
                  <w:vAlign w:val="center"/>
                </w:tcPr>
                <w:p w14:paraId="0C744CF8">
                  <w:pPr>
                    <w:pStyle w:val="1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消防</w:t>
                  </w:r>
                </w:p>
              </w:tc>
              <w:tc>
                <w:tcPr>
                  <w:tcW w:w="2439" w:type="dxa"/>
                  <w:noWrap w:val="0"/>
                  <w:vAlign w:val="center"/>
                </w:tcPr>
                <w:p w14:paraId="16BE42EC">
                  <w:pPr>
                    <w:pStyle w:val="1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按照消防安全要求，配备必要的消防设施、</w:t>
                  </w:r>
                  <w:r>
                    <w:rPr>
                      <w:rFonts w:hint="eastAsia" w:cs="Times New Roman"/>
                      <w:color w:val="auto"/>
                      <w:highlight w:val="none"/>
                      <w:lang w:val="en-US" w:eastAsia="zh-CN"/>
                    </w:rPr>
                    <w:t>配备灭火器材，</w:t>
                  </w:r>
                  <w:r>
                    <w:rPr>
                      <w:rFonts w:hint="default" w:ascii="Times New Roman" w:hAnsi="Times New Roman" w:eastAsia="宋体" w:cs="Times New Roman"/>
                      <w:color w:val="auto"/>
                      <w:highlight w:val="none"/>
                      <w:lang w:val="en-US" w:eastAsia="zh-CN"/>
                    </w:rPr>
                    <w:t>电气装置，给排水系统和通风系统等，设置严禁火标志，采取密闭、防雨、防风措施，定期开展安全检查，设置警示标识。</w:t>
                  </w:r>
                </w:p>
              </w:tc>
              <w:tc>
                <w:tcPr>
                  <w:tcW w:w="3228" w:type="dxa"/>
                  <w:noWrap w:val="0"/>
                  <w:vAlign w:val="center"/>
                </w:tcPr>
                <w:p w14:paraId="67F3BD8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14:paraId="3A2D1C82">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w:t>
            </w:r>
            <w:r>
              <w:rPr>
                <w:rFonts w:hint="eastAsia" w:cs="Times New Roman"/>
                <w:b/>
                <w:bCs w:val="0"/>
                <w:color w:val="000000" w:themeColor="text1"/>
                <w:sz w:val="24"/>
                <w:szCs w:val="24"/>
                <w:highlight w:val="none"/>
                <w:lang w:val="en-US" w:eastAsia="zh-CN"/>
                <w14:textFill>
                  <w14:solidFill>
                    <w14:schemeClr w14:val="tx1"/>
                  </w14:solidFill>
                </w14:textFill>
              </w:rPr>
              <w:t>十</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w:t>
            </w:r>
            <w:r>
              <w:rPr>
                <w:rFonts w:hint="eastAsia" w:cs="Times New Roman"/>
                <w:b/>
                <w:bCs w:val="0"/>
                <w:color w:val="000000" w:themeColor="text1"/>
                <w:sz w:val="24"/>
                <w:szCs w:val="24"/>
                <w:highlight w:val="none"/>
                <w:lang w:val="en-US" w:eastAsia="zh-CN"/>
                <w14:textFill>
                  <w14:solidFill>
                    <w14:schemeClr w14:val="tx1"/>
                  </w14:solidFill>
                </w14:textFill>
              </w:rPr>
              <w:t>排污口规范化设置</w:t>
            </w:r>
          </w:p>
          <w:p w14:paraId="017838C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废水排放口、固定噪声源、固体废物贮存和排气简和危险废物等必须按照国家和江西省的有关规定进行建设，应符合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一明显、二合理、三便于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要求，即环保标志明显，排污口设置合理，便于采集样品、便于监测计量、便于公众参与和监督管理。同时要求按照国家环保总局制定的《环境保护图形标志实施细则(试行)》的规定，设置与排污口相应的图形标志牌。</w:t>
            </w:r>
          </w:p>
          <w:p w14:paraId="24021F7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排气筒设置取样口，并具备采样监测条件，废水排放口附近竖立图形标志牌。</w:t>
            </w:r>
          </w:p>
          <w:p w14:paraId="608A549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污口管理。建设单位应在各个排污口处竖立标志牌，并如实填写《中华人民共和国规范化排污口标记登记证》，由环保部门签发。生态环境主管部门和建设单位可分别按以下内容建立排污口管理的专门档案，排污口性质和编号，位置，排放主要污染物种类、数量、浓度，排放去向，达标情况，治理设施运行情况及整改意见。</w:t>
            </w:r>
          </w:p>
          <w:p w14:paraId="22FA9E6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环境保护图形标志</w:t>
            </w:r>
          </w:p>
          <w:p w14:paraId="5920F1A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在厂区的废气排放源、固体废物贮存处置场应设置环境保护图形标志，图形符号分为提示图形和警告图形符号两种，分别按GB15562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1-1995、GB15562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2-199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5及其修改单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执行。环境保护图业符号见表4-</w:t>
            </w:r>
            <w:r>
              <w:rPr>
                <w:rFonts w:hint="eastAsia" w:cs="Times New Roman"/>
                <w:color w:val="000000" w:themeColor="text1"/>
                <w:sz w:val="24"/>
                <w:szCs w:val="24"/>
                <w:highlight w:val="none"/>
                <w:lang w:val="en-US" w:eastAsia="zh-CN"/>
                <w14:textFill>
                  <w14:solidFill>
                    <w14:schemeClr w14:val="tx1"/>
                  </w14:solidFill>
                </w14:textFill>
              </w:rPr>
              <w:t>41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环境保护图形标志的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形状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颜色见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表4-</w:t>
            </w:r>
            <w:r>
              <w:rPr>
                <w:rFonts w:hint="eastAsia" w:cs="Times New Roman"/>
                <w:color w:val="000000" w:themeColor="text1"/>
                <w:sz w:val="24"/>
                <w:szCs w:val="24"/>
                <w:highlight w:val="none"/>
                <w:lang w:val="en-US" w:eastAsia="zh-CN"/>
                <w14:textFill>
                  <w14:solidFill>
                    <w14:schemeClr w14:val="tx1"/>
                  </w14:solidFill>
                </w14:textFill>
              </w:rPr>
              <w:t>42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973BB29">
            <w:pPr>
              <w:pStyle w:val="129"/>
              <w:rPr>
                <w:rFonts w:hint="default" w:ascii="Times New Roman" w:hAnsi="Times New Roman" w:eastAsia="宋体" w:cs="Times New Roman"/>
                <w:b/>
                <w:bCs w:val="0"/>
                <w:color w:val="000000" w:themeColor="text1"/>
                <w:sz w:val="21"/>
                <w:szCs w:val="24"/>
                <w:highlight w:val="none"/>
                <w:lang w:val="zh-CN"/>
                <w14:textFill>
                  <w14:solidFill>
                    <w14:schemeClr w14:val="tx1"/>
                  </w14:solidFill>
                </w14:textFill>
              </w:rPr>
            </w:pPr>
            <w:r>
              <w:rPr>
                <w:rFonts w:hint="default" w:ascii="Times New Roman" w:hAnsi="Times New Roman" w:eastAsia="宋体" w:cs="Times New Roman"/>
                <w:b/>
                <w:bCs w:val="0"/>
                <w:color w:val="000000" w:themeColor="text1"/>
                <w:sz w:val="21"/>
                <w:szCs w:val="24"/>
                <w:highlight w:val="none"/>
                <w:lang w:val="zh-CN"/>
                <w14:textFill>
                  <w14:solidFill>
                    <w14:schemeClr w14:val="tx1"/>
                  </w14:solidFill>
                </w14:textFill>
              </w:rPr>
              <w:t>表</w:t>
            </w:r>
            <w:r>
              <w:rPr>
                <w:rFonts w:hint="eastAsia" w:ascii="Times New Roman" w:hAnsi="Times New Roman" w:eastAsia="宋体" w:cs="Times New Roman"/>
                <w:b/>
                <w:bCs w:val="0"/>
                <w:color w:val="000000" w:themeColor="text1"/>
                <w:sz w:val="21"/>
                <w:szCs w:val="24"/>
                <w:highlight w:val="none"/>
                <w:lang w:val="en-US" w:eastAsia="zh-CN"/>
                <w14:textFill>
                  <w14:solidFill>
                    <w14:schemeClr w14:val="tx1"/>
                  </w14:solidFill>
                </w14:textFill>
              </w:rPr>
              <w:t>4-</w:t>
            </w:r>
            <w:r>
              <w:rPr>
                <w:rFonts w:hint="eastAsia" w:cs="Times New Roman"/>
                <w:b/>
                <w:bCs w:val="0"/>
                <w:color w:val="000000" w:themeColor="text1"/>
                <w:sz w:val="21"/>
                <w:szCs w:val="24"/>
                <w:highlight w:val="none"/>
                <w:lang w:val="en-US" w:eastAsia="zh-CN"/>
                <w14:textFill>
                  <w14:solidFill>
                    <w14:schemeClr w14:val="tx1"/>
                  </w14:solidFill>
                </w14:textFill>
              </w:rPr>
              <w:t xml:space="preserve">41 </w:t>
            </w:r>
            <w:r>
              <w:rPr>
                <w:rFonts w:hint="default" w:ascii="Times New Roman" w:hAnsi="Times New Roman" w:eastAsia="宋体" w:cs="Times New Roman"/>
                <w:b/>
                <w:bCs w:val="0"/>
                <w:color w:val="000000" w:themeColor="text1"/>
                <w:sz w:val="21"/>
                <w:szCs w:val="24"/>
                <w:highlight w:val="none"/>
                <w:lang w:val="zh-CN"/>
                <w14:textFill>
                  <w14:solidFill>
                    <w14:schemeClr w14:val="tx1"/>
                  </w14:solidFill>
                </w14:textFill>
              </w:rPr>
              <w:t xml:space="preserve"> 环境保护图形符号一览表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908"/>
              <w:gridCol w:w="1732"/>
              <w:gridCol w:w="1334"/>
              <w:gridCol w:w="2662"/>
            </w:tblGrid>
            <w:tr w14:paraId="2A964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tcBorders>
                    <w:tl2br w:val="nil"/>
                    <w:tr2bl w:val="nil"/>
                  </w:tcBorders>
                  <w:vAlign w:val="center"/>
                </w:tcPr>
                <w:p w14:paraId="5B2FF900">
                  <w:pPr>
                    <w:spacing w:before="40" w:after="40" w:line="240" w:lineRule="atLeast"/>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序号</w:t>
                  </w:r>
                </w:p>
              </w:tc>
              <w:tc>
                <w:tcPr>
                  <w:tcW w:w="1165" w:type="pct"/>
                  <w:tcBorders>
                    <w:tl2br w:val="nil"/>
                    <w:tr2bl w:val="nil"/>
                  </w:tcBorders>
                  <w:vAlign w:val="center"/>
                </w:tcPr>
                <w:p w14:paraId="2DFDC14B">
                  <w:pPr>
                    <w:spacing w:before="40" w:after="40" w:line="240" w:lineRule="atLeast"/>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提示图形符号</w:t>
                  </w:r>
                </w:p>
              </w:tc>
              <w:tc>
                <w:tcPr>
                  <w:tcW w:w="1057" w:type="pct"/>
                  <w:tcBorders>
                    <w:tl2br w:val="nil"/>
                    <w:tr2bl w:val="nil"/>
                  </w:tcBorders>
                  <w:vAlign w:val="center"/>
                </w:tcPr>
                <w:p w14:paraId="54EB01E2">
                  <w:pPr>
                    <w:spacing w:before="40" w:after="40" w:line="240" w:lineRule="atLeast"/>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警告图形符号</w:t>
                  </w:r>
                </w:p>
              </w:tc>
              <w:tc>
                <w:tcPr>
                  <w:tcW w:w="814" w:type="pct"/>
                  <w:tcBorders>
                    <w:tl2br w:val="nil"/>
                    <w:tr2bl w:val="nil"/>
                  </w:tcBorders>
                  <w:vAlign w:val="center"/>
                </w:tcPr>
                <w:p w14:paraId="03137F89">
                  <w:pPr>
                    <w:spacing w:before="40" w:after="40" w:line="240" w:lineRule="atLeast"/>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名称</w:t>
                  </w:r>
                </w:p>
              </w:tc>
              <w:tc>
                <w:tcPr>
                  <w:tcW w:w="1625" w:type="pct"/>
                  <w:tcBorders>
                    <w:tl2br w:val="nil"/>
                    <w:tr2bl w:val="nil"/>
                  </w:tcBorders>
                  <w:vAlign w:val="center"/>
                </w:tcPr>
                <w:p w14:paraId="41A46F3D">
                  <w:pPr>
                    <w:spacing w:before="40" w:after="40" w:line="240" w:lineRule="atLeast"/>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功能</w:t>
                  </w:r>
                </w:p>
              </w:tc>
            </w:tr>
            <w:tr w14:paraId="1BF86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tcBorders>
                    <w:tl2br w:val="nil"/>
                    <w:tr2bl w:val="nil"/>
                  </w:tcBorders>
                  <w:vAlign w:val="center"/>
                </w:tcPr>
                <w:p w14:paraId="4B97D390">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1</w:t>
                  </w:r>
                </w:p>
              </w:tc>
              <w:tc>
                <w:tcPr>
                  <w:tcW w:w="1165" w:type="pct"/>
                  <w:tcBorders>
                    <w:tl2br w:val="nil"/>
                    <w:tr2bl w:val="nil"/>
                  </w:tcBorders>
                  <w:vAlign w:val="center"/>
                </w:tcPr>
                <w:p w14:paraId="4D260074">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drawing>
                      <wp:inline distT="0" distB="0" distL="114300" distR="114300">
                        <wp:extent cx="890905" cy="887730"/>
                        <wp:effectExtent l="0" t="0" r="4445" b="7620"/>
                        <wp:docPr id="60" name="图片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未标题-1"/>
                                <pic:cNvPicPr>
                                  <a:picLocks noChangeAspect="1"/>
                                </pic:cNvPicPr>
                              </pic:nvPicPr>
                              <pic:blipFill>
                                <a:blip r:embed="rId44"/>
                                <a:stretch>
                                  <a:fillRect/>
                                </a:stretch>
                              </pic:blipFill>
                              <pic:spPr>
                                <a:xfrm>
                                  <a:off x="0" y="0"/>
                                  <a:ext cx="890905" cy="887730"/>
                                </a:xfrm>
                                <a:prstGeom prst="rect">
                                  <a:avLst/>
                                </a:prstGeom>
                                <a:noFill/>
                                <a:ln>
                                  <a:noFill/>
                                </a:ln>
                              </pic:spPr>
                            </pic:pic>
                          </a:graphicData>
                        </a:graphic>
                      </wp:inline>
                    </w:drawing>
                  </w:r>
                </w:p>
              </w:tc>
              <w:tc>
                <w:tcPr>
                  <w:tcW w:w="1057" w:type="pct"/>
                  <w:tcBorders>
                    <w:tl2br w:val="nil"/>
                    <w:tr2bl w:val="nil"/>
                  </w:tcBorders>
                  <w:vAlign w:val="center"/>
                </w:tcPr>
                <w:p w14:paraId="0AA9D0BE">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drawing>
                      <wp:inline distT="0" distB="0" distL="114300" distR="114300">
                        <wp:extent cx="862330" cy="859790"/>
                        <wp:effectExtent l="0" t="0" r="13970" b="16510"/>
                        <wp:docPr id="61"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未标题-2"/>
                                <pic:cNvPicPr>
                                  <a:picLocks noChangeAspect="1"/>
                                </pic:cNvPicPr>
                              </pic:nvPicPr>
                              <pic:blipFill>
                                <a:blip r:embed="rId45"/>
                                <a:stretch>
                                  <a:fillRect/>
                                </a:stretch>
                              </pic:blipFill>
                              <pic:spPr>
                                <a:xfrm>
                                  <a:off x="0" y="0"/>
                                  <a:ext cx="862330" cy="859790"/>
                                </a:xfrm>
                                <a:prstGeom prst="rect">
                                  <a:avLst/>
                                </a:prstGeom>
                                <a:noFill/>
                                <a:ln>
                                  <a:noFill/>
                                </a:ln>
                              </pic:spPr>
                            </pic:pic>
                          </a:graphicData>
                        </a:graphic>
                      </wp:inline>
                    </w:drawing>
                  </w:r>
                </w:p>
              </w:tc>
              <w:tc>
                <w:tcPr>
                  <w:tcW w:w="814" w:type="pct"/>
                  <w:tcBorders>
                    <w:tl2br w:val="nil"/>
                    <w:tr2bl w:val="nil"/>
                  </w:tcBorders>
                  <w:vAlign w:val="center"/>
                </w:tcPr>
                <w:p w14:paraId="1E77F110">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废水排放口</w:t>
                  </w:r>
                </w:p>
              </w:tc>
              <w:tc>
                <w:tcPr>
                  <w:tcW w:w="1625" w:type="pct"/>
                  <w:tcBorders>
                    <w:tl2br w:val="nil"/>
                    <w:tr2bl w:val="nil"/>
                  </w:tcBorders>
                  <w:vAlign w:val="center"/>
                </w:tcPr>
                <w:p w14:paraId="6E8EDD87">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表示废水向水体排放</w:t>
                  </w:r>
                </w:p>
              </w:tc>
            </w:tr>
            <w:tr w14:paraId="5E138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tcBorders>
                    <w:tl2br w:val="nil"/>
                    <w:tr2bl w:val="nil"/>
                  </w:tcBorders>
                  <w:vAlign w:val="center"/>
                </w:tcPr>
                <w:p w14:paraId="5F366649">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2</w:t>
                  </w:r>
                </w:p>
              </w:tc>
              <w:tc>
                <w:tcPr>
                  <w:tcW w:w="1165" w:type="pct"/>
                  <w:tcBorders>
                    <w:tl2br w:val="nil"/>
                    <w:tr2bl w:val="nil"/>
                  </w:tcBorders>
                  <w:vAlign w:val="center"/>
                </w:tcPr>
                <w:p w14:paraId="7605E285">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drawing>
                      <wp:inline distT="0" distB="0" distL="114300" distR="114300">
                        <wp:extent cx="854075" cy="850900"/>
                        <wp:effectExtent l="0" t="0" r="3175" b="6350"/>
                        <wp:docPr id="62"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未标题-3"/>
                                <pic:cNvPicPr>
                                  <a:picLocks noChangeAspect="1"/>
                                </pic:cNvPicPr>
                              </pic:nvPicPr>
                              <pic:blipFill>
                                <a:blip r:embed="rId46"/>
                                <a:stretch>
                                  <a:fillRect/>
                                </a:stretch>
                              </pic:blipFill>
                              <pic:spPr>
                                <a:xfrm>
                                  <a:off x="0" y="0"/>
                                  <a:ext cx="854075" cy="850900"/>
                                </a:xfrm>
                                <a:prstGeom prst="rect">
                                  <a:avLst/>
                                </a:prstGeom>
                                <a:noFill/>
                                <a:ln>
                                  <a:noFill/>
                                </a:ln>
                              </pic:spPr>
                            </pic:pic>
                          </a:graphicData>
                        </a:graphic>
                      </wp:inline>
                    </w:drawing>
                  </w:r>
                </w:p>
              </w:tc>
              <w:tc>
                <w:tcPr>
                  <w:tcW w:w="1057" w:type="pct"/>
                  <w:tcBorders>
                    <w:tl2br w:val="nil"/>
                    <w:tr2bl w:val="nil"/>
                  </w:tcBorders>
                  <w:vAlign w:val="center"/>
                </w:tcPr>
                <w:p w14:paraId="4B3D1F7C">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drawing>
                      <wp:inline distT="0" distB="0" distL="114300" distR="114300">
                        <wp:extent cx="862330" cy="904875"/>
                        <wp:effectExtent l="0" t="0" r="13970" b="9525"/>
                        <wp:docPr id="63"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未标题-4"/>
                                <pic:cNvPicPr>
                                  <a:picLocks noChangeAspect="1"/>
                                </pic:cNvPicPr>
                              </pic:nvPicPr>
                              <pic:blipFill>
                                <a:blip r:embed="rId47"/>
                                <a:stretch>
                                  <a:fillRect/>
                                </a:stretch>
                              </pic:blipFill>
                              <pic:spPr>
                                <a:xfrm>
                                  <a:off x="0" y="0"/>
                                  <a:ext cx="862330" cy="904875"/>
                                </a:xfrm>
                                <a:prstGeom prst="rect">
                                  <a:avLst/>
                                </a:prstGeom>
                                <a:noFill/>
                                <a:ln>
                                  <a:noFill/>
                                </a:ln>
                              </pic:spPr>
                            </pic:pic>
                          </a:graphicData>
                        </a:graphic>
                      </wp:inline>
                    </w:drawing>
                  </w:r>
                </w:p>
              </w:tc>
              <w:tc>
                <w:tcPr>
                  <w:tcW w:w="814" w:type="pct"/>
                  <w:tcBorders>
                    <w:tl2br w:val="nil"/>
                    <w:tr2bl w:val="nil"/>
                  </w:tcBorders>
                  <w:vAlign w:val="center"/>
                </w:tcPr>
                <w:p w14:paraId="57F1B842">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废气排放口</w:t>
                  </w:r>
                </w:p>
              </w:tc>
              <w:tc>
                <w:tcPr>
                  <w:tcW w:w="1625" w:type="pct"/>
                  <w:tcBorders>
                    <w:tl2br w:val="nil"/>
                    <w:tr2bl w:val="nil"/>
                  </w:tcBorders>
                  <w:vAlign w:val="center"/>
                </w:tcPr>
                <w:p w14:paraId="207EACA5">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表示废气向大气环境排放</w:t>
                  </w:r>
                </w:p>
              </w:tc>
            </w:tr>
            <w:tr w14:paraId="7AD82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tcBorders>
                    <w:tl2br w:val="nil"/>
                    <w:tr2bl w:val="nil"/>
                  </w:tcBorders>
                  <w:vAlign w:val="center"/>
                </w:tcPr>
                <w:p w14:paraId="39B5B616">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3</w:t>
                  </w:r>
                </w:p>
              </w:tc>
              <w:tc>
                <w:tcPr>
                  <w:tcW w:w="1165" w:type="pct"/>
                  <w:tcBorders>
                    <w:tl2br w:val="nil"/>
                    <w:tr2bl w:val="nil"/>
                  </w:tcBorders>
                  <w:vAlign w:val="center"/>
                </w:tcPr>
                <w:p w14:paraId="788EFD45">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drawing>
                      <wp:inline distT="0" distB="0" distL="114300" distR="114300">
                        <wp:extent cx="835025" cy="819785"/>
                        <wp:effectExtent l="0" t="0" r="3175" b="18415"/>
                        <wp:docPr id="64" name="图片 6" descr="未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未标题-5"/>
                                <pic:cNvPicPr>
                                  <a:picLocks noChangeAspect="1"/>
                                </pic:cNvPicPr>
                              </pic:nvPicPr>
                              <pic:blipFill>
                                <a:blip r:embed="rId48"/>
                                <a:stretch>
                                  <a:fillRect/>
                                </a:stretch>
                              </pic:blipFill>
                              <pic:spPr>
                                <a:xfrm>
                                  <a:off x="0" y="0"/>
                                  <a:ext cx="835025" cy="819785"/>
                                </a:xfrm>
                                <a:prstGeom prst="rect">
                                  <a:avLst/>
                                </a:prstGeom>
                                <a:noFill/>
                                <a:ln>
                                  <a:noFill/>
                                </a:ln>
                              </pic:spPr>
                            </pic:pic>
                          </a:graphicData>
                        </a:graphic>
                      </wp:inline>
                    </w:drawing>
                  </w:r>
                </w:p>
              </w:tc>
              <w:tc>
                <w:tcPr>
                  <w:tcW w:w="1057" w:type="pct"/>
                  <w:tcBorders>
                    <w:tl2br w:val="nil"/>
                    <w:tr2bl w:val="nil"/>
                  </w:tcBorders>
                  <w:vAlign w:val="center"/>
                </w:tcPr>
                <w:p w14:paraId="6A89DEDC">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drawing>
                      <wp:inline distT="0" distB="0" distL="114300" distR="114300">
                        <wp:extent cx="926465" cy="877570"/>
                        <wp:effectExtent l="0" t="0" r="6985" b="17780"/>
                        <wp:docPr id="65" name="图片 65"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未标题-6"/>
                                <pic:cNvPicPr>
                                  <a:picLocks noChangeAspect="1"/>
                                </pic:cNvPicPr>
                              </pic:nvPicPr>
                              <pic:blipFill>
                                <a:blip r:embed="rId49"/>
                                <a:stretch>
                                  <a:fillRect/>
                                </a:stretch>
                              </pic:blipFill>
                              <pic:spPr>
                                <a:xfrm>
                                  <a:off x="0" y="0"/>
                                  <a:ext cx="926465" cy="877570"/>
                                </a:xfrm>
                                <a:prstGeom prst="rect">
                                  <a:avLst/>
                                </a:prstGeom>
                                <a:noFill/>
                                <a:ln>
                                  <a:noFill/>
                                </a:ln>
                              </pic:spPr>
                            </pic:pic>
                          </a:graphicData>
                        </a:graphic>
                      </wp:inline>
                    </w:drawing>
                  </w:r>
                </w:p>
              </w:tc>
              <w:tc>
                <w:tcPr>
                  <w:tcW w:w="814" w:type="pct"/>
                  <w:tcBorders>
                    <w:tl2br w:val="nil"/>
                    <w:tr2bl w:val="nil"/>
                  </w:tcBorders>
                  <w:vAlign w:val="center"/>
                </w:tcPr>
                <w:p w14:paraId="60AB4564">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一般固体废物</w:t>
                  </w:r>
                </w:p>
              </w:tc>
              <w:tc>
                <w:tcPr>
                  <w:tcW w:w="1625" w:type="pct"/>
                  <w:tcBorders>
                    <w:tl2br w:val="nil"/>
                    <w:tr2bl w:val="nil"/>
                  </w:tcBorders>
                  <w:vAlign w:val="center"/>
                </w:tcPr>
                <w:p w14:paraId="0415FDC1">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表示一般固体废物贮存、处置场</w:t>
                  </w:r>
                </w:p>
              </w:tc>
            </w:tr>
            <w:tr w14:paraId="76977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tcBorders>
                    <w:tl2br w:val="nil"/>
                    <w:tr2bl w:val="nil"/>
                  </w:tcBorders>
                  <w:vAlign w:val="center"/>
                </w:tcPr>
                <w:p w14:paraId="5D246B37">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4</w:t>
                  </w:r>
                </w:p>
              </w:tc>
              <w:tc>
                <w:tcPr>
                  <w:tcW w:w="1165" w:type="pct"/>
                  <w:tcBorders>
                    <w:tl2br w:val="nil"/>
                    <w:tr2bl w:val="nil"/>
                  </w:tcBorders>
                  <w:vAlign w:val="center"/>
                </w:tcPr>
                <w:p w14:paraId="2B3275D8">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drawing>
                      <wp:inline distT="0" distB="0" distL="114300" distR="114300">
                        <wp:extent cx="862330" cy="850265"/>
                        <wp:effectExtent l="0" t="0" r="13970" b="6985"/>
                        <wp:docPr id="67" name="图片 8" descr="未标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descr="未标题-7"/>
                                <pic:cNvPicPr>
                                  <a:picLocks noChangeAspect="1"/>
                                </pic:cNvPicPr>
                              </pic:nvPicPr>
                              <pic:blipFill>
                                <a:blip r:embed="rId50"/>
                                <a:stretch>
                                  <a:fillRect/>
                                </a:stretch>
                              </pic:blipFill>
                              <pic:spPr>
                                <a:xfrm>
                                  <a:off x="0" y="0"/>
                                  <a:ext cx="862330" cy="850265"/>
                                </a:xfrm>
                                <a:prstGeom prst="rect">
                                  <a:avLst/>
                                </a:prstGeom>
                                <a:noFill/>
                                <a:ln>
                                  <a:noFill/>
                                </a:ln>
                              </pic:spPr>
                            </pic:pic>
                          </a:graphicData>
                        </a:graphic>
                      </wp:inline>
                    </w:drawing>
                  </w:r>
                </w:p>
              </w:tc>
              <w:tc>
                <w:tcPr>
                  <w:tcW w:w="1057" w:type="pct"/>
                  <w:tcBorders>
                    <w:tl2br w:val="nil"/>
                    <w:tr2bl w:val="nil"/>
                  </w:tcBorders>
                  <w:vAlign w:val="center"/>
                </w:tcPr>
                <w:p w14:paraId="785A55FF">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drawing>
                      <wp:inline distT="0" distB="0" distL="114300" distR="114300">
                        <wp:extent cx="944880" cy="859790"/>
                        <wp:effectExtent l="0" t="0" r="7620" b="16510"/>
                        <wp:docPr id="68" name="图片 9"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descr="未标题-8"/>
                                <pic:cNvPicPr>
                                  <a:picLocks noChangeAspect="1"/>
                                </pic:cNvPicPr>
                              </pic:nvPicPr>
                              <pic:blipFill>
                                <a:blip r:embed="rId51"/>
                                <a:stretch>
                                  <a:fillRect/>
                                </a:stretch>
                              </pic:blipFill>
                              <pic:spPr>
                                <a:xfrm>
                                  <a:off x="0" y="0"/>
                                  <a:ext cx="944880" cy="859790"/>
                                </a:xfrm>
                                <a:prstGeom prst="rect">
                                  <a:avLst/>
                                </a:prstGeom>
                                <a:noFill/>
                                <a:ln>
                                  <a:noFill/>
                                </a:ln>
                              </pic:spPr>
                            </pic:pic>
                          </a:graphicData>
                        </a:graphic>
                      </wp:inline>
                    </w:drawing>
                  </w:r>
                </w:p>
              </w:tc>
              <w:tc>
                <w:tcPr>
                  <w:tcW w:w="814" w:type="pct"/>
                  <w:tcBorders>
                    <w:tl2br w:val="nil"/>
                    <w:tr2bl w:val="nil"/>
                  </w:tcBorders>
                  <w:vAlign w:val="center"/>
                </w:tcPr>
                <w:p w14:paraId="0350C6FE">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噪声排放源</w:t>
                  </w:r>
                </w:p>
              </w:tc>
              <w:tc>
                <w:tcPr>
                  <w:tcW w:w="1625" w:type="pct"/>
                  <w:tcBorders>
                    <w:tl2br w:val="nil"/>
                    <w:tr2bl w:val="nil"/>
                  </w:tcBorders>
                  <w:vAlign w:val="center"/>
                </w:tcPr>
                <w:p w14:paraId="496FCB46">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表示噪声向外环境排放</w:t>
                  </w:r>
                </w:p>
              </w:tc>
            </w:tr>
            <w:tr w14:paraId="59222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tcBorders>
                    <w:tl2br w:val="nil"/>
                    <w:tr2bl w:val="nil"/>
                  </w:tcBorders>
                  <w:vAlign w:val="center"/>
                </w:tcPr>
                <w:p w14:paraId="50EBD321">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5</w:t>
                  </w:r>
                </w:p>
              </w:tc>
              <w:tc>
                <w:tcPr>
                  <w:tcW w:w="1165" w:type="pct"/>
                  <w:tcBorders>
                    <w:tl2br w:val="nil"/>
                    <w:tr2bl w:val="nil"/>
                  </w:tcBorders>
                  <w:vAlign w:val="center"/>
                </w:tcPr>
                <w:p w14:paraId="54098463">
                  <w:pPr>
                    <w:spacing w:before="40" w:after="40" w:line="240" w:lineRule="atLeast"/>
                    <w:jc w:val="center"/>
                    <w:rPr>
                      <w:rFonts w:ascii="Times New Roman"/>
                      <w:color w:val="000000" w:themeColor="text1"/>
                      <w:sz w:val="21"/>
                      <w:szCs w:val="21"/>
                      <w14:textFill>
                        <w14:solidFill>
                          <w14:schemeClr w14:val="tx1"/>
                        </w14:solidFill>
                      </w14:textFill>
                    </w:rPr>
                  </w:pPr>
                </w:p>
              </w:tc>
              <w:tc>
                <w:tcPr>
                  <w:tcW w:w="1057" w:type="pct"/>
                  <w:tcBorders>
                    <w:tl2br w:val="nil"/>
                    <w:tr2bl w:val="nil"/>
                  </w:tcBorders>
                  <w:vAlign w:val="center"/>
                </w:tcPr>
                <w:p w14:paraId="03B02452">
                  <w:pPr>
                    <w:spacing w:before="40" w:after="40" w:line="240" w:lineRule="atLeast"/>
                    <w:jc w:val="center"/>
                    <w:rPr>
                      <w:rFonts w:ascii="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drawing>
                      <wp:inline distT="0" distB="0" distL="114300" distR="114300">
                        <wp:extent cx="1108710" cy="1090295"/>
                        <wp:effectExtent l="0" t="0" r="15240" b="14605"/>
                        <wp:docPr id="33" name="图片 18" descr="f038ce1b0a64286d307e5d8148db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f038ce1b0a64286d307e5d8148db679"/>
                                <pic:cNvPicPr>
                                  <a:picLocks noChangeAspect="1"/>
                                </pic:cNvPicPr>
                              </pic:nvPicPr>
                              <pic:blipFill>
                                <a:blip r:embed="rId52"/>
                                <a:stretch>
                                  <a:fillRect/>
                                </a:stretch>
                              </pic:blipFill>
                              <pic:spPr>
                                <a:xfrm>
                                  <a:off x="0" y="0"/>
                                  <a:ext cx="1108710" cy="1090295"/>
                                </a:xfrm>
                                <a:prstGeom prst="rect">
                                  <a:avLst/>
                                </a:prstGeom>
                                <a:noFill/>
                                <a:ln>
                                  <a:noFill/>
                                </a:ln>
                              </pic:spPr>
                            </pic:pic>
                          </a:graphicData>
                        </a:graphic>
                      </wp:inline>
                    </w:drawing>
                  </w:r>
                </w:p>
              </w:tc>
              <w:tc>
                <w:tcPr>
                  <w:tcW w:w="814" w:type="pct"/>
                  <w:tcBorders>
                    <w:tl2br w:val="nil"/>
                    <w:tr2bl w:val="nil"/>
                  </w:tcBorders>
                  <w:vAlign w:val="center"/>
                </w:tcPr>
                <w:p w14:paraId="4FE7E14A">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危险废物</w:t>
                  </w:r>
                </w:p>
              </w:tc>
              <w:tc>
                <w:tcPr>
                  <w:tcW w:w="1625" w:type="pct"/>
                  <w:tcBorders>
                    <w:tl2br w:val="nil"/>
                    <w:tr2bl w:val="nil"/>
                  </w:tcBorders>
                  <w:vAlign w:val="center"/>
                </w:tcPr>
                <w:p w14:paraId="01F2D446">
                  <w:pPr>
                    <w:spacing w:before="40" w:after="40" w:line="240" w:lineRule="atLeast"/>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表示危险废物贮存、处置场</w:t>
                  </w:r>
                </w:p>
              </w:tc>
            </w:tr>
          </w:tbl>
          <w:p w14:paraId="1E0953A2">
            <w:pPr>
              <w:pStyle w:val="129"/>
              <w:rPr>
                <w:rFonts w:hint="default" w:ascii="Times New Roman" w:hAnsi="Times New Roman" w:eastAsia="宋体" w:cs="Times New Roman"/>
                <w:b/>
                <w:bCs w:val="0"/>
                <w:color w:val="000000" w:themeColor="text1"/>
                <w:sz w:val="21"/>
                <w:szCs w:val="24"/>
                <w:highlight w:val="none"/>
                <w:lang w:val="zh-CN"/>
                <w14:textFill>
                  <w14:solidFill>
                    <w14:schemeClr w14:val="tx1"/>
                  </w14:solidFill>
                </w14:textFill>
              </w:rPr>
            </w:pPr>
            <w:r>
              <w:rPr>
                <w:rFonts w:hint="default" w:ascii="Times New Roman" w:hAnsi="Times New Roman" w:eastAsia="宋体" w:cs="Times New Roman"/>
                <w:b/>
                <w:bCs w:val="0"/>
                <w:color w:val="000000" w:themeColor="text1"/>
                <w:sz w:val="21"/>
                <w:szCs w:val="24"/>
                <w:highlight w:val="none"/>
                <w:lang w:val="zh-CN"/>
                <w14:textFill>
                  <w14:solidFill>
                    <w14:schemeClr w14:val="tx1"/>
                  </w14:solidFill>
                </w14:textFill>
              </w:rPr>
              <w:t>表</w:t>
            </w:r>
            <w:r>
              <w:rPr>
                <w:rFonts w:hint="eastAsia" w:ascii="Times New Roman" w:hAnsi="Times New Roman" w:eastAsia="宋体" w:cs="Times New Roman"/>
                <w:b/>
                <w:bCs w:val="0"/>
                <w:color w:val="000000" w:themeColor="text1"/>
                <w:sz w:val="21"/>
                <w:szCs w:val="24"/>
                <w:highlight w:val="none"/>
                <w:lang w:val="en-US" w:eastAsia="zh-CN"/>
                <w14:textFill>
                  <w14:solidFill>
                    <w14:schemeClr w14:val="tx1"/>
                  </w14:solidFill>
                </w14:textFill>
              </w:rPr>
              <w:t>4-</w:t>
            </w:r>
            <w:r>
              <w:rPr>
                <w:rFonts w:hint="eastAsia" w:cs="Times New Roman"/>
                <w:b/>
                <w:bCs w:val="0"/>
                <w:color w:val="000000" w:themeColor="text1"/>
                <w:sz w:val="21"/>
                <w:szCs w:val="24"/>
                <w:highlight w:val="none"/>
                <w:lang w:val="en-US" w:eastAsia="zh-CN"/>
                <w14:textFill>
                  <w14:solidFill>
                    <w14:schemeClr w14:val="tx1"/>
                  </w14:solidFill>
                </w14:textFill>
              </w:rPr>
              <w:t>42</w:t>
            </w:r>
            <w:r>
              <w:rPr>
                <w:rFonts w:hint="default" w:ascii="Times New Roman" w:hAnsi="Times New Roman" w:eastAsia="宋体" w:cs="Times New Roman"/>
                <w:b/>
                <w:bCs w:val="0"/>
                <w:color w:val="000000" w:themeColor="text1"/>
                <w:sz w:val="21"/>
                <w:szCs w:val="24"/>
                <w:highlight w:val="none"/>
                <w:lang w:val="zh-CN"/>
                <w14:textFill>
                  <w14:solidFill>
                    <w14:schemeClr w14:val="tx1"/>
                  </w14:solidFill>
                </w14:textFill>
              </w:rPr>
              <w:t xml:space="preserve">  环境保护图形标志的形状及颜色表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2044"/>
              <w:gridCol w:w="2050"/>
              <w:gridCol w:w="2050"/>
            </w:tblGrid>
            <w:tr w14:paraId="0DF46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Align w:val="center"/>
                </w:tcPr>
                <w:p w14:paraId="1B1C5DF4">
                  <w:pPr>
                    <w:pStyle w:val="69"/>
                    <w:rPr>
                      <w:rFonts w:ascii="Times New Roman" w:hAnsi="Times New Roman" w:eastAsia="宋体" w:cs="Times New Roman"/>
                      <w:b/>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标志名称</w:t>
                  </w:r>
                </w:p>
              </w:tc>
              <w:tc>
                <w:tcPr>
                  <w:tcW w:w="1248" w:type="pct"/>
                  <w:vAlign w:val="center"/>
                </w:tcPr>
                <w:p w14:paraId="3C6AED2C">
                  <w:pPr>
                    <w:pStyle w:val="69"/>
                    <w:rPr>
                      <w:rFonts w:ascii="Times New Roman" w:hAnsi="Times New Roman" w:eastAsia="宋体" w:cs="Times New Roman"/>
                      <w:b/>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形状</w:t>
                  </w:r>
                </w:p>
              </w:tc>
              <w:tc>
                <w:tcPr>
                  <w:tcW w:w="1251" w:type="pct"/>
                  <w:vAlign w:val="center"/>
                </w:tcPr>
                <w:p w14:paraId="2A2F641D">
                  <w:pPr>
                    <w:pStyle w:val="69"/>
                    <w:rPr>
                      <w:rFonts w:ascii="Times New Roman" w:hAnsi="Times New Roman" w:eastAsia="宋体" w:cs="Times New Roman"/>
                      <w:b/>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背景颜色</w:t>
                  </w:r>
                </w:p>
              </w:tc>
              <w:tc>
                <w:tcPr>
                  <w:tcW w:w="1251" w:type="pct"/>
                  <w:vAlign w:val="center"/>
                </w:tcPr>
                <w:p w14:paraId="526C3DA1">
                  <w:pPr>
                    <w:pStyle w:val="69"/>
                    <w:rPr>
                      <w:rFonts w:ascii="Times New Roman" w:hAnsi="Times New Roman" w:eastAsia="宋体" w:cs="Times New Roman"/>
                      <w:b/>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图形颜色</w:t>
                  </w:r>
                </w:p>
              </w:tc>
            </w:tr>
            <w:tr w14:paraId="1F5D9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Align w:val="center"/>
                </w:tcPr>
                <w:p w14:paraId="36B8CA24">
                  <w:pPr>
                    <w:pStyle w:val="69"/>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警告标志</w:t>
                  </w:r>
                </w:p>
              </w:tc>
              <w:tc>
                <w:tcPr>
                  <w:tcW w:w="1248" w:type="pct"/>
                  <w:vAlign w:val="center"/>
                </w:tcPr>
                <w:p w14:paraId="221AE57F">
                  <w:pPr>
                    <w:pStyle w:val="69"/>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三角形边框</w:t>
                  </w:r>
                </w:p>
              </w:tc>
              <w:tc>
                <w:tcPr>
                  <w:tcW w:w="1251" w:type="pct"/>
                  <w:vAlign w:val="center"/>
                </w:tcPr>
                <w:p w14:paraId="4EA5007C">
                  <w:pPr>
                    <w:pStyle w:val="69"/>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黄色</w:t>
                  </w:r>
                </w:p>
              </w:tc>
              <w:tc>
                <w:tcPr>
                  <w:tcW w:w="1251" w:type="pct"/>
                  <w:vAlign w:val="center"/>
                </w:tcPr>
                <w:p w14:paraId="370079F0">
                  <w:pPr>
                    <w:pStyle w:val="69"/>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黑色</w:t>
                  </w:r>
                </w:p>
              </w:tc>
            </w:tr>
            <w:tr w14:paraId="09F32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Align w:val="center"/>
                </w:tcPr>
                <w:p w14:paraId="0F80C989">
                  <w:pPr>
                    <w:pStyle w:val="69"/>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提示标志</w:t>
                  </w:r>
                </w:p>
              </w:tc>
              <w:tc>
                <w:tcPr>
                  <w:tcW w:w="1248" w:type="pct"/>
                  <w:vAlign w:val="center"/>
                </w:tcPr>
                <w:p w14:paraId="12995E74">
                  <w:pPr>
                    <w:pStyle w:val="69"/>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正方形边框</w:t>
                  </w:r>
                </w:p>
              </w:tc>
              <w:tc>
                <w:tcPr>
                  <w:tcW w:w="1251" w:type="pct"/>
                  <w:vAlign w:val="center"/>
                </w:tcPr>
                <w:p w14:paraId="64C3281E">
                  <w:pPr>
                    <w:pStyle w:val="69"/>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绿色</w:t>
                  </w:r>
                </w:p>
              </w:tc>
              <w:tc>
                <w:tcPr>
                  <w:tcW w:w="1251" w:type="pct"/>
                  <w:vAlign w:val="center"/>
                </w:tcPr>
                <w:p w14:paraId="5F384D59">
                  <w:pPr>
                    <w:pStyle w:val="69"/>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白色</w:t>
                  </w:r>
                </w:p>
              </w:tc>
            </w:tr>
          </w:tbl>
          <w:p w14:paraId="5E47EF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p>
        </w:tc>
      </w:tr>
    </w:tbl>
    <w:p w14:paraId="1946CBCF">
      <w:pPr>
        <w:adjustRightInd w:val="0"/>
        <w:snapToGrid w:val="0"/>
        <w:jc w:val="center"/>
        <w:rPr>
          <w:rFonts w:hint="default" w:ascii="宋体" w:hAnsi="宋体" w:eastAsia="宋体" w:cs="宋体"/>
          <w:color w:val="auto"/>
          <w:kern w:val="0"/>
          <w:sz w:val="24"/>
          <w:szCs w:val="24"/>
          <w:lang w:val="en-US" w:eastAsia="zh-CN" w:bidi="ar-SA"/>
        </w:rPr>
      </w:pPr>
      <w:r>
        <w:rPr>
          <w:rFonts w:hint="default" w:ascii="宋体" w:hAnsi="宋体" w:eastAsia="宋体" w:cs="宋体"/>
          <w:color w:val="auto"/>
          <w:kern w:val="0"/>
          <w:sz w:val="24"/>
          <w:szCs w:val="24"/>
          <w:lang w:val="en-US" w:eastAsia="zh-CN" w:bidi="ar-SA"/>
        </w:rPr>
        <w:br w:type="page"/>
      </w:r>
    </w:p>
    <w:p w14:paraId="53CA0BC8">
      <w:pPr>
        <w:adjustRightInd w:val="0"/>
        <w:snapToGrid w:val="0"/>
        <w:jc w:val="center"/>
        <w:rPr>
          <w:rFonts w:hint="default" w:ascii="宋体" w:hAnsi="宋体" w:eastAsia="宋体" w:cs="宋体"/>
          <w:color w:val="auto"/>
          <w:kern w:val="0"/>
          <w:sz w:val="24"/>
          <w:szCs w:val="24"/>
          <w:lang w:val="en-US" w:eastAsia="zh-CN" w:bidi="ar-S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0BC9FF3">
      <w:pPr>
        <w:pStyle w:val="29"/>
        <w:jc w:val="center"/>
        <w:outlineLvl w:val="0"/>
        <w:rPr>
          <w:rFonts w:ascii="黑体" w:hAnsi="黑体" w:eastAsia="黑体"/>
          <w:snapToGrid w:val="0"/>
          <w:color w:val="auto"/>
          <w:sz w:val="30"/>
          <w:szCs w:val="30"/>
          <w:highlight w:val="none"/>
        </w:rPr>
      </w:pPr>
      <w:bookmarkStart w:id="6" w:name="_Toc4804"/>
      <w:r>
        <w:rPr>
          <w:rFonts w:hint="eastAsia" w:ascii="黑体" w:hAnsi="黑体" w:eastAsia="黑体"/>
          <w:snapToGrid w:val="0"/>
          <w:color w:val="auto"/>
          <w:sz w:val="30"/>
          <w:szCs w:val="30"/>
          <w:highlight w:val="none"/>
        </w:rPr>
        <w:t>五、</w:t>
      </w:r>
      <w:bookmarkStart w:id="7" w:name="_Hlk54167917"/>
      <w:r>
        <w:rPr>
          <w:rFonts w:hint="eastAsia" w:ascii="黑体" w:hAnsi="黑体" w:eastAsia="黑体"/>
          <w:snapToGrid w:val="0"/>
          <w:color w:val="auto"/>
          <w:sz w:val="30"/>
          <w:szCs w:val="30"/>
          <w:highlight w:val="none"/>
        </w:rPr>
        <w:t>环境保护措施监督检查清单</w:t>
      </w:r>
      <w:bookmarkEnd w:id="6"/>
      <w:bookmarkEnd w:id="7"/>
    </w:p>
    <w:tbl>
      <w:tblPr>
        <w:tblStyle w:val="33"/>
        <w:tblW w:w="49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7"/>
        <w:gridCol w:w="2013"/>
        <w:gridCol w:w="1232"/>
        <w:gridCol w:w="1966"/>
        <w:gridCol w:w="2731"/>
      </w:tblGrid>
      <w:tr w14:paraId="63235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tcBorders>
              <w:tl2br w:val="single" w:color="auto" w:sz="4" w:space="0"/>
            </w:tcBorders>
            <w:noWrap w:val="0"/>
            <w:vAlign w:val="center"/>
          </w:tcPr>
          <w:p w14:paraId="25F1D11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14:paraId="16C902E6">
            <w:pPr>
              <w:keepNext w:val="0"/>
              <w:keepLines w:val="0"/>
              <w:pageBreakBefore w:val="0"/>
              <w:widowControl w:val="0"/>
              <w:kinsoku/>
              <w:wordWrap/>
              <w:overflowPunct/>
              <w:topLinePunct w:val="0"/>
              <w:autoSpaceDE/>
              <w:autoSpaceDN/>
              <w:bidi w:val="0"/>
              <w:adjustRightInd/>
              <w:snapToGrid/>
              <w:spacing w:line="340" w:lineRule="exact"/>
              <w:ind w:firstLine="0" w:firstLine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2013" w:type="dxa"/>
            <w:noWrap w:val="0"/>
            <w:vAlign w:val="center"/>
          </w:tcPr>
          <w:p w14:paraId="4E31385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排放口(编号、名称)/污染源</w:t>
            </w:r>
          </w:p>
        </w:tc>
        <w:tc>
          <w:tcPr>
            <w:tcW w:w="1232" w:type="dxa"/>
            <w:noWrap w:val="0"/>
            <w:vAlign w:val="center"/>
          </w:tcPr>
          <w:p w14:paraId="008284C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1966" w:type="dxa"/>
            <w:noWrap w:val="0"/>
            <w:vAlign w:val="center"/>
          </w:tcPr>
          <w:p w14:paraId="04EA771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2731" w:type="dxa"/>
            <w:noWrap w:val="0"/>
            <w:vAlign w:val="center"/>
          </w:tcPr>
          <w:p w14:paraId="786E181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14:paraId="51BB4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37" w:type="dxa"/>
            <w:vMerge w:val="restart"/>
            <w:noWrap w:val="0"/>
            <w:vAlign w:val="center"/>
          </w:tcPr>
          <w:p w14:paraId="5CF8A5F7">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大气环境</w:t>
            </w:r>
          </w:p>
        </w:tc>
        <w:tc>
          <w:tcPr>
            <w:tcW w:w="2013" w:type="dxa"/>
            <w:noWrap w:val="0"/>
            <w:vAlign w:val="center"/>
          </w:tcPr>
          <w:p w14:paraId="433A8D5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olor w:val="auto"/>
                <w:sz w:val="24"/>
                <w:szCs w:val="24"/>
                <w:lang w:val="en-US" w:eastAsia="zh-CN"/>
              </w:rPr>
              <w:t>油烟废气</w:t>
            </w:r>
          </w:p>
        </w:tc>
        <w:tc>
          <w:tcPr>
            <w:tcW w:w="1232" w:type="dxa"/>
            <w:noWrap w:val="0"/>
            <w:vAlign w:val="center"/>
          </w:tcPr>
          <w:p w14:paraId="02FC3A92">
            <w:pPr>
              <w:pStyle w:val="13"/>
              <w:bidi w:val="0"/>
              <w:ind w:left="0" w:leftChars="0" w:firstLine="0" w:firstLineChars="0"/>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油烟</w:t>
            </w:r>
          </w:p>
        </w:tc>
        <w:tc>
          <w:tcPr>
            <w:tcW w:w="1966" w:type="dxa"/>
            <w:vMerge w:val="restart"/>
            <w:noWrap w:val="0"/>
            <w:vAlign w:val="center"/>
          </w:tcPr>
          <w:p w14:paraId="293B6824">
            <w:pPr>
              <w:pStyle w:val="1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sz w:val="24"/>
                <w:szCs w:val="24"/>
                <w:lang w:val="en-US" w:eastAsia="zh-CN"/>
              </w:rPr>
              <w:t>静电油烟净化装置+中央厨房DA001-DA004排气筒、1号预制菜车间DA007-DA014排气筒</w:t>
            </w:r>
          </w:p>
        </w:tc>
        <w:tc>
          <w:tcPr>
            <w:tcW w:w="2731" w:type="dxa"/>
            <w:vMerge w:val="restart"/>
            <w:noWrap w:val="0"/>
            <w:vAlign w:val="center"/>
          </w:tcPr>
          <w:p w14:paraId="55D39883">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4"/>
                <w:szCs w:val="24"/>
                <w:lang w:val="en-US" w:eastAsia="zh-CN"/>
              </w:rPr>
            </w:pPr>
            <w:r>
              <w:rPr>
                <w:rFonts w:hint="eastAsia" w:ascii="Times New Roman" w:cs="Times New Roman"/>
                <w:color w:val="auto"/>
                <w:sz w:val="24"/>
                <w:szCs w:val="24"/>
                <w:lang w:val="en-US" w:eastAsia="zh-CN"/>
              </w:rPr>
              <w:t>油烟</w:t>
            </w:r>
            <w:r>
              <w:rPr>
                <w:rFonts w:hint="default" w:ascii="Times New Roman" w:hAnsi="Times New Roman" w:eastAsia="宋体" w:cs="Times New Roman"/>
                <w:color w:val="auto"/>
                <w:sz w:val="24"/>
                <w:szCs w:val="24"/>
                <w:lang w:val="en-US" w:eastAsia="zh-CN"/>
              </w:rPr>
              <w:t>执行</w:t>
            </w:r>
            <w:r>
              <w:rPr>
                <w:rFonts w:hint="eastAsia" w:ascii="宋体" w:hAnsi="宋体" w:eastAsia="宋体" w:cs="宋体"/>
                <w:color w:val="000000"/>
                <w:kern w:val="0"/>
                <w:sz w:val="24"/>
                <w:szCs w:val="24"/>
                <w:lang w:val="en-US" w:eastAsia="zh-CN" w:bidi="ar"/>
              </w:rPr>
              <w:t>《饮食业油烟排放标准（试行）》（</w:t>
            </w:r>
            <w:r>
              <w:rPr>
                <w:rFonts w:hint="default" w:ascii="Times New Roman" w:hAnsi="Times New Roman" w:eastAsia="宋体" w:cs="Times New Roman"/>
                <w:color w:val="000000"/>
                <w:kern w:val="0"/>
                <w:sz w:val="24"/>
                <w:szCs w:val="24"/>
                <w:lang w:val="en-US" w:eastAsia="zh-CN" w:bidi="ar"/>
              </w:rPr>
              <w:t>GB18483-2001</w:t>
            </w:r>
            <w:r>
              <w:rPr>
                <w:rFonts w:hint="eastAsia" w:ascii="宋体" w:hAnsi="宋体" w:eastAsia="宋体" w:cs="宋体"/>
                <w:color w:val="000000"/>
                <w:kern w:val="0"/>
                <w:sz w:val="24"/>
                <w:szCs w:val="24"/>
                <w:lang w:val="en-US" w:eastAsia="zh-CN" w:bidi="ar"/>
              </w:rPr>
              <w:t>）大型规模标准</w:t>
            </w:r>
            <w:r>
              <w:rPr>
                <w:rFonts w:hint="eastAsia" w:cs="Times New Roman"/>
                <w:color w:val="auto"/>
                <w:sz w:val="24"/>
                <w:szCs w:val="24"/>
                <w:lang w:val="en-US" w:eastAsia="zh-CN"/>
              </w:rPr>
              <w:t>；</w:t>
            </w:r>
          </w:p>
          <w:p w14:paraId="2D69B6C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sz w:val="24"/>
                <w:szCs w:val="24"/>
                <w:lang w:val="en-US" w:eastAsia="zh-CN"/>
              </w:rPr>
              <w:t>颗粒物、二氧化硫、氮氧化物执行</w:t>
            </w:r>
            <w:r>
              <w:rPr>
                <w:rFonts w:hint="default" w:ascii="Times New Roman" w:hAnsi="Times New Roman" w:eastAsia="宋体" w:cs="Times New Roman"/>
                <w:color w:val="000000"/>
                <w:sz w:val="24"/>
                <w:szCs w:val="24"/>
                <w:lang w:val="en-US" w:eastAsia="zh-CN"/>
              </w:rPr>
              <w:t>《大气污染物综合排放标准》（GB16297-1996）中</w:t>
            </w:r>
            <w:r>
              <w:rPr>
                <w:rFonts w:hint="eastAsia" w:ascii="Times New Roman" w:hAnsi="Times New Roman" w:eastAsia="宋体" w:cs="Times New Roman"/>
                <w:color w:val="000000"/>
                <w:sz w:val="24"/>
                <w:szCs w:val="24"/>
                <w:lang w:val="en-US" w:eastAsia="zh-CN"/>
              </w:rPr>
              <w:t>表2</w:t>
            </w:r>
            <w:r>
              <w:rPr>
                <w:rFonts w:hint="default" w:ascii="Times New Roman" w:hAnsi="Times New Roman" w:eastAsia="宋体" w:cs="Times New Roman"/>
                <w:color w:val="000000"/>
                <w:sz w:val="24"/>
                <w:szCs w:val="24"/>
                <w:lang w:val="en-US" w:eastAsia="zh-CN"/>
              </w:rPr>
              <w:t>二级排放标准</w:t>
            </w:r>
            <w:r>
              <w:rPr>
                <w:rFonts w:hint="eastAsia" w:cs="Times New Roman"/>
                <w:b w:val="0"/>
                <w:bCs/>
                <w:sz w:val="24"/>
                <w:szCs w:val="24"/>
                <w:lang w:val="en-US" w:eastAsia="zh-CN"/>
              </w:rPr>
              <w:t>；</w:t>
            </w:r>
          </w:p>
        </w:tc>
      </w:tr>
      <w:tr w14:paraId="61542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4AAB54B7">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c>
          <w:tcPr>
            <w:tcW w:w="2013" w:type="dxa"/>
            <w:noWrap w:val="0"/>
            <w:vAlign w:val="center"/>
          </w:tcPr>
          <w:p w14:paraId="4ECD594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olor w:val="auto"/>
                <w:sz w:val="24"/>
                <w:szCs w:val="24"/>
                <w:lang w:val="en-US" w:eastAsia="zh-CN"/>
              </w:rPr>
              <w:t>燃气灶燃烧废气</w:t>
            </w:r>
          </w:p>
        </w:tc>
        <w:tc>
          <w:tcPr>
            <w:tcW w:w="1232" w:type="dxa"/>
            <w:noWrap w:val="0"/>
            <w:vAlign w:val="center"/>
          </w:tcPr>
          <w:p w14:paraId="345897E4">
            <w:pPr>
              <w:pStyle w:val="13"/>
              <w:bidi w:val="0"/>
              <w:ind w:left="0" w:leftChars="0" w:firstLine="0" w:firstLineChars="0"/>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sz w:val="24"/>
                <w:szCs w:val="24"/>
                <w:lang w:val="en-US" w:eastAsia="zh-CN"/>
              </w:rPr>
              <w:t>颗粒物、二氧化硫、氮氧化物</w:t>
            </w:r>
          </w:p>
        </w:tc>
        <w:tc>
          <w:tcPr>
            <w:tcW w:w="1966" w:type="dxa"/>
            <w:vMerge w:val="continue"/>
            <w:noWrap w:val="0"/>
            <w:vAlign w:val="center"/>
          </w:tcPr>
          <w:p w14:paraId="61945671">
            <w:pPr>
              <w:pStyle w:val="13"/>
              <w:bidi w:val="0"/>
              <w:ind w:left="0" w:leftChars="0" w:firstLine="0" w:firstLineChars="0"/>
              <w:jc w:val="center"/>
              <w:rPr>
                <w:rFonts w:hint="eastAsia" w:ascii="Times New Roman" w:hAnsi="Times New Roman" w:eastAsia="宋体" w:cs="Times New Roman"/>
                <w:b w:val="0"/>
                <w:bCs w:val="0"/>
                <w:color w:val="auto"/>
                <w:kern w:val="2"/>
                <w:sz w:val="24"/>
                <w:szCs w:val="24"/>
                <w:highlight w:val="none"/>
                <w:lang w:val="en-US" w:eastAsia="zh-CN" w:bidi="ar-SA"/>
              </w:rPr>
            </w:pPr>
          </w:p>
        </w:tc>
        <w:tc>
          <w:tcPr>
            <w:tcW w:w="2731" w:type="dxa"/>
            <w:vMerge w:val="continue"/>
            <w:noWrap w:val="0"/>
            <w:vAlign w:val="center"/>
          </w:tcPr>
          <w:p w14:paraId="0428A59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4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r>
      <w:tr w14:paraId="79532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57B4924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c>
          <w:tcPr>
            <w:tcW w:w="2013" w:type="dxa"/>
            <w:shd w:val="clear" w:color="auto" w:fill="auto"/>
            <w:noWrap w:val="0"/>
            <w:vAlign w:val="center"/>
          </w:tcPr>
          <w:p w14:paraId="76D7371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锅炉废气</w:t>
            </w:r>
          </w:p>
        </w:tc>
        <w:tc>
          <w:tcPr>
            <w:tcW w:w="1232" w:type="dxa"/>
            <w:shd w:val="clear" w:color="auto" w:fill="auto"/>
            <w:noWrap w:val="0"/>
            <w:vAlign w:val="center"/>
          </w:tcPr>
          <w:p w14:paraId="492D755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color w:val="auto"/>
                <w:sz w:val="24"/>
                <w:szCs w:val="24"/>
                <w:lang w:val="en-US" w:eastAsia="zh-CN"/>
              </w:rPr>
            </w:pPr>
            <w:r>
              <w:rPr>
                <w:rFonts w:hint="eastAsia" w:cs="Times New Roman"/>
                <w:b w:val="0"/>
                <w:bCs/>
                <w:sz w:val="24"/>
                <w:szCs w:val="24"/>
                <w:lang w:val="en-US" w:eastAsia="zh-CN"/>
              </w:rPr>
              <w:t>颗粒物、二氧化硫、氮氧化物</w:t>
            </w:r>
          </w:p>
        </w:tc>
        <w:tc>
          <w:tcPr>
            <w:tcW w:w="1966" w:type="dxa"/>
            <w:shd w:val="clear" w:color="auto" w:fill="auto"/>
            <w:noWrap w:val="0"/>
            <w:vAlign w:val="center"/>
          </w:tcPr>
          <w:p w14:paraId="539564DE">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低氮燃烧技术+</w:t>
            </w:r>
            <w:r>
              <w:rPr>
                <w:rFonts w:hint="eastAsia" w:cs="Times New Roman"/>
                <w:b w:val="0"/>
                <w:bCs/>
                <w:sz w:val="24"/>
                <w:szCs w:val="24"/>
                <w:lang w:val="en-US" w:eastAsia="zh-CN"/>
              </w:rPr>
              <w:t>中央厨房DA005和DA006、1号预制菜车间DA015和DA016</w:t>
            </w:r>
          </w:p>
        </w:tc>
        <w:tc>
          <w:tcPr>
            <w:tcW w:w="2731" w:type="dxa"/>
            <w:shd w:val="clear" w:color="auto" w:fill="auto"/>
            <w:noWrap w:val="0"/>
            <w:vAlign w:val="center"/>
          </w:tcPr>
          <w:p w14:paraId="5BC125A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color w:val="000000"/>
                <w:kern w:val="0"/>
                <w:sz w:val="24"/>
                <w:szCs w:val="24"/>
                <w:lang w:val="en-US" w:eastAsia="zh-CN" w:bidi="ar"/>
              </w:rPr>
              <w:t>《锅炉大气污染物排放标准》（</w:t>
            </w:r>
            <w:r>
              <w:rPr>
                <w:rFonts w:hint="default" w:ascii="Times New Roman" w:hAnsi="Times New Roman" w:eastAsia="宋体" w:cs="Times New Roman"/>
                <w:color w:val="000000"/>
                <w:kern w:val="0"/>
                <w:sz w:val="24"/>
                <w:szCs w:val="24"/>
                <w:lang w:val="en-US" w:eastAsia="zh-CN" w:bidi="ar"/>
              </w:rPr>
              <w:t>GB13271-2014</w:t>
            </w:r>
            <w:r>
              <w:rPr>
                <w:rFonts w:hint="eastAsia" w:ascii="宋体" w:hAnsi="宋体" w:eastAsia="宋体" w:cs="宋体"/>
                <w:color w:val="000000"/>
                <w:kern w:val="0"/>
                <w:sz w:val="24"/>
                <w:szCs w:val="24"/>
                <w:lang w:val="en-US" w:eastAsia="zh-CN" w:bidi="ar"/>
              </w:rPr>
              <w:t>）中表</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燃气锅炉标准；</w:t>
            </w:r>
          </w:p>
        </w:tc>
      </w:tr>
      <w:tr w14:paraId="4CF07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4D72951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c>
          <w:tcPr>
            <w:tcW w:w="2013" w:type="dxa"/>
            <w:noWrap w:val="0"/>
            <w:vAlign w:val="center"/>
          </w:tcPr>
          <w:p w14:paraId="39D0E14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4"/>
                <w:sz w:val="24"/>
                <w:szCs w:val="24"/>
                <w:lang w:val="en-US" w:eastAsia="zh-CN" w:bidi="ar-SA"/>
              </w:rPr>
            </w:pPr>
            <w:r>
              <w:rPr>
                <w:rFonts w:hint="eastAsia" w:cs="Times New Roman"/>
                <w:color w:val="auto"/>
                <w:kern w:val="24"/>
                <w:sz w:val="24"/>
                <w:szCs w:val="24"/>
                <w:lang w:val="en-US" w:eastAsia="zh-CN"/>
              </w:rPr>
              <w:t>污水处理站恶臭污染物</w:t>
            </w:r>
          </w:p>
        </w:tc>
        <w:tc>
          <w:tcPr>
            <w:tcW w:w="1232" w:type="dxa"/>
            <w:noWrap w:val="0"/>
            <w:vAlign w:val="center"/>
          </w:tcPr>
          <w:p w14:paraId="5CC9E003">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color w:val="auto"/>
                <w:kern w:val="24"/>
                <w:sz w:val="24"/>
                <w:szCs w:val="24"/>
                <w:lang w:val="en-US" w:eastAsia="zh-CN"/>
              </w:rPr>
            </w:pPr>
            <w:r>
              <w:rPr>
                <w:rFonts w:hint="eastAsia" w:ascii="Times New Roman" w:hAnsi="Times New Roman" w:eastAsia="宋体" w:cs="Times New Roman"/>
                <w:color w:val="auto"/>
                <w:kern w:val="24"/>
                <w:sz w:val="24"/>
                <w:szCs w:val="24"/>
                <w:lang w:val="en-US" w:eastAsia="zh-CN"/>
              </w:rPr>
              <w:t>硫化氢、氨</w:t>
            </w:r>
          </w:p>
        </w:tc>
        <w:tc>
          <w:tcPr>
            <w:tcW w:w="1966" w:type="dxa"/>
            <w:noWrap w:val="0"/>
            <w:vAlign w:val="center"/>
          </w:tcPr>
          <w:p w14:paraId="5A9B8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4"/>
                <w:szCs w:val="24"/>
                <w:lang w:val="en-US" w:eastAsia="zh-CN"/>
              </w:rPr>
            </w:pPr>
            <w:r>
              <w:rPr>
                <w:rFonts w:hint="eastAsia" w:ascii="Times New Roman" w:hAnsi="Times New Roman" w:eastAsia="宋体" w:cs="Times New Roman"/>
                <w:b w:val="0"/>
                <w:bCs/>
                <w:sz w:val="24"/>
                <w:szCs w:val="24"/>
                <w:lang w:val="en-US" w:eastAsia="zh-CN"/>
              </w:rPr>
              <w:t>可通过对污水处理站定期喷洒除臭剂、</w:t>
            </w:r>
            <w:r>
              <w:rPr>
                <w:rFonts w:hint="eastAsia" w:cs="Times New Roman"/>
                <w:b w:val="0"/>
                <w:bCs/>
                <w:sz w:val="24"/>
                <w:szCs w:val="24"/>
                <w:lang w:val="en-US" w:eastAsia="zh-CN"/>
              </w:rPr>
              <w:t>加盖密闭、</w:t>
            </w:r>
            <w:r>
              <w:rPr>
                <w:rFonts w:hint="eastAsia" w:ascii="Times New Roman" w:hAnsi="Times New Roman" w:eastAsia="宋体" w:cs="Times New Roman"/>
                <w:b w:val="0"/>
                <w:bCs/>
                <w:sz w:val="24"/>
                <w:szCs w:val="24"/>
                <w:lang w:val="en-US" w:eastAsia="zh-CN"/>
              </w:rPr>
              <w:t>加强通风等措施处理后排放</w:t>
            </w:r>
          </w:p>
        </w:tc>
        <w:tc>
          <w:tcPr>
            <w:tcW w:w="2731" w:type="dxa"/>
            <w:noWrap w:val="0"/>
            <w:vAlign w:val="center"/>
          </w:tcPr>
          <w:p w14:paraId="4D4BF03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4"/>
                <w:sz w:val="24"/>
                <w:szCs w:val="24"/>
                <w:lang w:val="en-US" w:eastAsia="zh-CN"/>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《恶臭污染物排放标准》（GB14554-93）中表1二</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级标准限值</w:t>
            </w:r>
          </w:p>
        </w:tc>
      </w:tr>
      <w:tr w14:paraId="5F21A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937" w:type="dxa"/>
            <w:vMerge w:val="restart"/>
            <w:noWrap w:val="0"/>
            <w:vAlign w:val="center"/>
          </w:tcPr>
          <w:p w14:paraId="4144D95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地表水环境</w:t>
            </w:r>
          </w:p>
        </w:tc>
        <w:tc>
          <w:tcPr>
            <w:tcW w:w="2013" w:type="dxa"/>
            <w:noWrap w:val="0"/>
            <w:vAlign w:val="center"/>
          </w:tcPr>
          <w:p w14:paraId="70358976">
            <w:pPr>
              <w:pStyle w:val="127"/>
              <w:bidi w:val="0"/>
              <w:ind w:left="0" w:leftChars="0" w:right="0" w:rightChars="0"/>
              <w:rPr>
                <w:rFonts w:hint="default" w:ascii="Times New Roman" w:hAnsi="Times New Roman" w:eastAsia="宋体" w:cs="Times New Roman"/>
                <w:b w:val="0"/>
                <w:bCs w:val="0"/>
                <w:color w:val="auto"/>
                <w:sz w:val="24"/>
                <w:szCs w:val="24"/>
                <w:highlight w:val="none"/>
                <w:lang w:val="en-US" w:eastAsia="zh-CN"/>
              </w:rPr>
            </w:pPr>
            <w:r>
              <w:rPr>
                <w:rFonts w:hint="eastAsia"/>
                <w:color w:val="auto"/>
                <w:sz w:val="24"/>
                <w:szCs w:val="24"/>
                <w:lang w:val="en-US" w:eastAsia="zh-CN"/>
              </w:rPr>
              <w:t>生活污水</w:t>
            </w:r>
          </w:p>
        </w:tc>
        <w:tc>
          <w:tcPr>
            <w:tcW w:w="1232" w:type="dxa"/>
            <w:noWrap w:val="0"/>
            <w:vAlign w:val="center"/>
          </w:tcPr>
          <w:p w14:paraId="5AE2CEC7">
            <w:pPr>
              <w:pStyle w:val="127"/>
              <w:bidi w:val="0"/>
              <w:ind w:left="0" w:leftChars="0" w:right="0" w:rightChars="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color w:val="auto"/>
                <w:sz w:val="24"/>
                <w:szCs w:val="24"/>
                <w:lang w:val="en-US" w:eastAsia="zh-CN"/>
              </w:rPr>
              <w:t>pH、</w:t>
            </w:r>
            <w:r>
              <w:rPr>
                <w:rFonts w:hint="eastAsia"/>
                <w:color w:val="auto"/>
                <w:sz w:val="24"/>
                <w:szCs w:val="24"/>
              </w:rPr>
              <w:t>COD</w:t>
            </w:r>
            <w:r>
              <w:rPr>
                <w:rFonts w:hint="eastAsia"/>
                <w:color w:val="auto"/>
                <w:sz w:val="24"/>
                <w:szCs w:val="24"/>
                <w:vertAlign w:val="subscript"/>
                <w:lang w:val="en-US" w:eastAsia="zh-CN"/>
              </w:rPr>
              <w:t>cr</w:t>
            </w:r>
            <w:r>
              <w:rPr>
                <w:color w:val="auto"/>
                <w:sz w:val="24"/>
                <w:szCs w:val="24"/>
              </w:rPr>
              <w:t>、</w:t>
            </w:r>
            <w:r>
              <w:rPr>
                <w:rFonts w:hint="eastAsia"/>
                <w:color w:val="auto"/>
                <w:sz w:val="24"/>
                <w:szCs w:val="24"/>
                <w:lang w:val="en-US" w:eastAsia="zh-CN"/>
              </w:rPr>
              <w:t>BOD</w:t>
            </w:r>
            <w:r>
              <w:rPr>
                <w:rFonts w:hint="eastAsia"/>
                <w:color w:val="auto"/>
                <w:sz w:val="24"/>
                <w:szCs w:val="24"/>
                <w:vertAlign w:val="subscript"/>
                <w:lang w:val="en-US" w:eastAsia="zh-CN"/>
              </w:rPr>
              <w:t>5</w:t>
            </w:r>
            <w:r>
              <w:rPr>
                <w:rFonts w:hint="eastAsia"/>
                <w:color w:val="auto"/>
                <w:sz w:val="24"/>
                <w:szCs w:val="24"/>
                <w:vertAlign w:val="baseline"/>
                <w:lang w:val="en-US" w:eastAsia="zh-CN"/>
              </w:rPr>
              <w:t>、</w:t>
            </w:r>
            <w:r>
              <w:rPr>
                <w:rFonts w:hint="eastAsia"/>
                <w:color w:val="auto"/>
                <w:sz w:val="24"/>
                <w:szCs w:val="24"/>
              </w:rPr>
              <w:t>SS</w:t>
            </w:r>
            <w:r>
              <w:rPr>
                <w:rFonts w:hint="eastAsia"/>
                <w:color w:val="auto"/>
                <w:sz w:val="24"/>
                <w:szCs w:val="24"/>
                <w:lang w:eastAsia="zh-CN"/>
              </w:rPr>
              <w:t>、</w:t>
            </w:r>
            <w:r>
              <w:rPr>
                <w:rFonts w:hint="eastAsia"/>
                <w:color w:val="auto"/>
                <w:sz w:val="24"/>
                <w:szCs w:val="24"/>
                <w:lang w:val="en-US" w:eastAsia="zh-CN"/>
              </w:rPr>
              <w:t>NH</w:t>
            </w:r>
            <w:r>
              <w:rPr>
                <w:rFonts w:hint="eastAsia"/>
                <w:color w:val="auto"/>
                <w:sz w:val="24"/>
                <w:szCs w:val="24"/>
                <w:vertAlign w:val="subscript"/>
                <w:lang w:val="en-US" w:eastAsia="zh-CN"/>
              </w:rPr>
              <w:t>3</w:t>
            </w:r>
            <w:r>
              <w:rPr>
                <w:rFonts w:hint="eastAsia"/>
                <w:color w:val="auto"/>
                <w:sz w:val="24"/>
                <w:szCs w:val="24"/>
                <w:lang w:val="en-US" w:eastAsia="zh-CN"/>
              </w:rPr>
              <w:t>-N、TP、TN、动植物油</w:t>
            </w:r>
          </w:p>
        </w:tc>
        <w:tc>
          <w:tcPr>
            <w:tcW w:w="1966" w:type="dxa"/>
            <w:noWrap w:val="0"/>
            <w:vAlign w:val="center"/>
          </w:tcPr>
          <w:p w14:paraId="7AF8B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color w:val="auto"/>
                <w:kern w:val="2"/>
                <w:sz w:val="24"/>
                <w:szCs w:val="24"/>
                <w:highlight w:val="none"/>
                <w:lang w:val="en-US" w:eastAsia="zh-CN" w:bidi="ar-SA"/>
              </w:rPr>
              <w:t>化粪池+污水处理站（</w:t>
            </w:r>
            <w:r>
              <w:rPr>
                <w:rFonts w:hint="default" w:ascii="Times New Roman" w:hAnsi="Times New Roman" w:eastAsia="宋体" w:cs="Times New Roman"/>
                <w:color w:val="auto"/>
                <w:sz w:val="24"/>
                <w:szCs w:val="24"/>
                <w:highlight w:val="none"/>
                <w:lang w:val="en-US" w:eastAsia="zh-CN"/>
              </w:rPr>
              <w:t>格栅-隔油池-调节池-A/O工艺</w:t>
            </w:r>
            <w:r>
              <w:rPr>
                <w:rFonts w:hint="eastAsia" w:ascii="Times New Roman" w:hAnsi="Times New Roman" w:eastAsia="宋体" w:cs="Times New Roman"/>
                <w:color w:val="auto"/>
                <w:sz w:val="24"/>
                <w:szCs w:val="24"/>
                <w:highlight w:val="none"/>
                <w:lang w:val="en-US" w:eastAsia="zh-CN"/>
              </w:rPr>
              <w:t>一体化设备-混凝沉淀池</w:t>
            </w:r>
            <w:r>
              <w:rPr>
                <w:rFonts w:hint="eastAsia" w:cs="Times New Roman"/>
                <w:color w:val="auto"/>
                <w:kern w:val="2"/>
                <w:sz w:val="24"/>
                <w:szCs w:val="24"/>
                <w:highlight w:val="none"/>
                <w:lang w:val="en-US" w:eastAsia="zh-CN" w:bidi="ar-SA"/>
              </w:rPr>
              <w:t>）</w:t>
            </w:r>
          </w:p>
        </w:tc>
        <w:tc>
          <w:tcPr>
            <w:tcW w:w="2731" w:type="dxa"/>
            <w:vMerge w:val="restart"/>
            <w:noWrap w:val="0"/>
            <w:vAlign w:val="center"/>
          </w:tcPr>
          <w:p w14:paraId="59A0C0EC">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highlight w:val="none"/>
              </w:rPr>
              <w:t>措施到位，</w:t>
            </w:r>
            <w:r>
              <w:rPr>
                <w:rFonts w:hint="eastAsia" w:ascii="Times New Roman" w:hAnsi="Times New Roman" w:eastAsia="宋体" w:cs="Times New Roman"/>
                <w:color w:val="000000"/>
                <w:kern w:val="0"/>
                <w:sz w:val="24"/>
                <w:szCs w:val="24"/>
                <w:lang w:val="en-US" w:eastAsia="zh-CN" w:bidi="ar"/>
              </w:rPr>
              <w:t>生活污水经化粪池处理后和生产废水一起</w:t>
            </w:r>
            <w:r>
              <w:rPr>
                <w:rFonts w:hint="default" w:ascii="Times New Roman" w:hAnsi="Times New Roman" w:eastAsia="宋体" w:cs="Times New Roman"/>
                <w:color w:val="000000"/>
                <w:kern w:val="0"/>
                <w:sz w:val="24"/>
                <w:szCs w:val="24"/>
                <w:lang w:val="en-US" w:eastAsia="zh-CN" w:bidi="ar"/>
              </w:rPr>
              <w:t>进入自建污水处理站处理达标后通过污水管网进入宁都县第二污水处理厂处理</w:t>
            </w:r>
            <w:r>
              <w:rPr>
                <w:rFonts w:hint="default" w:ascii="Times New Roman" w:hAnsi="Times New Roman" w:cs="Times New Roman"/>
                <w:color w:val="auto"/>
                <w:sz w:val="24"/>
                <w:szCs w:val="24"/>
                <w:lang w:val="en-US" w:eastAsia="zh-CN"/>
              </w:rPr>
              <w:t>达到《城镇污水处理厂污染物排放标准》（GB18918-2002）</w:t>
            </w:r>
            <w:r>
              <w:rPr>
                <w:rFonts w:hint="eastAsia" w:cs="Times New Roman"/>
                <w:color w:val="auto"/>
                <w:sz w:val="24"/>
                <w:szCs w:val="24"/>
                <w:lang w:val="en-US" w:eastAsia="zh-CN"/>
              </w:rPr>
              <w:t>一级A</w:t>
            </w:r>
            <w:r>
              <w:rPr>
                <w:rFonts w:hint="default" w:ascii="Times New Roman" w:hAnsi="Times New Roman" w:cs="Times New Roman"/>
                <w:color w:val="auto"/>
                <w:sz w:val="24"/>
                <w:szCs w:val="24"/>
                <w:lang w:val="en-US" w:eastAsia="zh-CN"/>
              </w:rPr>
              <w:t>标准</w:t>
            </w:r>
            <w:r>
              <w:rPr>
                <w:rFonts w:hint="default"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color w:val="000000"/>
                <w:kern w:val="0"/>
                <w:sz w:val="24"/>
                <w:szCs w:val="24"/>
                <w:lang w:val="en-US" w:eastAsia="zh-CN" w:bidi="ar"/>
              </w:rPr>
              <w:t>，最终排入梅江。</w:t>
            </w:r>
          </w:p>
          <w:p w14:paraId="49AC3E68">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厂区综合废水排放</w:t>
            </w:r>
            <w:r>
              <w:rPr>
                <w:rFonts w:hint="eastAsia" w:ascii="Times New Roman" w:hAnsi="Times New Roman" w:eastAsia="宋体" w:cs="Times New Roman"/>
                <w:color w:val="000000"/>
                <w:kern w:val="0"/>
                <w:sz w:val="24"/>
                <w:szCs w:val="24"/>
                <w:lang w:val="en-US" w:eastAsia="zh-CN" w:bidi="ar"/>
              </w:rPr>
              <w:t>执行《肉类加工工业水污染物排放标准》（</w:t>
            </w:r>
            <w:r>
              <w:rPr>
                <w:rFonts w:hint="default" w:ascii="Times New Roman" w:hAnsi="Times New Roman" w:eastAsia="宋体" w:cs="Times New Roman"/>
                <w:color w:val="000000"/>
                <w:kern w:val="0"/>
                <w:sz w:val="24"/>
                <w:szCs w:val="24"/>
                <w:lang w:val="en-US" w:eastAsia="zh-CN" w:bidi="ar"/>
              </w:rPr>
              <w:t>GB13457-92</w:t>
            </w:r>
            <w:r>
              <w:rPr>
                <w:rFonts w:hint="eastAsia" w:ascii="Times New Roman" w:hAnsi="Times New Roman" w:eastAsia="宋体" w:cs="Times New Roman"/>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3 </w:t>
            </w:r>
            <w:r>
              <w:rPr>
                <w:rFonts w:hint="eastAsia" w:ascii="Times New Roman" w:hAnsi="Times New Roman" w:eastAsia="宋体" w:cs="Times New Roman"/>
                <w:color w:val="000000"/>
                <w:kern w:val="0"/>
                <w:sz w:val="24"/>
                <w:szCs w:val="24"/>
                <w:lang w:val="en-US" w:eastAsia="zh-CN" w:bidi="ar"/>
              </w:rPr>
              <w:t>三级标准和宁都县第二污水处理厂接管标准较严值。</w:t>
            </w:r>
          </w:p>
        </w:tc>
      </w:tr>
      <w:tr w14:paraId="77463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1761918C">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c>
          <w:tcPr>
            <w:tcW w:w="2013" w:type="dxa"/>
            <w:noWrap w:val="0"/>
            <w:vAlign w:val="center"/>
          </w:tcPr>
          <w:p w14:paraId="04F24C0F">
            <w:pPr>
              <w:pStyle w:val="127"/>
              <w:bidi w:val="0"/>
              <w:ind w:left="0" w:leftChars="0" w:right="0" w:rightChars="0"/>
              <w:rPr>
                <w:rFonts w:hint="default" w:ascii="Times New Roman" w:hAnsi="Times New Roman" w:eastAsia="宋体" w:cs="Times New Roman"/>
                <w:b w:val="0"/>
                <w:bCs w:val="0"/>
                <w:color w:val="auto"/>
                <w:sz w:val="24"/>
                <w:szCs w:val="24"/>
                <w:highlight w:val="none"/>
                <w:lang w:val="en-US" w:eastAsia="zh-CN"/>
              </w:rPr>
            </w:pPr>
            <w:r>
              <w:rPr>
                <w:rFonts w:hint="eastAsia"/>
                <w:color w:val="auto"/>
                <w:sz w:val="24"/>
                <w:szCs w:val="24"/>
                <w:lang w:val="en-US" w:eastAsia="zh-CN"/>
              </w:rPr>
              <w:t>生产废水</w:t>
            </w:r>
          </w:p>
        </w:tc>
        <w:tc>
          <w:tcPr>
            <w:tcW w:w="1232" w:type="dxa"/>
            <w:noWrap w:val="0"/>
            <w:vAlign w:val="center"/>
          </w:tcPr>
          <w:p w14:paraId="5B847243">
            <w:pPr>
              <w:pStyle w:val="127"/>
              <w:bidi w:val="0"/>
              <w:ind w:left="0" w:leftChars="0" w:right="0" w:rightChars="0"/>
              <w:rPr>
                <w:rFonts w:hint="default" w:cs="Times New Roman"/>
                <w:b w:val="0"/>
                <w:bCs w:val="0"/>
                <w:color w:val="auto"/>
                <w:sz w:val="24"/>
                <w:szCs w:val="24"/>
                <w:highlight w:val="none"/>
                <w:lang w:val="en-US" w:eastAsia="zh-CN"/>
              </w:rPr>
            </w:pPr>
            <w:r>
              <w:rPr>
                <w:rFonts w:hint="eastAsia" w:ascii="Times New Roman" w:hAnsi="Times New Roman" w:cs="Times New Roman"/>
                <w:color w:val="auto"/>
                <w:sz w:val="24"/>
                <w:szCs w:val="24"/>
                <w:lang w:val="en-US" w:eastAsia="zh-CN"/>
              </w:rPr>
              <w:t>pH、</w:t>
            </w:r>
            <w:r>
              <w:rPr>
                <w:rFonts w:hint="default" w:ascii="Times New Roman" w:hAnsi="Times New Roman" w:cs="Times New Roman"/>
                <w:color w:val="auto"/>
                <w:sz w:val="24"/>
                <w:szCs w:val="24"/>
                <w:lang w:val="en-US" w:eastAsia="zh-CN"/>
              </w:rPr>
              <w:t>CODcr、SS、NH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w:t>
            </w:r>
            <w:r>
              <w:rPr>
                <w:rFonts w:hint="eastAsia" w:ascii="Times New Roman" w:hAnsi="Times New Roman" w:cs="Times New Roman"/>
                <w:color w:val="auto"/>
                <w:sz w:val="24"/>
                <w:szCs w:val="24"/>
                <w:lang w:val="en-US" w:eastAsia="zh-CN"/>
              </w:rPr>
              <w:t>、</w:t>
            </w:r>
            <w:r>
              <w:rPr>
                <w:rFonts w:hint="eastAsia"/>
                <w:color w:val="auto"/>
                <w:sz w:val="24"/>
                <w:szCs w:val="24"/>
                <w:lang w:val="en-US" w:eastAsia="zh-CN"/>
              </w:rPr>
              <w:t>动植物油</w:t>
            </w:r>
          </w:p>
        </w:tc>
        <w:tc>
          <w:tcPr>
            <w:tcW w:w="1966" w:type="dxa"/>
            <w:noWrap w:val="0"/>
            <w:vAlign w:val="center"/>
          </w:tcPr>
          <w:p w14:paraId="42C5A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24"/>
                <w:szCs w:val="24"/>
                <w:highlight w:val="none"/>
                <w:lang w:val="en-US" w:eastAsia="zh-CN"/>
              </w:rPr>
            </w:pPr>
            <w:r>
              <w:rPr>
                <w:rFonts w:hint="eastAsia" w:cs="Times New Roman"/>
                <w:color w:val="auto"/>
                <w:kern w:val="2"/>
                <w:sz w:val="24"/>
                <w:szCs w:val="24"/>
                <w:highlight w:val="none"/>
                <w:lang w:val="en-US" w:eastAsia="zh-CN" w:bidi="ar-SA"/>
              </w:rPr>
              <w:t>污水处理站（</w:t>
            </w:r>
            <w:r>
              <w:rPr>
                <w:rFonts w:hint="default" w:ascii="Times New Roman" w:hAnsi="Times New Roman" w:eastAsia="宋体" w:cs="Times New Roman"/>
                <w:color w:val="auto"/>
                <w:sz w:val="24"/>
                <w:szCs w:val="24"/>
                <w:highlight w:val="none"/>
                <w:lang w:val="en-US" w:eastAsia="zh-CN"/>
              </w:rPr>
              <w:t>格栅-隔油池-调节池-A/O工艺</w:t>
            </w:r>
            <w:r>
              <w:rPr>
                <w:rFonts w:hint="eastAsia" w:ascii="Times New Roman" w:hAnsi="Times New Roman" w:eastAsia="宋体" w:cs="Times New Roman"/>
                <w:color w:val="auto"/>
                <w:sz w:val="24"/>
                <w:szCs w:val="24"/>
                <w:highlight w:val="none"/>
                <w:lang w:val="en-US" w:eastAsia="zh-CN"/>
              </w:rPr>
              <w:t>一体化设备-混凝沉淀池</w:t>
            </w:r>
            <w:r>
              <w:rPr>
                <w:rFonts w:hint="eastAsia" w:cs="Times New Roman"/>
                <w:color w:val="auto"/>
                <w:kern w:val="2"/>
                <w:sz w:val="24"/>
                <w:szCs w:val="24"/>
                <w:highlight w:val="none"/>
                <w:lang w:val="en-US" w:eastAsia="zh-CN" w:bidi="ar-SA"/>
              </w:rPr>
              <w:t>）</w:t>
            </w:r>
          </w:p>
        </w:tc>
        <w:tc>
          <w:tcPr>
            <w:tcW w:w="2731" w:type="dxa"/>
            <w:vMerge w:val="continue"/>
            <w:noWrap w:val="0"/>
            <w:vAlign w:val="center"/>
          </w:tcPr>
          <w:p w14:paraId="6F25BD1D">
            <w:pPr>
              <w:pStyle w:val="12"/>
              <w:keepNext w:val="0"/>
              <w:keepLines w:val="0"/>
              <w:pageBreakBefore w:val="0"/>
              <w:widowControl w:val="0"/>
              <w:kinsoku/>
              <w:wordWrap/>
              <w:overflowPunct/>
              <w:topLinePunct w:val="0"/>
              <w:autoSpaceDE/>
              <w:autoSpaceDN/>
              <w:bidi w:val="0"/>
              <w:adjustRightInd/>
              <w:snapToGrid/>
              <w:spacing w:after="0" w:line="340" w:lineRule="exact"/>
              <w:ind w:left="0" w:leftChars="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p>
        </w:tc>
      </w:tr>
      <w:tr w14:paraId="7163D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937" w:type="dxa"/>
            <w:vMerge w:val="continue"/>
            <w:noWrap w:val="0"/>
            <w:vAlign w:val="center"/>
          </w:tcPr>
          <w:p w14:paraId="60F63ED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c>
          <w:tcPr>
            <w:tcW w:w="2013" w:type="dxa"/>
            <w:noWrap w:val="0"/>
            <w:vAlign w:val="center"/>
          </w:tcPr>
          <w:p w14:paraId="4EC34CF9">
            <w:pPr>
              <w:pStyle w:val="127"/>
              <w:bidi w:val="0"/>
              <w:ind w:left="0" w:leftChars="0" w:right="0" w:rightChars="0"/>
              <w:rPr>
                <w:rFonts w:hint="eastAsia"/>
                <w:color w:val="auto"/>
                <w:sz w:val="24"/>
                <w:szCs w:val="24"/>
                <w:lang w:val="en-US" w:eastAsia="zh-CN"/>
              </w:rPr>
            </w:pPr>
            <w:r>
              <w:rPr>
                <w:rFonts w:hint="eastAsia"/>
                <w:color w:val="auto"/>
                <w:sz w:val="24"/>
                <w:szCs w:val="24"/>
                <w:lang w:val="en-US" w:eastAsia="zh-CN"/>
              </w:rPr>
              <w:t>纯水制备浓水</w:t>
            </w:r>
          </w:p>
        </w:tc>
        <w:tc>
          <w:tcPr>
            <w:tcW w:w="1232" w:type="dxa"/>
            <w:noWrap w:val="0"/>
            <w:vAlign w:val="center"/>
          </w:tcPr>
          <w:p w14:paraId="0BC397EB">
            <w:pPr>
              <w:pStyle w:val="127"/>
              <w:bidi w:val="0"/>
              <w:ind w:left="0" w:leftChars="0" w:right="0" w:rightChars="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pH、COD</w:t>
            </w:r>
            <w:r>
              <w:rPr>
                <w:rFonts w:hint="default" w:ascii="Times New Roman" w:hAnsi="Times New Roman" w:cs="Times New Roman"/>
                <w:color w:val="auto"/>
                <w:sz w:val="24"/>
                <w:szCs w:val="24"/>
                <w:lang w:val="en-US" w:eastAsia="zh-CN"/>
              </w:rPr>
              <w:t>、BOD5、SS、</w:t>
            </w:r>
            <w:r>
              <w:rPr>
                <w:rFonts w:hint="eastAsia" w:ascii="Times New Roman" w:hAnsi="Times New Roman" w:cs="Times New Roman"/>
                <w:color w:val="auto"/>
                <w:sz w:val="24"/>
                <w:szCs w:val="24"/>
                <w:lang w:val="en-US" w:eastAsia="zh-CN"/>
              </w:rPr>
              <w:t>全盐量</w:t>
            </w:r>
          </w:p>
        </w:tc>
        <w:tc>
          <w:tcPr>
            <w:tcW w:w="1966" w:type="dxa"/>
            <w:noWrap w:val="0"/>
            <w:vAlign w:val="center"/>
          </w:tcPr>
          <w:p w14:paraId="5CE0B7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4"/>
                <w:szCs w:val="24"/>
                <w:lang w:val="en-US" w:eastAsia="zh-CN"/>
              </w:rPr>
            </w:pPr>
            <w:r>
              <w:rPr>
                <w:rFonts w:hint="eastAsia" w:cs="Times New Roman"/>
                <w:color w:val="auto"/>
                <w:kern w:val="2"/>
                <w:sz w:val="24"/>
                <w:szCs w:val="24"/>
                <w:highlight w:val="none"/>
                <w:lang w:val="en-US" w:eastAsia="zh-CN" w:bidi="ar-SA"/>
              </w:rPr>
              <w:t>/</w:t>
            </w:r>
          </w:p>
        </w:tc>
        <w:tc>
          <w:tcPr>
            <w:tcW w:w="2731" w:type="dxa"/>
            <w:noWrap w:val="0"/>
            <w:vAlign w:val="center"/>
          </w:tcPr>
          <w:p w14:paraId="656673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color w:val="auto"/>
                <w:sz w:val="24"/>
                <w:szCs w:val="24"/>
                <w:highlight w:val="none"/>
                <w:lang w:val="en-US" w:eastAsia="zh-CN"/>
              </w:rPr>
              <w:t>纯水制备浓水</w:t>
            </w:r>
            <w:r>
              <w:rPr>
                <w:rFonts w:hint="eastAsia" w:ascii="Times New Roman" w:hAnsi="Times New Roman" w:eastAsia="宋体" w:cs="Times New Roman"/>
                <w:color w:val="auto"/>
                <w:sz w:val="24"/>
                <w:szCs w:val="24"/>
                <w:lang w:val="en-US" w:eastAsia="zh-CN"/>
              </w:rPr>
              <w:t>部分</w:t>
            </w:r>
            <w:r>
              <w:rPr>
                <w:rFonts w:hint="eastAsia" w:ascii="Times New Roman" w:hAnsi="Times New Roman" w:cs="Times New Roman"/>
                <w:color w:val="auto"/>
                <w:sz w:val="24"/>
                <w:szCs w:val="24"/>
                <w:lang w:val="en-US" w:eastAsia="zh-CN"/>
              </w:rPr>
              <w:t>回用于生产</w:t>
            </w:r>
            <w:r>
              <w:rPr>
                <w:rFonts w:hint="eastAsia" w:ascii="Times New Roman" w:hAnsi="Times New Roman" w:eastAsia="宋体" w:cs="Times New Roman"/>
                <w:color w:val="auto"/>
                <w:sz w:val="24"/>
                <w:szCs w:val="24"/>
                <w:lang w:val="en-US" w:eastAsia="zh-CN"/>
              </w:rPr>
              <w:t>，其他部分</w:t>
            </w:r>
            <w:r>
              <w:rPr>
                <w:rFonts w:hint="eastAsia" w:cs="Times New Roman"/>
                <w:color w:val="auto"/>
                <w:sz w:val="24"/>
                <w:szCs w:val="24"/>
                <w:highlight w:val="none"/>
                <w:lang w:val="en-US" w:eastAsia="zh-CN"/>
              </w:rPr>
              <w:t>不经过污水处理站处理直接</w:t>
            </w:r>
            <w:r>
              <w:rPr>
                <w:rFonts w:hint="default" w:ascii="Times New Roman" w:hAnsi="Times New Roman"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污水处理站</w:t>
            </w:r>
            <w:r>
              <w:rPr>
                <w:rFonts w:hint="default" w:ascii="Times New Roman" w:hAnsi="Times New Roman" w:cs="Times New Roman"/>
                <w:color w:val="auto"/>
                <w:sz w:val="24"/>
                <w:szCs w:val="24"/>
                <w:highlight w:val="none"/>
                <w:lang w:val="en-US" w:eastAsia="zh-CN"/>
              </w:rPr>
              <w:t>处理过的废水一起经总排口排入污水管网。</w:t>
            </w:r>
          </w:p>
        </w:tc>
      </w:tr>
      <w:tr w14:paraId="052542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noWrap w:val="0"/>
            <w:vAlign w:val="center"/>
          </w:tcPr>
          <w:p w14:paraId="01ABAF0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声环境</w:t>
            </w:r>
          </w:p>
        </w:tc>
        <w:tc>
          <w:tcPr>
            <w:tcW w:w="2013" w:type="dxa"/>
            <w:noWrap w:val="0"/>
            <w:vAlign w:val="center"/>
          </w:tcPr>
          <w:p w14:paraId="2393014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生产设备</w:t>
            </w:r>
          </w:p>
        </w:tc>
        <w:tc>
          <w:tcPr>
            <w:tcW w:w="1232" w:type="dxa"/>
            <w:noWrap w:val="0"/>
            <w:vAlign w:val="center"/>
          </w:tcPr>
          <w:p w14:paraId="59D46C4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等效A声级</w:t>
            </w:r>
          </w:p>
        </w:tc>
        <w:tc>
          <w:tcPr>
            <w:tcW w:w="1966" w:type="dxa"/>
            <w:noWrap w:val="0"/>
            <w:vAlign w:val="center"/>
          </w:tcPr>
          <w:p w14:paraId="4F105D5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选用低噪声设备，采用隔声减振措施等</w:t>
            </w:r>
          </w:p>
        </w:tc>
        <w:tc>
          <w:tcPr>
            <w:tcW w:w="2731" w:type="dxa"/>
            <w:noWrap w:val="0"/>
            <w:vAlign w:val="center"/>
          </w:tcPr>
          <w:p w14:paraId="7D9E3EC9">
            <w:pPr>
              <w:pStyle w:val="127"/>
              <w:bidi w:val="0"/>
              <w:jc w:val="center"/>
              <w:rPr>
                <w:rFonts w:hint="default" w:ascii="Times New Roman" w:hAnsi="Times New Roman" w:eastAsia="宋体" w:cs="Times New Roman"/>
                <w:b w:val="0"/>
                <w:bCs w:val="0"/>
                <w:color w:val="auto"/>
                <w:sz w:val="24"/>
                <w:szCs w:val="24"/>
                <w:highlight w:val="none"/>
              </w:rPr>
            </w:pPr>
            <w:r>
              <w:rPr>
                <w:rFonts w:hint="eastAsia" w:eastAsia="宋体" w:cs="Times New Roman"/>
                <w:sz w:val="24"/>
                <w:szCs w:val="24"/>
                <w:lang w:val="en-US" w:eastAsia="zh-CN"/>
              </w:rPr>
              <w:t>厂界东侧噪声</w:t>
            </w:r>
            <w:r>
              <w:rPr>
                <w:rFonts w:hint="default" w:ascii="Times New Roman" w:hAnsi="Times New Roman" w:eastAsia="Times New Roman" w:cs="Times New Roman"/>
                <w:sz w:val="24"/>
                <w:szCs w:val="24"/>
                <w:lang w:val="zh-CN"/>
              </w:rPr>
              <w:t>执行《工业企业厂界环境噪声排放标准》（GB12348-2008）中的</w:t>
            </w:r>
            <w:r>
              <w:rPr>
                <w:rFonts w:hint="eastAsia" w:ascii="Times New Roman" w:hAnsi="Times New Roman" w:eastAsia="Times New Roman" w:cs="Times New Roman"/>
                <w:sz w:val="24"/>
                <w:szCs w:val="24"/>
                <w:lang w:val="en-US" w:eastAsia="zh-CN"/>
              </w:rPr>
              <w:t>4</w:t>
            </w:r>
            <w:r>
              <w:rPr>
                <w:rFonts w:hint="default" w:ascii="Times New Roman" w:hAnsi="Times New Roman" w:eastAsia="宋体" w:cs="Times New Roman"/>
                <w:color w:val="auto"/>
                <w:sz w:val="24"/>
                <w:szCs w:val="24"/>
              </w:rPr>
              <w:t>类区标准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其余三侧</w:t>
            </w:r>
            <w:r>
              <w:rPr>
                <w:rFonts w:hint="default" w:ascii="Times New Roman" w:hAnsi="Times New Roman" w:eastAsia="Times New Roman" w:cs="Times New Roman"/>
                <w:sz w:val="24"/>
                <w:szCs w:val="24"/>
                <w:lang w:val="zh-CN"/>
              </w:rPr>
              <w:t>执行</w:t>
            </w:r>
            <w:r>
              <w:rPr>
                <w:rFonts w:hint="eastAsia" w:ascii="Times New Roman" w:hAnsi="Times New Roman" w:eastAsia="Times New Roman" w:cs="Times New Roman"/>
                <w:sz w:val="24"/>
                <w:szCs w:val="24"/>
                <w:lang w:val="en-US" w:eastAsia="zh-CN"/>
              </w:rPr>
              <w:t>3</w:t>
            </w:r>
            <w:r>
              <w:rPr>
                <w:rFonts w:hint="default" w:ascii="Times New Roman" w:hAnsi="Times New Roman" w:eastAsia="宋体" w:cs="Times New Roman"/>
                <w:color w:val="auto"/>
                <w:sz w:val="24"/>
                <w:szCs w:val="24"/>
              </w:rPr>
              <w:t>类区标准</w:t>
            </w:r>
            <w:r>
              <w:rPr>
                <w:rFonts w:hint="eastAsia" w:cs="Times New Roman"/>
                <w:color w:val="auto"/>
                <w:sz w:val="24"/>
                <w:szCs w:val="24"/>
                <w:lang w:eastAsia="zh-CN"/>
              </w:rPr>
              <w:t>。</w:t>
            </w:r>
          </w:p>
        </w:tc>
      </w:tr>
      <w:tr w14:paraId="69908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noWrap w:val="0"/>
            <w:vAlign w:val="center"/>
          </w:tcPr>
          <w:p w14:paraId="56E4E69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电磁辐射</w:t>
            </w:r>
          </w:p>
        </w:tc>
        <w:tc>
          <w:tcPr>
            <w:tcW w:w="7942" w:type="dxa"/>
            <w:gridSpan w:val="4"/>
            <w:noWrap w:val="0"/>
            <w:vAlign w:val="center"/>
          </w:tcPr>
          <w:p w14:paraId="2965D66E">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w:t>
            </w:r>
          </w:p>
        </w:tc>
      </w:tr>
      <w:tr w14:paraId="63B7D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restart"/>
            <w:noWrap w:val="0"/>
            <w:vAlign w:val="center"/>
          </w:tcPr>
          <w:p w14:paraId="46D23735">
            <w:pPr>
              <w:jc w:val="center"/>
              <w:rPr>
                <w:rStyle w:val="130"/>
                <w:rFonts w:hint="default" w:ascii="Times New Roman" w:hAnsi="Times New Roman" w:cs="Times New Roman"/>
                <w:color w:val="auto"/>
                <w:sz w:val="24"/>
                <w:szCs w:val="24"/>
                <w:lang w:val="en-US" w:eastAsia="zh-CN"/>
              </w:rPr>
            </w:pPr>
            <w:r>
              <w:rPr>
                <w:rStyle w:val="130"/>
                <w:rFonts w:hint="default" w:ascii="Times New Roman" w:hAnsi="Times New Roman" w:cs="Times New Roman"/>
                <w:color w:val="auto"/>
                <w:sz w:val="24"/>
                <w:szCs w:val="24"/>
                <w:lang w:val="en-US" w:eastAsia="zh-CN"/>
              </w:rPr>
              <w:t>固体废物</w:t>
            </w:r>
          </w:p>
        </w:tc>
        <w:tc>
          <w:tcPr>
            <w:tcW w:w="2013" w:type="dxa"/>
            <w:noWrap w:val="0"/>
            <w:vAlign w:val="center"/>
          </w:tcPr>
          <w:p w14:paraId="11AA81B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Style w:val="130"/>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员工</w:t>
            </w:r>
            <w:r>
              <w:rPr>
                <w:rFonts w:hint="default" w:ascii="Times New Roman" w:hAnsi="Times New Roman" w:cs="Times New Roman"/>
                <w:color w:val="auto"/>
                <w:sz w:val="24"/>
                <w:szCs w:val="24"/>
              </w:rPr>
              <w:t>日常生活</w:t>
            </w:r>
            <w:r>
              <w:rPr>
                <w:rFonts w:hint="default" w:ascii="Times New Roman" w:hAnsi="Times New Roman" w:cs="Times New Roman"/>
                <w:color w:val="auto"/>
                <w:sz w:val="24"/>
                <w:szCs w:val="24"/>
                <w:lang w:val="en-US" w:eastAsia="zh-CN"/>
              </w:rPr>
              <w:t>产生</w:t>
            </w:r>
          </w:p>
        </w:tc>
        <w:tc>
          <w:tcPr>
            <w:tcW w:w="1232" w:type="dxa"/>
            <w:noWrap w:val="0"/>
            <w:vAlign w:val="center"/>
          </w:tcPr>
          <w:p w14:paraId="5B359294">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Style w:val="130"/>
                <w:rFonts w:hint="default" w:ascii="Times New Roman" w:hAnsi="Times New Roman" w:cs="Times New Roman"/>
                <w:color w:val="auto"/>
                <w:sz w:val="24"/>
                <w:szCs w:val="24"/>
                <w:lang w:val="en-US" w:eastAsia="zh-CN"/>
              </w:rPr>
            </w:pPr>
            <w:r>
              <w:rPr>
                <w:rStyle w:val="130"/>
                <w:rFonts w:hint="eastAsia" w:ascii="Times New Roman" w:hAnsi="Times New Roman" w:cs="Times New Roman"/>
                <w:color w:val="auto"/>
                <w:sz w:val="24"/>
                <w:szCs w:val="24"/>
                <w:lang w:val="en-US" w:eastAsia="zh-CN"/>
              </w:rPr>
              <w:t>生活垃圾</w:t>
            </w:r>
          </w:p>
        </w:tc>
        <w:tc>
          <w:tcPr>
            <w:tcW w:w="1966" w:type="dxa"/>
            <w:noWrap w:val="0"/>
            <w:vAlign w:val="center"/>
          </w:tcPr>
          <w:p w14:paraId="0FC2295A">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Style w:val="130"/>
                <w:rFonts w:hint="default" w:ascii="Times New Roman" w:hAnsi="Times New Roman" w:cs="Times New Roman"/>
                <w:color w:val="auto"/>
                <w:sz w:val="24"/>
                <w:szCs w:val="24"/>
              </w:rPr>
            </w:pPr>
            <w:r>
              <w:rPr>
                <w:rStyle w:val="130"/>
                <w:rFonts w:hint="default" w:ascii="Times New Roman" w:hAnsi="Times New Roman" w:cs="Times New Roman"/>
                <w:color w:val="auto"/>
                <w:sz w:val="24"/>
                <w:szCs w:val="24"/>
                <w:lang w:val="en-US" w:eastAsia="zh-CN"/>
              </w:rPr>
              <w:t>收集后交由环卫部门每天清运</w:t>
            </w:r>
          </w:p>
        </w:tc>
        <w:tc>
          <w:tcPr>
            <w:tcW w:w="2731" w:type="dxa"/>
            <w:vMerge w:val="restart"/>
            <w:noWrap w:val="0"/>
            <w:vAlign w:val="center"/>
          </w:tcPr>
          <w:p w14:paraId="5A473AA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《一般工业固体废物贮存和填埋污染控制标准》（GB18599-2020）</w:t>
            </w:r>
          </w:p>
        </w:tc>
      </w:tr>
      <w:tr w14:paraId="76EBD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7CA91AC0">
            <w:pPr>
              <w:jc w:val="center"/>
              <w:rPr>
                <w:rStyle w:val="130"/>
                <w:rFonts w:hint="default" w:ascii="Times New Roman" w:hAnsi="Times New Roman" w:cs="Times New Roman"/>
                <w:color w:val="auto"/>
                <w:sz w:val="24"/>
                <w:szCs w:val="24"/>
                <w:lang w:val="en-US" w:eastAsia="zh-CN"/>
              </w:rPr>
            </w:pPr>
          </w:p>
        </w:tc>
        <w:tc>
          <w:tcPr>
            <w:tcW w:w="2013" w:type="dxa"/>
            <w:noWrap w:val="0"/>
            <w:vAlign w:val="center"/>
          </w:tcPr>
          <w:p w14:paraId="66C35D75">
            <w:pPr>
              <w:keepNext w:val="0"/>
              <w:keepLines w:val="0"/>
              <w:widowControl/>
              <w:suppressLineNumbers w:val="0"/>
              <w:jc w:val="center"/>
              <w:rPr>
                <w:rStyle w:val="130"/>
                <w:rFonts w:hint="default" w:ascii="Times New Roman" w:hAnsi="Times New Roman" w:cs="Times New Roman"/>
                <w:color w:val="auto"/>
                <w:sz w:val="24"/>
                <w:szCs w:val="24"/>
                <w:lang w:val="en-US" w:eastAsia="zh-CN"/>
              </w:rPr>
            </w:pPr>
            <w:r>
              <w:rPr>
                <w:rFonts w:hint="eastAsia" w:cs="Times New Roman"/>
                <w:color w:val="auto"/>
                <w:kern w:val="2"/>
                <w:sz w:val="24"/>
                <w:szCs w:val="24"/>
                <w:lang w:val="en-US" w:eastAsia="zh-CN" w:bidi="ar-SA"/>
              </w:rPr>
              <w:t>食品制作</w:t>
            </w:r>
            <w:r>
              <w:rPr>
                <w:rFonts w:hint="eastAsia" w:ascii="Times New Roman" w:hAnsi="Times New Roman" w:eastAsia="宋体" w:cs="Times New Roman"/>
                <w:color w:val="auto"/>
                <w:kern w:val="2"/>
                <w:sz w:val="24"/>
                <w:szCs w:val="24"/>
                <w:lang w:val="en-US" w:eastAsia="zh-CN" w:bidi="ar-SA"/>
              </w:rPr>
              <w:t>过程产生</w:t>
            </w:r>
          </w:p>
        </w:tc>
        <w:tc>
          <w:tcPr>
            <w:tcW w:w="1232" w:type="dxa"/>
            <w:noWrap w:val="0"/>
            <w:vAlign w:val="center"/>
          </w:tcPr>
          <w:p w14:paraId="76A2B3DC">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Style w:val="130"/>
                <w:rFonts w:hint="eastAsia" w:ascii="Times New Roman" w:hAnsi="Times New Roman" w:cs="Times New Roman"/>
                <w:color w:val="auto"/>
                <w:sz w:val="24"/>
                <w:szCs w:val="24"/>
                <w:lang w:val="en-US" w:eastAsia="zh-CN"/>
              </w:rPr>
            </w:pPr>
            <w:r>
              <w:rPr>
                <w:rFonts w:hint="eastAsia" w:cs="Times New Roman"/>
                <w:color w:val="auto"/>
                <w:sz w:val="24"/>
                <w:szCs w:val="24"/>
                <w:vertAlign w:val="baseline"/>
                <w:lang w:val="en-US" w:eastAsia="zh-CN"/>
              </w:rPr>
              <w:t>餐厨垃圾</w:t>
            </w:r>
          </w:p>
        </w:tc>
        <w:tc>
          <w:tcPr>
            <w:tcW w:w="1966" w:type="dxa"/>
            <w:vMerge w:val="restart"/>
            <w:noWrap w:val="0"/>
            <w:vAlign w:val="center"/>
          </w:tcPr>
          <w:p w14:paraId="1BF3914E">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Style w:val="130"/>
                <w:rFonts w:hint="eastAsia" w:ascii="Times New Roman" w:hAnsi="Times New Roman" w:cs="Times New Roman"/>
                <w:color w:val="auto"/>
                <w:sz w:val="24"/>
                <w:szCs w:val="24"/>
                <w:lang w:val="en-US" w:eastAsia="zh-CN"/>
              </w:rPr>
            </w:pPr>
            <w:r>
              <w:rPr>
                <w:rFonts w:hint="eastAsia"/>
                <w:color w:val="auto"/>
                <w:sz w:val="24"/>
                <w:szCs w:val="24"/>
                <w:highlight w:val="none"/>
                <w:lang w:val="en-US" w:eastAsia="zh-CN"/>
              </w:rPr>
              <w:t>采用专用容器收集、暂存，委托专业厨余垃圾回收公司每日清运处置。</w:t>
            </w:r>
          </w:p>
        </w:tc>
        <w:tc>
          <w:tcPr>
            <w:tcW w:w="2731" w:type="dxa"/>
            <w:vMerge w:val="continue"/>
            <w:noWrap w:val="0"/>
            <w:vAlign w:val="center"/>
          </w:tcPr>
          <w:p w14:paraId="61749DF5">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r>
      <w:tr w14:paraId="2B3DE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3366E919">
            <w:pPr>
              <w:jc w:val="center"/>
              <w:rPr>
                <w:rStyle w:val="130"/>
                <w:rFonts w:hint="default" w:ascii="Times New Roman" w:hAnsi="Times New Roman" w:cs="Times New Roman"/>
                <w:color w:val="auto"/>
                <w:sz w:val="24"/>
                <w:szCs w:val="24"/>
                <w:lang w:val="en-US" w:eastAsia="zh-CN"/>
              </w:rPr>
            </w:pPr>
          </w:p>
        </w:tc>
        <w:tc>
          <w:tcPr>
            <w:tcW w:w="2013" w:type="dxa"/>
            <w:noWrap w:val="0"/>
            <w:vAlign w:val="center"/>
          </w:tcPr>
          <w:p w14:paraId="4D3E703D">
            <w:pPr>
              <w:keepNext w:val="0"/>
              <w:keepLines w:val="0"/>
              <w:widowControl/>
              <w:suppressLineNumbers w:val="0"/>
              <w:jc w:val="center"/>
              <w:rPr>
                <w:rStyle w:val="130"/>
                <w:rFonts w:hint="default" w:ascii="Times New Roman" w:hAnsi="Times New Roman" w:cs="Times New Roman"/>
                <w:color w:val="auto"/>
                <w:sz w:val="24"/>
                <w:szCs w:val="24"/>
                <w:lang w:val="en-US" w:eastAsia="zh-CN"/>
              </w:rPr>
            </w:pPr>
            <w:r>
              <w:rPr>
                <w:rFonts w:hint="eastAsia" w:cs="Times New Roman"/>
                <w:bCs/>
                <w:color w:val="auto"/>
                <w:sz w:val="24"/>
                <w:szCs w:val="24"/>
                <w:lang w:val="en-US" w:eastAsia="zh-CN"/>
              </w:rPr>
              <w:t>隔油池处理废水过程和油烟净化器处理废气过程产生</w:t>
            </w:r>
          </w:p>
        </w:tc>
        <w:tc>
          <w:tcPr>
            <w:tcW w:w="1232" w:type="dxa"/>
            <w:noWrap w:val="0"/>
            <w:vAlign w:val="center"/>
          </w:tcPr>
          <w:p w14:paraId="654DB5DE">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Style w:val="130"/>
                <w:rFonts w:hint="default" w:ascii="Times New Roman" w:hAnsi="Times New Roman" w:cs="Times New Roman"/>
                <w:color w:val="auto"/>
                <w:sz w:val="24"/>
                <w:szCs w:val="24"/>
                <w:lang w:val="en-US" w:eastAsia="zh-CN"/>
              </w:rPr>
            </w:pPr>
            <w:r>
              <w:rPr>
                <w:rFonts w:hint="eastAsia" w:cs="Times New Roman"/>
                <w:color w:val="auto"/>
                <w:sz w:val="24"/>
                <w:szCs w:val="24"/>
                <w:vertAlign w:val="baseline"/>
                <w:lang w:val="en-US" w:eastAsia="zh-CN"/>
              </w:rPr>
              <w:t>废油脂</w:t>
            </w:r>
          </w:p>
        </w:tc>
        <w:tc>
          <w:tcPr>
            <w:tcW w:w="1966" w:type="dxa"/>
            <w:vMerge w:val="continue"/>
            <w:noWrap w:val="0"/>
            <w:vAlign w:val="center"/>
          </w:tcPr>
          <w:p w14:paraId="2FF0FBA5">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Style w:val="130"/>
                <w:rFonts w:hint="default" w:ascii="Times New Roman" w:hAnsi="Times New Roman" w:cs="Times New Roman"/>
                <w:color w:val="auto"/>
                <w:sz w:val="24"/>
                <w:szCs w:val="24"/>
                <w:lang w:val="en-US" w:eastAsia="zh-CN"/>
              </w:rPr>
            </w:pPr>
          </w:p>
        </w:tc>
        <w:tc>
          <w:tcPr>
            <w:tcW w:w="2731" w:type="dxa"/>
            <w:vMerge w:val="continue"/>
            <w:noWrap w:val="0"/>
            <w:vAlign w:val="center"/>
          </w:tcPr>
          <w:p w14:paraId="1785C01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r>
      <w:tr w14:paraId="04C7C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6E996780">
            <w:pPr>
              <w:jc w:val="center"/>
              <w:rPr>
                <w:rStyle w:val="130"/>
                <w:rFonts w:hint="default" w:ascii="Times New Roman" w:hAnsi="Times New Roman" w:cs="Times New Roman"/>
                <w:color w:val="auto"/>
                <w:sz w:val="24"/>
                <w:szCs w:val="24"/>
                <w:lang w:val="en-US" w:eastAsia="zh-CN"/>
              </w:rPr>
            </w:pPr>
          </w:p>
        </w:tc>
        <w:tc>
          <w:tcPr>
            <w:tcW w:w="2013" w:type="dxa"/>
            <w:noWrap w:val="0"/>
            <w:vAlign w:val="center"/>
          </w:tcPr>
          <w:p w14:paraId="64D1600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Style w:val="130"/>
                <w:rFonts w:hint="eastAsia" w:ascii="Times New Roman" w:hAnsi="Times New Roman"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原料拆包和产品包装过程产生</w:t>
            </w:r>
          </w:p>
        </w:tc>
        <w:tc>
          <w:tcPr>
            <w:tcW w:w="1232" w:type="dxa"/>
            <w:noWrap w:val="0"/>
            <w:vAlign w:val="center"/>
          </w:tcPr>
          <w:p w14:paraId="3FBB14EC">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Style w:val="130"/>
                <w:rFonts w:hint="default" w:ascii="Times New Roman" w:hAnsi="Times New Roman" w:cs="Times New Roman"/>
                <w:color w:val="auto"/>
                <w:sz w:val="24"/>
                <w:szCs w:val="24"/>
                <w:lang w:val="en-US" w:eastAsia="zh-CN"/>
              </w:rPr>
            </w:pPr>
            <w:r>
              <w:rPr>
                <w:rFonts w:hint="eastAsia"/>
                <w:bCs/>
                <w:color w:val="auto"/>
                <w:sz w:val="24"/>
                <w:szCs w:val="24"/>
                <w:highlight w:val="none"/>
                <w:lang w:val="en-US" w:eastAsia="zh-CN"/>
              </w:rPr>
              <w:t>废包装材料</w:t>
            </w:r>
          </w:p>
        </w:tc>
        <w:tc>
          <w:tcPr>
            <w:tcW w:w="1966" w:type="dxa"/>
            <w:vMerge w:val="restart"/>
            <w:noWrap w:val="0"/>
            <w:vAlign w:val="center"/>
          </w:tcPr>
          <w:p w14:paraId="542F98ED">
            <w:pPr>
              <w:pStyle w:val="12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rPr>
                <w:rStyle w:val="130"/>
                <w:rFonts w:hint="eastAsia"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vertAlign w:val="baseline"/>
                <w:lang w:val="en-US" w:eastAsia="zh-CN"/>
              </w:rPr>
              <w:t>分类</w:t>
            </w:r>
            <w:r>
              <w:rPr>
                <w:rFonts w:hint="eastAsia" w:cs="Times New Roman"/>
                <w:color w:val="auto"/>
                <w:sz w:val="24"/>
                <w:szCs w:val="24"/>
                <w:lang w:val="en-US" w:eastAsia="zh-CN"/>
              </w:rPr>
              <w:t>收集后统一暂存于一般固废暂存间，都</w:t>
            </w:r>
            <w:r>
              <w:rPr>
                <w:rFonts w:hint="eastAsia" w:ascii="宋体" w:hAnsi="宋体" w:eastAsia="宋体" w:cs="宋体"/>
                <w:color w:val="000000"/>
                <w:kern w:val="0"/>
                <w:sz w:val="24"/>
                <w:szCs w:val="24"/>
                <w:lang w:val="en-US" w:eastAsia="zh-CN" w:bidi="ar"/>
              </w:rPr>
              <w:t>外售给物资回收公司综合利用</w:t>
            </w:r>
          </w:p>
        </w:tc>
        <w:tc>
          <w:tcPr>
            <w:tcW w:w="2731" w:type="dxa"/>
            <w:vMerge w:val="continue"/>
            <w:noWrap w:val="0"/>
            <w:vAlign w:val="center"/>
          </w:tcPr>
          <w:p w14:paraId="04A0E6B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r>
      <w:tr w14:paraId="36613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730BCABE">
            <w:pPr>
              <w:jc w:val="center"/>
              <w:rPr>
                <w:rStyle w:val="130"/>
                <w:rFonts w:hint="default" w:ascii="Times New Roman" w:hAnsi="Times New Roman" w:cs="Times New Roman"/>
                <w:color w:val="auto"/>
                <w:sz w:val="24"/>
                <w:szCs w:val="24"/>
                <w:lang w:val="en-US" w:eastAsia="zh-CN"/>
              </w:rPr>
            </w:pPr>
          </w:p>
        </w:tc>
        <w:tc>
          <w:tcPr>
            <w:tcW w:w="2013" w:type="dxa"/>
            <w:noWrap w:val="0"/>
            <w:vAlign w:val="center"/>
          </w:tcPr>
          <w:p w14:paraId="4B7EE6A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纯水机纯水制备过程产生</w:t>
            </w:r>
          </w:p>
        </w:tc>
        <w:tc>
          <w:tcPr>
            <w:tcW w:w="1232" w:type="dxa"/>
            <w:noWrap w:val="0"/>
            <w:vAlign w:val="center"/>
          </w:tcPr>
          <w:p w14:paraId="5C90E7BA">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4"/>
                <w:szCs w:val="24"/>
                <w:lang w:val="en-US" w:eastAsia="zh-CN" w:bidi="ar-SA"/>
              </w:rPr>
            </w:pPr>
            <w:r>
              <w:rPr>
                <w:rFonts w:hint="eastAsia"/>
                <w:bCs/>
                <w:color w:val="auto"/>
                <w:sz w:val="24"/>
                <w:szCs w:val="24"/>
                <w:highlight w:val="none"/>
              </w:rPr>
              <w:t>废滤芯和</w:t>
            </w:r>
            <w:r>
              <w:rPr>
                <w:rFonts w:hint="eastAsia" w:ascii="Times New Roman" w:hAnsi="Times New Roman" w:eastAsia="宋体" w:cs="Times New Roman"/>
                <w:color w:val="auto"/>
                <w:sz w:val="24"/>
                <w:szCs w:val="24"/>
                <w:vertAlign w:val="baseline"/>
                <w:lang w:val="en-US" w:eastAsia="zh-CN"/>
              </w:rPr>
              <w:t>废反渗透膜</w:t>
            </w:r>
          </w:p>
        </w:tc>
        <w:tc>
          <w:tcPr>
            <w:tcW w:w="1966" w:type="dxa"/>
            <w:vMerge w:val="continue"/>
            <w:noWrap w:val="0"/>
            <w:vAlign w:val="center"/>
          </w:tcPr>
          <w:p w14:paraId="735135B5">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p>
        </w:tc>
        <w:tc>
          <w:tcPr>
            <w:tcW w:w="2731" w:type="dxa"/>
            <w:vMerge w:val="continue"/>
            <w:noWrap w:val="0"/>
            <w:vAlign w:val="center"/>
          </w:tcPr>
          <w:p w14:paraId="62AC1E6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r>
      <w:tr w14:paraId="4BFB3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69EE695F">
            <w:pPr>
              <w:jc w:val="center"/>
              <w:rPr>
                <w:rStyle w:val="130"/>
                <w:rFonts w:hint="default" w:ascii="Times New Roman" w:hAnsi="Times New Roman" w:cs="Times New Roman"/>
                <w:color w:val="auto"/>
                <w:sz w:val="24"/>
                <w:szCs w:val="24"/>
                <w:lang w:val="en-US" w:eastAsia="zh-CN"/>
              </w:rPr>
            </w:pPr>
          </w:p>
        </w:tc>
        <w:tc>
          <w:tcPr>
            <w:tcW w:w="2013" w:type="dxa"/>
            <w:noWrap w:val="0"/>
            <w:vAlign w:val="center"/>
          </w:tcPr>
          <w:p w14:paraId="4330B0D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软水制备过程产生</w:t>
            </w:r>
          </w:p>
        </w:tc>
        <w:tc>
          <w:tcPr>
            <w:tcW w:w="1232" w:type="dxa"/>
            <w:noWrap w:val="0"/>
            <w:vAlign w:val="center"/>
          </w:tcPr>
          <w:p w14:paraId="505EEBF7">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4"/>
                <w:szCs w:val="24"/>
                <w:lang w:val="en-US" w:eastAsia="zh-CN" w:bidi="ar-SA"/>
              </w:rPr>
            </w:pPr>
            <w:r>
              <w:rPr>
                <w:rFonts w:hint="eastAsia"/>
                <w:bCs/>
                <w:color w:val="auto"/>
                <w:sz w:val="24"/>
                <w:szCs w:val="24"/>
                <w:highlight w:val="none"/>
                <w:lang w:val="en-US" w:eastAsia="zh-CN"/>
              </w:rPr>
              <w:t>锅炉软水废树脂</w:t>
            </w:r>
          </w:p>
        </w:tc>
        <w:tc>
          <w:tcPr>
            <w:tcW w:w="1966" w:type="dxa"/>
            <w:vMerge w:val="continue"/>
            <w:noWrap w:val="0"/>
            <w:vAlign w:val="center"/>
          </w:tcPr>
          <w:p w14:paraId="72D912FE">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p>
        </w:tc>
        <w:tc>
          <w:tcPr>
            <w:tcW w:w="2731" w:type="dxa"/>
            <w:vMerge w:val="continue"/>
            <w:noWrap w:val="0"/>
            <w:vAlign w:val="center"/>
          </w:tcPr>
          <w:p w14:paraId="4DAEB19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r>
      <w:tr w14:paraId="3891B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65F49C02">
            <w:pPr>
              <w:jc w:val="center"/>
              <w:rPr>
                <w:rStyle w:val="130"/>
                <w:rFonts w:hint="default" w:ascii="Times New Roman" w:hAnsi="Times New Roman" w:cs="Times New Roman"/>
                <w:color w:val="auto"/>
                <w:sz w:val="24"/>
                <w:szCs w:val="24"/>
                <w:lang w:val="en-US" w:eastAsia="zh-CN"/>
              </w:rPr>
            </w:pPr>
          </w:p>
        </w:tc>
        <w:tc>
          <w:tcPr>
            <w:tcW w:w="2013" w:type="dxa"/>
            <w:noWrap w:val="0"/>
            <w:vAlign w:val="center"/>
          </w:tcPr>
          <w:p w14:paraId="5178F2B9">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废水处理过程产生</w:t>
            </w:r>
          </w:p>
        </w:tc>
        <w:tc>
          <w:tcPr>
            <w:tcW w:w="1232" w:type="dxa"/>
            <w:noWrap w:val="0"/>
            <w:vAlign w:val="center"/>
          </w:tcPr>
          <w:p w14:paraId="4A117ED5">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4"/>
                <w:szCs w:val="24"/>
                <w:lang w:val="en-US" w:eastAsia="zh-CN" w:bidi="ar-SA"/>
              </w:rPr>
            </w:pPr>
            <w:r>
              <w:rPr>
                <w:rFonts w:hint="eastAsia"/>
                <w:bCs/>
                <w:color w:val="auto"/>
                <w:sz w:val="24"/>
                <w:szCs w:val="24"/>
                <w:highlight w:val="none"/>
                <w:lang w:val="en-US" w:eastAsia="zh-CN"/>
              </w:rPr>
              <w:t>沉淀池污泥</w:t>
            </w:r>
          </w:p>
        </w:tc>
        <w:tc>
          <w:tcPr>
            <w:tcW w:w="1966" w:type="dxa"/>
            <w:noWrap w:val="0"/>
            <w:vAlign w:val="center"/>
          </w:tcPr>
          <w:p w14:paraId="716655C4">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color w:val="auto"/>
                <w:kern w:val="24"/>
                <w:sz w:val="24"/>
                <w:szCs w:val="24"/>
                <w:lang w:val="en-US" w:eastAsia="zh-CN"/>
              </w:rPr>
              <w:t>经压滤处理后，每周用袋装暂存于</w:t>
            </w:r>
            <w:r>
              <w:rPr>
                <w:rFonts w:hint="eastAsia" w:cs="Times New Roman"/>
                <w:color w:val="auto"/>
                <w:sz w:val="24"/>
                <w:szCs w:val="24"/>
                <w:lang w:val="en-US" w:eastAsia="zh-CN"/>
              </w:rPr>
              <w:t>一般固废暂存间</w:t>
            </w:r>
            <w:r>
              <w:rPr>
                <w:rFonts w:hint="eastAsia"/>
                <w:color w:val="auto"/>
                <w:kern w:val="24"/>
                <w:sz w:val="24"/>
                <w:szCs w:val="24"/>
                <w:lang w:val="en-US" w:eastAsia="zh-CN"/>
              </w:rPr>
              <w:t>，</w:t>
            </w:r>
            <w:r>
              <w:rPr>
                <w:rFonts w:hint="eastAsia" w:cs="Times New Roman"/>
                <w:color w:val="auto"/>
                <w:sz w:val="24"/>
                <w:szCs w:val="24"/>
                <w:lang w:val="en-US" w:eastAsia="zh-CN"/>
              </w:rPr>
              <w:t>再</w:t>
            </w:r>
            <w:r>
              <w:rPr>
                <w:rFonts w:hint="eastAsia"/>
                <w:color w:val="auto"/>
                <w:kern w:val="24"/>
                <w:sz w:val="24"/>
                <w:szCs w:val="24"/>
                <w:lang w:val="en-US" w:eastAsia="zh-CN"/>
              </w:rPr>
              <w:t>交由有资质单位处理</w:t>
            </w:r>
            <w:r>
              <w:rPr>
                <w:rFonts w:hint="eastAsia" w:cs="Times New Roman"/>
                <w:b w:val="0"/>
                <w:bCs w:val="0"/>
                <w:color w:val="000000"/>
                <w:spacing w:val="0"/>
                <w:sz w:val="24"/>
                <w:szCs w:val="24"/>
                <w:lang w:val="en-US" w:eastAsia="zh-CN"/>
              </w:rPr>
              <w:t>。</w:t>
            </w:r>
          </w:p>
        </w:tc>
        <w:tc>
          <w:tcPr>
            <w:tcW w:w="2731" w:type="dxa"/>
            <w:vMerge w:val="continue"/>
            <w:noWrap w:val="0"/>
            <w:vAlign w:val="center"/>
          </w:tcPr>
          <w:p w14:paraId="1FB717A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r>
      <w:tr w14:paraId="25749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37" w:type="dxa"/>
            <w:vMerge w:val="restart"/>
            <w:noWrap w:val="0"/>
            <w:vAlign w:val="center"/>
          </w:tcPr>
          <w:p w14:paraId="5349B8C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危险废物</w:t>
            </w:r>
          </w:p>
        </w:tc>
        <w:tc>
          <w:tcPr>
            <w:tcW w:w="2013" w:type="dxa"/>
            <w:noWrap w:val="0"/>
            <w:vAlign w:val="center"/>
          </w:tcPr>
          <w:p w14:paraId="79E02BB7">
            <w:pPr>
              <w:jc w:val="center"/>
              <w:rPr>
                <w:rFonts w:hint="default" w:ascii="Times New Roman" w:hAnsi="Times New Roman" w:eastAsia="宋体" w:cs="Times New Roman"/>
                <w:b w:val="0"/>
                <w:bCs w:val="0"/>
                <w:color w:val="auto"/>
                <w:sz w:val="24"/>
                <w:szCs w:val="24"/>
                <w:highlight w:val="none"/>
                <w:lang w:val="en-US"/>
              </w:rPr>
            </w:pPr>
            <w:r>
              <w:rPr>
                <w:rStyle w:val="130"/>
                <w:rFonts w:hint="eastAsia"/>
                <w:color w:val="auto"/>
                <w:sz w:val="24"/>
                <w:szCs w:val="24"/>
              </w:rPr>
              <w:t>设备维修</w:t>
            </w:r>
          </w:p>
        </w:tc>
        <w:tc>
          <w:tcPr>
            <w:tcW w:w="1232" w:type="dxa"/>
            <w:noWrap w:val="0"/>
            <w:vAlign w:val="center"/>
          </w:tcPr>
          <w:p w14:paraId="5A997ED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olor w:val="auto"/>
                <w:sz w:val="24"/>
                <w:szCs w:val="24"/>
              </w:rPr>
              <w:t>废机油</w:t>
            </w:r>
            <w:r>
              <w:rPr>
                <w:rFonts w:hint="eastAsia"/>
                <w:color w:val="auto"/>
                <w:sz w:val="24"/>
                <w:szCs w:val="24"/>
                <w:lang w:val="en-US" w:eastAsia="zh-CN"/>
              </w:rPr>
              <w:t>及废含油抹布</w:t>
            </w:r>
          </w:p>
        </w:tc>
        <w:tc>
          <w:tcPr>
            <w:tcW w:w="1966" w:type="dxa"/>
            <w:vMerge w:val="restart"/>
            <w:noWrap w:val="0"/>
            <w:vAlign w:val="center"/>
          </w:tcPr>
          <w:p w14:paraId="78C6403D">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cs="Times New Roman"/>
                <w:b w:val="0"/>
                <w:bCs w:val="0"/>
                <w:color w:val="auto"/>
                <w:spacing w:val="0"/>
                <w:kern w:val="2"/>
                <w:sz w:val="24"/>
                <w:szCs w:val="24"/>
                <w:lang w:val="en-US" w:eastAsia="zh-CN" w:bidi="ar-SA"/>
              </w:rPr>
            </w:pPr>
            <w:r>
              <w:rPr>
                <w:rFonts w:hint="eastAsia" w:ascii="Times New Roman" w:hAnsi="Times New Roman" w:cs="Times New Roman"/>
                <w:b w:val="0"/>
                <w:bCs w:val="0"/>
                <w:color w:val="auto"/>
                <w:spacing w:val="0"/>
                <w:kern w:val="2"/>
                <w:sz w:val="24"/>
                <w:szCs w:val="24"/>
                <w:lang w:val="en-US" w:eastAsia="zh-CN" w:bidi="ar-SA"/>
              </w:rPr>
              <w:t>分类收集后</w:t>
            </w:r>
            <w:r>
              <w:rPr>
                <w:rFonts w:hint="default" w:ascii="Times New Roman" w:hAnsi="Times New Roman" w:cs="Times New Roman"/>
                <w:b w:val="0"/>
                <w:bCs w:val="0"/>
                <w:color w:val="auto"/>
                <w:spacing w:val="0"/>
                <w:kern w:val="2"/>
                <w:sz w:val="24"/>
                <w:szCs w:val="24"/>
                <w:lang w:val="en-US" w:eastAsia="zh-CN" w:bidi="ar-SA"/>
              </w:rPr>
              <w:t>暂存于危废暂存间</w:t>
            </w:r>
            <w:r>
              <w:rPr>
                <w:rFonts w:hint="eastAsia" w:ascii="Times New Roman" w:hAnsi="Times New Roman" w:cs="Times New Roman"/>
                <w:b w:val="0"/>
                <w:bCs w:val="0"/>
                <w:color w:val="auto"/>
                <w:spacing w:val="0"/>
                <w:kern w:val="2"/>
                <w:sz w:val="24"/>
                <w:szCs w:val="24"/>
                <w:lang w:val="en-US" w:eastAsia="zh-CN" w:bidi="ar-SA"/>
              </w:rPr>
              <w:t>，</w:t>
            </w:r>
          </w:p>
          <w:p w14:paraId="32A59D59">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b w:val="0"/>
                <w:bCs w:val="0"/>
                <w:color w:val="auto"/>
                <w:spacing w:val="0"/>
                <w:kern w:val="2"/>
                <w:sz w:val="24"/>
                <w:szCs w:val="24"/>
                <w:lang w:val="en-US" w:eastAsia="zh-CN" w:bidi="ar-SA"/>
              </w:rPr>
              <w:t>交由有</w:t>
            </w:r>
            <w:r>
              <w:rPr>
                <w:rFonts w:hint="default" w:ascii="Times New Roman" w:hAnsi="Times New Roman" w:cs="Times New Roman"/>
                <w:b w:val="0"/>
                <w:bCs w:val="0"/>
                <w:color w:val="auto"/>
                <w:spacing w:val="0"/>
                <w:kern w:val="2"/>
                <w:sz w:val="24"/>
                <w:szCs w:val="24"/>
                <w:lang w:val="zh-CN" w:eastAsia="zh-CN" w:bidi="ar-SA"/>
              </w:rPr>
              <w:t>危险废物处置资质</w:t>
            </w:r>
            <w:r>
              <w:rPr>
                <w:rFonts w:hint="default" w:ascii="Times New Roman" w:hAnsi="Times New Roman" w:cs="Times New Roman"/>
                <w:b w:val="0"/>
                <w:bCs w:val="0"/>
                <w:color w:val="auto"/>
                <w:spacing w:val="0"/>
                <w:kern w:val="2"/>
                <w:sz w:val="24"/>
                <w:szCs w:val="24"/>
                <w:lang w:val="en-US" w:eastAsia="zh-CN" w:bidi="ar-SA"/>
              </w:rPr>
              <w:t>的单位</w:t>
            </w:r>
            <w:r>
              <w:rPr>
                <w:rFonts w:hint="eastAsia" w:ascii="Times New Roman" w:hAnsi="Times New Roman" w:cs="Times New Roman"/>
                <w:b w:val="0"/>
                <w:bCs w:val="0"/>
                <w:color w:val="auto"/>
                <w:spacing w:val="0"/>
                <w:kern w:val="2"/>
                <w:sz w:val="24"/>
                <w:szCs w:val="24"/>
                <w:lang w:val="en-US" w:eastAsia="zh-CN" w:bidi="ar-SA"/>
              </w:rPr>
              <w:t>处理</w:t>
            </w:r>
          </w:p>
        </w:tc>
        <w:tc>
          <w:tcPr>
            <w:tcW w:w="2731" w:type="dxa"/>
            <w:vMerge w:val="restart"/>
            <w:noWrap w:val="0"/>
            <w:vAlign w:val="center"/>
          </w:tcPr>
          <w:p w14:paraId="37E9317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《危险废物贮存污染控制标准》（GB18597-2023）</w:t>
            </w:r>
          </w:p>
        </w:tc>
      </w:tr>
      <w:tr w14:paraId="022C24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7" w:type="dxa"/>
            <w:vMerge w:val="continue"/>
            <w:noWrap w:val="0"/>
            <w:vAlign w:val="center"/>
          </w:tcPr>
          <w:p w14:paraId="685BFD8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c>
          <w:tcPr>
            <w:tcW w:w="2013" w:type="dxa"/>
            <w:noWrap w:val="0"/>
            <w:vAlign w:val="center"/>
          </w:tcPr>
          <w:p w14:paraId="117C8E0C">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val="en-US"/>
              </w:rPr>
            </w:pPr>
            <w:r>
              <w:rPr>
                <w:rFonts w:hint="eastAsia" w:cs="Times New Roman"/>
                <w:color w:val="auto"/>
                <w:kern w:val="2"/>
                <w:sz w:val="24"/>
                <w:szCs w:val="24"/>
                <w:lang w:val="en-US" w:eastAsia="zh-CN" w:bidi="ar-SA"/>
              </w:rPr>
              <w:t>紫外线消毒设备定期更换紫外线灯管时产生</w:t>
            </w:r>
          </w:p>
        </w:tc>
        <w:tc>
          <w:tcPr>
            <w:tcW w:w="1232" w:type="dxa"/>
            <w:noWrap w:val="0"/>
            <w:vAlign w:val="center"/>
          </w:tcPr>
          <w:p w14:paraId="1BDA80A4">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color w:val="auto"/>
                <w:sz w:val="24"/>
                <w:szCs w:val="24"/>
              </w:rPr>
            </w:pPr>
            <w:r>
              <w:rPr>
                <w:rFonts w:hint="eastAsia"/>
                <w:color w:val="auto"/>
                <w:sz w:val="24"/>
                <w:szCs w:val="24"/>
                <w:lang w:val="en-US" w:eastAsia="zh-CN"/>
              </w:rPr>
              <w:t>废紫外线灯管</w:t>
            </w:r>
          </w:p>
        </w:tc>
        <w:tc>
          <w:tcPr>
            <w:tcW w:w="1966" w:type="dxa"/>
            <w:vMerge w:val="continue"/>
            <w:noWrap w:val="0"/>
            <w:vAlign w:val="center"/>
          </w:tcPr>
          <w:p w14:paraId="028DEFBB">
            <w:pPr>
              <w:keepNext w:val="0"/>
              <w:keepLines w:val="0"/>
              <w:pageBreakBefore w:val="0"/>
              <w:widowControl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b w:val="0"/>
                <w:bCs w:val="0"/>
                <w:color w:val="auto"/>
                <w:sz w:val="24"/>
                <w:szCs w:val="24"/>
                <w:highlight w:val="none"/>
              </w:rPr>
            </w:pPr>
          </w:p>
        </w:tc>
        <w:tc>
          <w:tcPr>
            <w:tcW w:w="2731" w:type="dxa"/>
            <w:vMerge w:val="continue"/>
            <w:noWrap w:val="0"/>
            <w:vAlign w:val="center"/>
          </w:tcPr>
          <w:p w14:paraId="4879476C">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p>
        </w:tc>
      </w:tr>
      <w:tr w14:paraId="3C09E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937" w:type="dxa"/>
            <w:noWrap w:val="0"/>
            <w:vAlign w:val="center"/>
          </w:tcPr>
          <w:p w14:paraId="3AC3EA1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土壤及地下水污染防治措施</w:t>
            </w:r>
          </w:p>
        </w:tc>
        <w:tc>
          <w:tcPr>
            <w:tcW w:w="7942" w:type="dxa"/>
            <w:gridSpan w:val="4"/>
            <w:noWrap w:val="0"/>
            <w:vAlign w:val="center"/>
          </w:tcPr>
          <w:p w14:paraId="3BA36033">
            <w:pPr>
              <w:keepNext w:val="0"/>
              <w:keepLines w:val="0"/>
              <w:pageBreakBefore w:val="0"/>
              <w:widowControl w:val="0"/>
              <w:kinsoku/>
              <w:wordWrap/>
              <w:overflowPunct/>
              <w:topLinePunct w:val="0"/>
              <w:autoSpaceDE/>
              <w:autoSpaceDN/>
              <w:bidi w:val="0"/>
              <w:adjustRightInd/>
              <w:snapToGrid/>
              <w:spacing w:line="34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color w:val="auto"/>
                <w:sz w:val="24"/>
                <w:szCs w:val="24"/>
              </w:rPr>
              <w:t>根据</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源头控制，分区防治</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原则的要求，对污染防治区进行分区防渗，对可能造成污染的区域</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污染防治区</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地面基础采取防渗处理，阻止污染物下渗进入地下水及土壤环境</w:t>
            </w:r>
            <w:r>
              <w:rPr>
                <w:rFonts w:hint="eastAsia" w:ascii="Times New Roman" w:hAnsi="Times New Roman" w:cs="Times New Roman"/>
                <w:color w:val="auto"/>
                <w:sz w:val="24"/>
                <w:szCs w:val="24"/>
                <w:lang w:eastAsia="zh-CN"/>
              </w:rPr>
              <w:t>。</w:t>
            </w:r>
          </w:p>
        </w:tc>
      </w:tr>
      <w:tr w14:paraId="03724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7" w:type="dxa"/>
            <w:noWrap w:val="0"/>
            <w:vAlign w:val="center"/>
          </w:tcPr>
          <w:p w14:paraId="07AF28EB">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生态保护措施</w:t>
            </w:r>
          </w:p>
        </w:tc>
        <w:tc>
          <w:tcPr>
            <w:tcW w:w="7942" w:type="dxa"/>
            <w:gridSpan w:val="4"/>
            <w:noWrap w:val="0"/>
            <w:vAlign w:val="center"/>
          </w:tcPr>
          <w:p w14:paraId="13F12BBA">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kern w:val="2"/>
                <w:sz w:val="24"/>
                <w:szCs w:val="24"/>
                <w:highlight w:val="none"/>
                <w:lang w:val="en-US" w:eastAsia="zh-CN" w:bidi="ar-SA"/>
              </w:rPr>
              <w:t>/</w:t>
            </w:r>
          </w:p>
        </w:tc>
      </w:tr>
      <w:tr w14:paraId="34223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7" w:type="dxa"/>
            <w:noWrap w:val="0"/>
            <w:vAlign w:val="center"/>
          </w:tcPr>
          <w:p w14:paraId="1EA6507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环境风险防范措施</w:t>
            </w:r>
          </w:p>
        </w:tc>
        <w:tc>
          <w:tcPr>
            <w:tcW w:w="7942" w:type="dxa"/>
            <w:gridSpan w:val="4"/>
            <w:noWrap w:val="0"/>
            <w:vAlign w:val="center"/>
          </w:tcPr>
          <w:p w14:paraId="1FC9A312">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1</w:t>
            </w:r>
            <w:r>
              <w:rPr>
                <w:rFonts w:hint="eastAsia"/>
                <w:b w:val="0"/>
                <w:bCs w:val="0"/>
                <w:color w:val="auto"/>
                <w:sz w:val="24"/>
                <w:szCs w:val="24"/>
                <w:highlight w:val="none"/>
                <w:lang w:eastAsia="zh-CN"/>
              </w:rPr>
              <w:t>）树立环境风险意识</w:t>
            </w:r>
          </w:p>
          <w:p w14:paraId="0A177F52">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建设项目生产过程中必须贯彻落实“安全第一，预防为主”的方针同时，应树立环境风险意识，强化环境风险责任。</w:t>
            </w:r>
          </w:p>
          <w:p w14:paraId="5F1B831D">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2</w:t>
            </w:r>
            <w:r>
              <w:rPr>
                <w:rFonts w:hint="eastAsia"/>
                <w:b w:val="0"/>
                <w:bCs w:val="0"/>
                <w:color w:val="auto"/>
                <w:sz w:val="24"/>
                <w:szCs w:val="24"/>
                <w:highlight w:val="none"/>
                <w:lang w:eastAsia="zh-CN"/>
              </w:rPr>
              <w:t>）实行全面安全管理制度</w:t>
            </w:r>
          </w:p>
          <w:p w14:paraId="0145A19D">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规范并强化在运输、生产、贮存、使用等过程中的环境风险预防措施为预防安全事故的发生，建设单位必须制定比较完善的安全管理规章制度，应从制度上对环境风险予以防范，对于各类事故的预防仍然需要制定相应的防范措施，尽量采用先进和安全可靠的设备，按照国家有关规定在车间设置必要的安全设施。</w:t>
            </w:r>
          </w:p>
          <w:p w14:paraId="409BE0CA">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3</w:t>
            </w:r>
            <w:r>
              <w:rPr>
                <w:rFonts w:hint="eastAsia"/>
                <w:b w:val="0"/>
                <w:bCs w:val="0"/>
                <w:color w:val="auto"/>
                <w:sz w:val="24"/>
                <w:szCs w:val="24"/>
                <w:highlight w:val="none"/>
                <w:lang w:eastAsia="zh-CN"/>
              </w:rPr>
              <w:t>）提高生产及管理人员的技术水平，强化安全及环境教育操作及管理人员的技术水平可直接影响到风险事故的发生，本项目建成投产后，应对操作和管理人员的技术水平从严要求，提高安全意识，加强培训。</w:t>
            </w:r>
          </w:p>
          <w:p w14:paraId="319EA36B">
            <w:pPr>
              <w:pStyle w:val="46"/>
              <w:bidi w:val="0"/>
              <w:rPr>
                <w:rFonts w:hint="default"/>
                <w:color w:val="auto"/>
                <w:sz w:val="24"/>
                <w:szCs w:val="24"/>
                <w:highlight w:val="none"/>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4</w:t>
            </w:r>
            <w:r>
              <w:rPr>
                <w:rFonts w:hint="eastAsia" w:cs="Times New Roman"/>
                <w:b w:val="0"/>
                <w:bCs w:val="0"/>
                <w:color w:val="auto"/>
                <w:sz w:val="24"/>
                <w:szCs w:val="24"/>
                <w:highlight w:val="none"/>
                <w:lang w:eastAsia="zh-CN"/>
              </w:rPr>
              <w:t>）</w:t>
            </w:r>
            <w:r>
              <w:rPr>
                <w:rFonts w:hint="eastAsia"/>
                <w:color w:val="auto"/>
                <w:sz w:val="24"/>
                <w:szCs w:val="24"/>
                <w:highlight w:val="none"/>
                <w:lang w:val="en-US" w:eastAsia="zh-CN"/>
              </w:rPr>
              <w:t>废</w:t>
            </w:r>
            <w:r>
              <w:rPr>
                <w:rFonts w:hint="default"/>
                <w:color w:val="auto"/>
                <w:sz w:val="24"/>
                <w:szCs w:val="24"/>
                <w:highlight w:val="none"/>
              </w:rPr>
              <w:t>机油日常储存于</w:t>
            </w:r>
            <w:r>
              <w:rPr>
                <w:rFonts w:hint="eastAsia"/>
                <w:color w:val="auto"/>
                <w:sz w:val="24"/>
                <w:szCs w:val="24"/>
                <w:highlight w:val="none"/>
                <w:lang w:val="en-US" w:eastAsia="zh-CN"/>
              </w:rPr>
              <w:t>相应容器</w:t>
            </w:r>
            <w:r>
              <w:rPr>
                <w:rFonts w:hint="default"/>
                <w:color w:val="auto"/>
                <w:sz w:val="24"/>
                <w:szCs w:val="24"/>
                <w:highlight w:val="none"/>
              </w:rPr>
              <w:t>内，储存容器日常均加盖密封</w:t>
            </w:r>
            <w:r>
              <w:rPr>
                <w:rFonts w:hint="eastAsia"/>
                <w:color w:val="auto"/>
                <w:sz w:val="24"/>
                <w:szCs w:val="24"/>
                <w:highlight w:val="none"/>
                <w:lang w:eastAsia="zh-CN"/>
              </w:rPr>
              <w:t>；</w:t>
            </w:r>
            <w:r>
              <w:rPr>
                <w:rFonts w:hint="default"/>
                <w:color w:val="auto"/>
                <w:sz w:val="24"/>
                <w:szCs w:val="24"/>
                <w:highlight w:val="none"/>
              </w:rPr>
              <w:t>危废暂存间采建有堵截泄漏的裙脚，地面与裙脚要用坚固防渗的材料建造</w:t>
            </w:r>
            <w:r>
              <w:rPr>
                <w:rFonts w:hint="eastAsia"/>
                <w:color w:val="auto"/>
                <w:sz w:val="24"/>
                <w:szCs w:val="24"/>
                <w:highlight w:val="none"/>
                <w:lang w:eastAsia="zh-CN"/>
              </w:rPr>
              <w:t>，</w:t>
            </w:r>
            <w:r>
              <w:rPr>
                <w:rFonts w:hint="default"/>
                <w:color w:val="auto"/>
                <w:sz w:val="24"/>
                <w:szCs w:val="24"/>
                <w:highlight w:val="none"/>
              </w:rPr>
              <w:t>并设置有隔离设施、报警装置和“四防”（防风、防雨、防晒、防渗漏）设施</w:t>
            </w:r>
            <w:r>
              <w:rPr>
                <w:rFonts w:hint="eastAsia"/>
                <w:color w:val="auto"/>
                <w:sz w:val="24"/>
                <w:szCs w:val="24"/>
                <w:highlight w:val="none"/>
                <w:lang w:eastAsia="zh-CN"/>
              </w:rPr>
              <w:t>，</w:t>
            </w:r>
            <w:r>
              <w:rPr>
                <w:rFonts w:hint="default"/>
                <w:color w:val="auto"/>
                <w:sz w:val="24"/>
                <w:szCs w:val="24"/>
                <w:highlight w:val="none"/>
              </w:rPr>
              <w:t>不同种类的危险废物应根据其理化性质分类存放，不同类的危废须分区贮存，不同分区应设置矮围墙或在地面画线并预留明显间隔，严禁将不相容（相互反应）的危废在同一容器内混装。企业在做好日常环境管理的基础上，项目危险废物贮存过程中对周边的环境空气、地表水、地下水、土壤以及环境敏感保护目标影响较小。</w:t>
            </w:r>
          </w:p>
          <w:p w14:paraId="2BC8770B">
            <w:pPr>
              <w:pStyle w:val="46"/>
              <w:bidi w:val="0"/>
              <w:rPr>
                <w:rFonts w:hint="eastAsia" w:ascii="Times New Roman" w:hAnsi="Times New Roman" w:eastAsia="宋体" w:cs="Times New Roman"/>
                <w:b w:val="0"/>
                <w:bCs w:val="0"/>
                <w:color w:val="auto"/>
                <w:sz w:val="24"/>
                <w:szCs w:val="24"/>
                <w:highlight w:val="none"/>
                <w:lang w:eastAsia="zh-CN"/>
              </w:rPr>
            </w:pPr>
            <w:r>
              <w:rPr>
                <w:rFonts w:hint="eastAsia" w:eastAsia="宋体"/>
                <w:color w:val="auto"/>
                <w:sz w:val="24"/>
                <w:szCs w:val="20"/>
                <w:highlight w:val="none"/>
                <w:lang w:eastAsia="zh-CN"/>
              </w:rPr>
              <w:t>（</w:t>
            </w:r>
            <w:r>
              <w:rPr>
                <w:rFonts w:hint="eastAsia"/>
                <w:color w:val="auto"/>
                <w:sz w:val="24"/>
                <w:szCs w:val="20"/>
                <w:highlight w:val="none"/>
                <w:lang w:val="en-US" w:eastAsia="zh-CN"/>
              </w:rPr>
              <w:t>5</w:t>
            </w:r>
            <w:r>
              <w:rPr>
                <w:rFonts w:hint="eastAsia" w:eastAsia="宋体"/>
                <w:color w:val="auto"/>
                <w:sz w:val="24"/>
                <w:szCs w:val="20"/>
                <w:highlight w:val="none"/>
                <w:lang w:eastAsia="zh-CN"/>
              </w:rPr>
              <w:t>）</w:t>
            </w:r>
            <w:r>
              <w:rPr>
                <w:rFonts w:hint="eastAsia" w:ascii="Times New Roman" w:hAnsi="Times New Roman" w:eastAsia="宋体" w:cs="Times New Roman"/>
                <w:b w:val="0"/>
                <w:bCs w:val="0"/>
                <w:color w:val="auto"/>
                <w:sz w:val="24"/>
                <w:szCs w:val="24"/>
                <w:highlight w:val="none"/>
                <w:lang w:eastAsia="zh-CN"/>
              </w:rPr>
              <w:t>火灾</w:t>
            </w:r>
            <w:r>
              <w:rPr>
                <w:rFonts w:hint="default" w:ascii="Times New Roman" w:hAnsi="Times New Roman" w:eastAsia="宋体" w:cs="Times New Roman"/>
                <w:b w:val="0"/>
                <w:bCs w:val="0"/>
                <w:color w:val="auto"/>
                <w:sz w:val="24"/>
                <w:szCs w:val="24"/>
                <w:highlight w:val="none"/>
                <w:lang w:eastAsia="zh-CN"/>
              </w:rPr>
              <w:t>风险防范措施</w:t>
            </w:r>
          </w:p>
          <w:p w14:paraId="7E21D2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val="en-US" w:eastAsia="zh-CN"/>
              </w:rPr>
              <w:t>严</w:t>
            </w:r>
            <w:r>
              <w:rPr>
                <w:rFonts w:hint="default" w:ascii="Times New Roman" w:hAnsi="Times New Roman" w:eastAsia="宋体" w:cs="Times New Roman"/>
                <w:b w:val="0"/>
                <w:bCs w:val="0"/>
                <w:color w:val="auto"/>
                <w:sz w:val="24"/>
                <w:szCs w:val="24"/>
                <w:highlight w:val="none"/>
                <w:lang w:eastAsia="zh-CN"/>
              </w:rPr>
              <w:t>格遵照《建筑设计防火规范》（GB50016-2014）要求，项目各建（构）筑物彼此之间须保留有足够的防火间距。厂方须注意做好原料运输车辆的安全防范工作，选择合适的运输路线，制定应急措施，一旦发生意外事故须立即报告有关部门，减少事故影响。在运输和贮存过程中，要采取严格的措施防止火灾事故的发生。厂方应做好安全防火工作及应变措施</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配置干粉灭火器、消防水箱等应急防范措施</w:t>
            </w:r>
            <w:r>
              <w:rPr>
                <w:rFonts w:hint="default" w:ascii="Times New Roman" w:hAnsi="Times New Roman" w:eastAsia="宋体" w:cs="Times New Roman"/>
                <w:b w:val="0"/>
                <w:bCs w:val="0"/>
                <w:color w:val="auto"/>
                <w:sz w:val="24"/>
                <w:szCs w:val="24"/>
                <w:highlight w:val="none"/>
                <w:lang w:eastAsia="zh-CN"/>
              </w:rPr>
              <w:t>。如发生火灾，用干粉灭火剂</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消防水等方式</w:t>
            </w:r>
            <w:r>
              <w:rPr>
                <w:rFonts w:hint="default" w:ascii="Times New Roman" w:hAnsi="Times New Roman" w:eastAsia="宋体" w:cs="Times New Roman"/>
                <w:b w:val="0"/>
                <w:bCs w:val="0"/>
                <w:color w:val="auto"/>
                <w:sz w:val="24"/>
                <w:szCs w:val="24"/>
                <w:highlight w:val="none"/>
                <w:lang w:eastAsia="zh-CN"/>
              </w:rPr>
              <w:t>灭火。仓库必须配备有专业知识的技术人员，管理人员经考核合格后持证上岗且必须配备可靠的个人安全防护用品。使仓库处于良好通风状态，仓库禁用明火且各种用电设施应符合相应的规范。必须建立严格的出入库管理制度。制订应急方案，并向员工提供必要的训练，一旦发生事故时，应有条不紊地按应急方案实施，以将火灾损失等减少至最低限度，同时应向环保、消防等相关部门及时报告，以便采取更有效的措施来监测灾情及防止污染事故的进一步扩散。</w:t>
            </w:r>
          </w:p>
          <w:p w14:paraId="01FB01DB">
            <w:pPr>
              <w:spacing w:line="360" w:lineRule="auto"/>
              <w:ind w:firstLine="480" w:firstLineChars="200"/>
              <w:rPr>
                <w:rFonts w:hint="default"/>
                <w:color w:val="auto"/>
                <w:sz w:val="24"/>
                <w:highlight w:val="none"/>
                <w:lang w:val="en-US" w:eastAsia="zh-CN"/>
              </w:rPr>
            </w:pPr>
            <w:r>
              <w:rPr>
                <w:rFonts w:hint="eastAsia"/>
                <w:color w:val="auto"/>
                <w:sz w:val="24"/>
                <w:szCs w:val="20"/>
                <w:highlight w:val="none"/>
                <w:lang w:eastAsia="zh-CN"/>
              </w:rPr>
              <w:t>（</w:t>
            </w:r>
            <w:r>
              <w:rPr>
                <w:rFonts w:hint="eastAsia"/>
                <w:color w:val="auto"/>
                <w:sz w:val="24"/>
                <w:szCs w:val="20"/>
                <w:highlight w:val="none"/>
                <w:lang w:val="en-US" w:eastAsia="zh-CN"/>
              </w:rPr>
              <w:t>6</w:t>
            </w:r>
            <w:r>
              <w:rPr>
                <w:rFonts w:hint="eastAsia"/>
                <w:color w:val="auto"/>
                <w:sz w:val="24"/>
                <w:szCs w:val="20"/>
                <w:highlight w:val="none"/>
                <w:lang w:eastAsia="zh-CN"/>
              </w:rPr>
              <w:t>）</w:t>
            </w:r>
            <w:r>
              <w:rPr>
                <w:rFonts w:hint="eastAsia"/>
                <w:color w:val="auto"/>
                <w:sz w:val="24"/>
                <w:highlight w:val="none"/>
                <w:lang w:val="en-US" w:eastAsia="zh-CN"/>
              </w:rPr>
              <w:t>为避免项目生产过程中物料泄露，</w:t>
            </w:r>
            <w:r>
              <w:rPr>
                <w:rFonts w:hint="eastAsia"/>
                <w:color w:val="auto"/>
                <w:sz w:val="24"/>
                <w:highlight w:val="none"/>
              </w:rPr>
              <w:t>评价建议设置三级风险防范措施</w:t>
            </w:r>
            <w:r>
              <w:rPr>
                <w:rFonts w:hint="eastAsia"/>
                <w:color w:val="auto"/>
                <w:sz w:val="24"/>
                <w:highlight w:val="none"/>
                <w:lang w:eastAsia="zh-CN"/>
              </w:rPr>
              <w:t>，</w:t>
            </w:r>
            <w:r>
              <w:rPr>
                <w:rFonts w:hint="eastAsia"/>
                <w:color w:val="auto"/>
                <w:sz w:val="24"/>
                <w:highlight w:val="none"/>
              </w:rPr>
              <w:t>即从生产区、污水处理</w:t>
            </w:r>
            <w:r>
              <w:rPr>
                <w:rFonts w:hint="eastAsia"/>
                <w:color w:val="auto"/>
                <w:sz w:val="24"/>
                <w:highlight w:val="none"/>
                <w:lang w:val="en-US" w:eastAsia="zh-CN"/>
              </w:rPr>
              <w:t>设施</w:t>
            </w:r>
            <w:r>
              <w:rPr>
                <w:rFonts w:hint="eastAsia"/>
                <w:color w:val="auto"/>
                <w:sz w:val="24"/>
                <w:highlight w:val="none"/>
              </w:rPr>
              <w:t>及区域污水集中处理系统三个层面对项目废水事故进行预防。</w:t>
            </w:r>
          </w:p>
          <w:p w14:paraId="47F5C02E">
            <w:pPr>
              <w:spacing w:line="360" w:lineRule="auto"/>
              <w:ind w:firstLine="480" w:firstLineChars="200"/>
              <w:rPr>
                <w:rFonts w:hint="eastAsia"/>
                <w:color w:val="auto"/>
                <w:sz w:val="24"/>
                <w:highlight w:val="none"/>
              </w:rPr>
            </w:pPr>
            <w:r>
              <w:rPr>
                <w:rFonts w:hint="eastAsia"/>
                <w:color w:val="auto"/>
                <w:sz w:val="24"/>
                <w:highlight w:val="none"/>
              </w:rPr>
              <w:t>建立三级防控体系：</w:t>
            </w:r>
          </w:p>
          <w:p w14:paraId="5B60EF20">
            <w:pPr>
              <w:spacing w:line="360" w:lineRule="auto"/>
              <w:ind w:firstLine="480" w:firstLineChars="200"/>
              <w:rPr>
                <w:rFonts w:hint="eastAsia"/>
                <w:color w:val="auto"/>
                <w:sz w:val="24"/>
                <w:highlight w:val="none"/>
              </w:rPr>
            </w:pPr>
            <w:r>
              <w:rPr>
                <w:rFonts w:hint="eastAsia"/>
                <w:color w:val="auto"/>
                <w:sz w:val="24"/>
                <w:highlight w:val="none"/>
                <w:lang w:val="en-US" w:eastAsia="zh-CN"/>
              </w:rPr>
              <w:t>A、</w:t>
            </w:r>
            <w:r>
              <w:rPr>
                <w:rFonts w:hint="eastAsia"/>
                <w:color w:val="auto"/>
                <w:sz w:val="24"/>
                <w:highlight w:val="none"/>
              </w:rPr>
              <w:t>一级防控措施：利用生产装置区作为一级防控措施，主要防控物料泄漏及消防污水。</w:t>
            </w:r>
          </w:p>
          <w:p w14:paraId="16D79D4D">
            <w:pPr>
              <w:spacing w:line="360" w:lineRule="auto"/>
              <w:ind w:firstLine="480" w:firstLineChars="200"/>
              <w:rPr>
                <w:rFonts w:hint="eastAsia"/>
                <w:color w:val="auto"/>
                <w:sz w:val="24"/>
                <w:highlight w:val="none"/>
              </w:rPr>
            </w:pPr>
            <w:r>
              <w:rPr>
                <w:rFonts w:hint="eastAsia"/>
                <w:color w:val="auto"/>
                <w:sz w:val="24"/>
                <w:highlight w:val="none"/>
                <w:lang w:val="en-US" w:eastAsia="zh-CN"/>
              </w:rPr>
              <w:t>B、</w:t>
            </w:r>
            <w:r>
              <w:rPr>
                <w:rFonts w:hint="eastAsia"/>
                <w:color w:val="auto"/>
                <w:sz w:val="24"/>
                <w:highlight w:val="none"/>
              </w:rPr>
              <w:t>二级防控措施：利用</w:t>
            </w:r>
            <w:r>
              <w:rPr>
                <w:rFonts w:hint="eastAsia"/>
                <w:color w:val="auto"/>
                <w:sz w:val="24"/>
                <w:highlight w:val="none"/>
                <w:lang w:val="en-US" w:eastAsia="zh-CN"/>
              </w:rPr>
              <w:t>220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事故池作为二级防控措施，用于事故情况下废水储存。</w:t>
            </w:r>
          </w:p>
          <w:p w14:paraId="4A1055B9">
            <w:pPr>
              <w:spacing w:line="360" w:lineRule="auto"/>
              <w:ind w:firstLine="480" w:firstLineChars="200"/>
              <w:rPr>
                <w:color w:val="auto"/>
                <w:sz w:val="24"/>
                <w:highlight w:val="none"/>
              </w:rPr>
            </w:pPr>
            <w:r>
              <w:rPr>
                <w:rFonts w:hint="eastAsia"/>
                <w:color w:val="auto"/>
                <w:sz w:val="24"/>
                <w:highlight w:val="none"/>
                <w:lang w:val="en-US" w:eastAsia="zh-CN"/>
              </w:rPr>
              <w:t>C、</w:t>
            </w:r>
            <w:r>
              <w:rPr>
                <w:color w:val="auto"/>
                <w:sz w:val="24"/>
                <w:highlight w:val="none"/>
              </w:rPr>
              <w:t>三级防控措施：雨排口增加切换阀门和引入</w:t>
            </w:r>
            <w:r>
              <w:rPr>
                <w:rFonts w:hint="eastAsia"/>
                <w:color w:val="auto"/>
                <w:sz w:val="24"/>
                <w:highlight w:val="none"/>
                <w:lang w:eastAsia="zh-CN"/>
              </w:rPr>
              <w:t>污水处理站</w:t>
            </w:r>
            <w:r>
              <w:rPr>
                <w:color w:val="auto"/>
                <w:sz w:val="24"/>
                <w:highlight w:val="none"/>
              </w:rPr>
              <w:t>的事故池管线作为三级防控措施，防控溢流至雨水系统的污水进入地表河流。</w:t>
            </w:r>
          </w:p>
          <w:p w14:paraId="72D9F008">
            <w:pPr>
              <w:autoSpaceDE w:val="0"/>
              <w:autoSpaceDN w:val="0"/>
              <w:adjustRightInd w:val="0"/>
              <w:spacing w:line="360" w:lineRule="auto"/>
              <w:ind w:firstLine="480"/>
              <w:jc w:val="left"/>
              <w:rPr>
                <w:b w:val="0"/>
                <w:bCs w:val="0"/>
                <w:color w:val="auto"/>
                <w:kern w:val="0"/>
                <w:sz w:val="24"/>
                <w:szCs w:val="22"/>
                <w:highlight w:val="none"/>
              </w:rPr>
            </w:pPr>
            <w:r>
              <w:rPr>
                <w:b w:val="0"/>
                <w:bCs w:val="0"/>
                <w:color w:val="auto"/>
                <w:kern w:val="0"/>
                <w:sz w:val="24"/>
                <w:szCs w:val="22"/>
                <w:highlight w:val="none"/>
              </w:rPr>
              <w:t>消防废水二次污染防范</w:t>
            </w:r>
          </w:p>
          <w:p w14:paraId="1A91325E">
            <w:pPr>
              <w:autoSpaceDE w:val="0"/>
              <w:autoSpaceDN w:val="0"/>
              <w:adjustRightInd w:val="0"/>
              <w:spacing w:line="360" w:lineRule="auto"/>
              <w:ind w:firstLine="480"/>
              <w:jc w:val="left"/>
              <w:rPr>
                <w:color w:val="auto"/>
                <w:kern w:val="0"/>
                <w:sz w:val="24"/>
                <w:szCs w:val="22"/>
                <w:highlight w:val="none"/>
              </w:rPr>
            </w:pPr>
            <w:r>
              <w:rPr>
                <w:color w:val="auto"/>
                <w:kern w:val="0"/>
                <w:sz w:val="24"/>
                <w:szCs w:val="22"/>
                <w:highlight w:val="none"/>
              </w:rPr>
              <w:t>消防废水是一个不容忽视的二次污染问题，由于消防废水产生时间短，产生量巨大，不易控制和导向，一般进入火灾厂区雨水管网后直接进入市政雨水管网后进入外界水体环境，从而使带有化学品的消防废水对外界水体环境造成的严重的污染事故，根据这些事故特征，本评价提出如下预防措施：</w:t>
            </w:r>
          </w:p>
          <w:p w14:paraId="5A38F51C">
            <w:pPr>
              <w:autoSpaceDE w:val="0"/>
              <w:autoSpaceDN w:val="0"/>
              <w:adjustRightInd w:val="0"/>
              <w:spacing w:line="360" w:lineRule="auto"/>
              <w:ind w:firstLine="480"/>
              <w:jc w:val="left"/>
              <w:rPr>
                <w:rFonts w:hint="eastAsia" w:eastAsia="宋体"/>
                <w:color w:val="auto"/>
                <w:kern w:val="0"/>
                <w:sz w:val="24"/>
                <w:szCs w:val="22"/>
                <w:highlight w:val="none"/>
                <w:lang w:eastAsia="zh-CN"/>
              </w:rPr>
            </w:pPr>
            <w:r>
              <w:rPr>
                <w:rFonts w:hint="eastAsia" w:cs="宋体"/>
                <w:color w:val="auto"/>
                <w:kern w:val="0"/>
                <w:sz w:val="24"/>
                <w:szCs w:val="22"/>
                <w:highlight w:val="none"/>
                <w:lang w:val="en-US" w:eastAsia="zh-CN"/>
              </w:rPr>
              <w:t>A、</w:t>
            </w:r>
            <w:r>
              <w:rPr>
                <w:color w:val="auto"/>
                <w:kern w:val="0"/>
                <w:sz w:val="24"/>
                <w:szCs w:val="22"/>
                <w:highlight w:val="none"/>
              </w:rPr>
              <w:t>在厂区雨水管网集中汇入基地雨水管网的节点上安装可靠的隔断措施，可在灭火时将此隔断措施关闭，防止消防废水直接进入基地雨水管网</w:t>
            </w:r>
            <w:r>
              <w:rPr>
                <w:rFonts w:hint="eastAsia"/>
                <w:color w:val="auto"/>
                <w:kern w:val="0"/>
                <w:sz w:val="24"/>
                <w:szCs w:val="22"/>
                <w:highlight w:val="none"/>
                <w:lang w:eastAsia="zh-CN"/>
              </w:rPr>
              <w:t>；</w:t>
            </w:r>
          </w:p>
          <w:p w14:paraId="6A90F512">
            <w:pPr>
              <w:autoSpaceDE w:val="0"/>
              <w:autoSpaceDN w:val="0"/>
              <w:adjustRightInd w:val="0"/>
              <w:spacing w:line="360" w:lineRule="auto"/>
              <w:ind w:firstLine="480"/>
              <w:jc w:val="left"/>
              <w:rPr>
                <w:color w:val="auto"/>
                <w:kern w:val="0"/>
                <w:sz w:val="24"/>
                <w:szCs w:val="22"/>
                <w:highlight w:val="none"/>
              </w:rPr>
            </w:pPr>
            <w:r>
              <w:rPr>
                <w:rFonts w:hint="eastAsia" w:cs="宋体"/>
                <w:color w:val="auto"/>
                <w:kern w:val="0"/>
                <w:sz w:val="24"/>
                <w:szCs w:val="22"/>
                <w:highlight w:val="none"/>
                <w:lang w:val="en-US" w:eastAsia="zh-CN"/>
              </w:rPr>
              <w:t>B、</w:t>
            </w:r>
            <w:r>
              <w:rPr>
                <w:color w:val="auto"/>
                <w:kern w:val="0"/>
                <w:sz w:val="24"/>
                <w:szCs w:val="22"/>
                <w:highlight w:val="none"/>
              </w:rPr>
              <w:t>在厂区边界预先准备适量的沙包，在厂区灭火时堵住厂界围墙有泄漏的地方，防止消防废水向场外泄漏；</w:t>
            </w:r>
          </w:p>
          <w:p w14:paraId="115FDD4A">
            <w:pPr>
              <w:pStyle w:val="133"/>
              <w:tabs>
                <w:tab w:val="left" w:pos="7350"/>
              </w:tabs>
              <w:adjustRightInd/>
              <w:ind w:firstLine="480"/>
              <w:jc w:val="both"/>
              <w:rPr>
                <w:rFonts w:hint="default" w:ascii="Times New Roman" w:hAnsi="Times New Roman" w:cs="Times New Roman"/>
                <w:color w:val="auto"/>
                <w:kern w:val="0"/>
                <w:szCs w:val="24"/>
                <w:highlight w:val="none"/>
              </w:rPr>
            </w:pPr>
            <w:r>
              <w:rPr>
                <w:rFonts w:hint="eastAsia"/>
                <w:color w:val="auto"/>
                <w:kern w:val="0"/>
                <w:sz w:val="24"/>
                <w:szCs w:val="22"/>
                <w:highlight w:val="none"/>
                <w:lang w:val="en-US" w:eastAsia="zh-CN"/>
              </w:rPr>
              <w:t>C、</w:t>
            </w:r>
            <w:r>
              <w:rPr>
                <w:color w:val="auto"/>
                <w:kern w:val="0"/>
                <w:sz w:val="24"/>
                <w:szCs w:val="22"/>
                <w:highlight w:val="none"/>
              </w:rPr>
              <w:t>建设单位须与周边企业建立友好协助关系，尤其在消防力量上应当互助，能够做到一方有难八方支援，将着火厂区的火灾及时扑灭，避免扩大火灾范围。</w:t>
            </w:r>
          </w:p>
          <w:p w14:paraId="6BA3B7CE">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default"/>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采取以上环境风险防范措施后，本项目环境风险较小，环境风险水平可接受。</w:t>
            </w:r>
          </w:p>
        </w:tc>
      </w:tr>
      <w:tr w14:paraId="640E5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8" w:hRule="atLeast"/>
          <w:jc w:val="center"/>
        </w:trPr>
        <w:tc>
          <w:tcPr>
            <w:tcW w:w="937" w:type="dxa"/>
            <w:noWrap w:val="0"/>
            <w:vAlign w:val="center"/>
          </w:tcPr>
          <w:p w14:paraId="79E3D5C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其他环境管理要求</w:t>
            </w:r>
          </w:p>
        </w:tc>
        <w:tc>
          <w:tcPr>
            <w:tcW w:w="7942" w:type="dxa"/>
            <w:gridSpan w:val="4"/>
            <w:noWrap w:val="0"/>
            <w:vAlign w:val="center"/>
          </w:tcPr>
          <w:p w14:paraId="4963BAEB">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应严格落实环保“三同时”制度，</w:t>
            </w:r>
            <w:r>
              <w:rPr>
                <w:rFonts w:hint="default" w:ascii="Times New Roman" w:hAnsi="Times New Roman" w:eastAsia="宋体" w:cs="Times New Roman"/>
                <w:color w:val="auto"/>
                <w:sz w:val="24"/>
                <w:szCs w:val="24"/>
                <w:lang w:val="en-US" w:eastAsia="zh-CN"/>
              </w:rPr>
              <w:t>污染物</w:t>
            </w:r>
            <w:r>
              <w:rPr>
                <w:rFonts w:hint="default" w:ascii="Times New Roman" w:hAnsi="Times New Roman" w:eastAsia="宋体" w:cs="Times New Roman"/>
                <w:color w:val="auto"/>
                <w:sz w:val="24"/>
                <w:szCs w:val="24"/>
              </w:rPr>
              <w:t>排放必须达到国家规定的标准，确保所排放的各项目污染物满足相应的排放标准。</w:t>
            </w:r>
          </w:p>
          <w:p w14:paraId="63E0001F">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加强环保设施的维护和管理，保证设备正常运行。</w:t>
            </w:r>
          </w:p>
          <w:p w14:paraId="66D6BE81">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3</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加强落实消声隔声措施，减小设备噪声对周边居民影响。</w:t>
            </w:r>
          </w:p>
          <w:p w14:paraId="33080D35">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4</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评价结论仅对以上的工程方案、建设规模、生产工艺及项目总体布局负责，若项目的工程方案、建设规模、生产工艺及项目总体布局发生大的变化时，应另行评价。</w:t>
            </w:r>
          </w:p>
          <w:p w14:paraId="6BE91918">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5</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健全环保管理机构，建立完善的各项规章制度，制定环保管理制度和责任制。</w:t>
            </w:r>
          </w:p>
          <w:p w14:paraId="6CA2467B">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6</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对施工人员加强教育，文明的组织施工，科学的安装设备，提高环保意识。</w:t>
            </w:r>
          </w:p>
          <w:p w14:paraId="0D60A9B4">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7</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项目建设过程中应严格落实环保防治措施，确保环保资金及时到位。</w:t>
            </w:r>
          </w:p>
          <w:p w14:paraId="279D87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eastAsia="zh-CN"/>
              </w:rPr>
              <w:t>（</w:t>
            </w:r>
            <w:r>
              <w:rPr>
                <w:rFonts w:hint="eastAsia" w:cs="Times New Roman"/>
                <w:color w:val="auto"/>
                <w:sz w:val="24"/>
                <w:szCs w:val="24"/>
                <w:lang w:val="en-US" w:eastAsia="zh-CN"/>
              </w:rPr>
              <w:t>8</w:t>
            </w:r>
            <w:r>
              <w:rPr>
                <w:rFonts w:hint="eastAsia" w:cs="Times New Roman"/>
                <w:color w:val="auto"/>
                <w:sz w:val="24"/>
                <w:szCs w:val="24"/>
                <w:lang w:eastAsia="zh-CN"/>
              </w:rPr>
              <w:t>）</w:t>
            </w:r>
            <w:r>
              <w:rPr>
                <w:rFonts w:hint="default" w:ascii="Times New Roman" w:hAnsi="Times New Roman" w:eastAsia="宋体" w:cs="Times New Roman"/>
                <w:color w:val="auto"/>
                <w:kern w:val="2"/>
                <w:sz w:val="24"/>
                <w:szCs w:val="24"/>
                <w:lang w:val="en-US" w:eastAsia="zh-CN" w:bidi="ar-SA"/>
              </w:rPr>
              <w:t>严格落实本环评中的环境管理与监测计划。</w:t>
            </w:r>
          </w:p>
          <w:p w14:paraId="7E5DB6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lang w:eastAsia="zh-CN"/>
              </w:rPr>
              <w:t>（</w:t>
            </w:r>
            <w:r>
              <w:rPr>
                <w:rFonts w:hint="eastAsia" w:cs="Times New Roman"/>
                <w:color w:val="auto"/>
                <w:sz w:val="24"/>
                <w:szCs w:val="24"/>
                <w:lang w:val="en-US" w:eastAsia="zh-CN"/>
              </w:rPr>
              <w:t>9</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应在本项目投入</w:t>
            </w:r>
            <w:r>
              <w:rPr>
                <w:rFonts w:hint="default" w:ascii="Times New Roman" w:hAnsi="Times New Roman" w:eastAsia="宋体" w:cs="Times New Roman"/>
                <w:color w:val="auto"/>
                <w:sz w:val="24"/>
                <w:szCs w:val="24"/>
                <w:lang w:val="en-US" w:eastAsia="zh-CN"/>
              </w:rPr>
              <w:t>运营</w:t>
            </w:r>
            <w:r>
              <w:rPr>
                <w:rFonts w:hint="default" w:ascii="Times New Roman" w:hAnsi="Times New Roman" w:eastAsia="宋体" w:cs="Times New Roman"/>
                <w:color w:val="auto"/>
                <w:sz w:val="24"/>
                <w:szCs w:val="24"/>
              </w:rPr>
              <w:t>前根据《排污许可管理办法(试行)》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环境保护部令第48号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和《排污许可管理条例》等要求</w:t>
            </w:r>
            <w:r>
              <w:rPr>
                <w:rFonts w:hint="default" w:ascii="Times New Roman" w:hAnsi="Times New Roman" w:eastAsia="宋体" w:cs="Times New Roman"/>
                <w:color w:val="auto"/>
                <w:sz w:val="24"/>
                <w:szCs w:val="24"/>
                <w:lang w:val="en-US" w:eastAsia="zh-CN"/>
              </w:rPr>
              <w:t>办理</w:t>
            </w:r>
            <w:r>
              <w:rPr>
                <w:rFonts w:hint="default" w:ascii="Times New Roman" w:hAnsi="Times New Roman" w:eastAsia="宋体" w:cs="Times New Roman"/>
                <w:color w:val="auto"/>
                <w:sz w:val="24"/>
                <w:szCs w:val="24"/>
              </w:rPr>
              <w:t>排污许可证。</w:t>
            </w:r>
          </w:p>
        </w:tc>
      </w:tr>
    </w:tbl>
    <w:p w14:paraId="3511DEC3">
      <w:pPr>
        <w:pStyle w:val="29"/>
        <w:jc w:val="center"/>
        <w:outlineLvl w:val="0"/>
        <w:rPr>
          <w:rFonts w:ascii="黑体" w:hAnsi="黑体" w:eastAsia="黑体"/>
          <w:snapToGrid w:val="0"/>
          <w:color w:val="auto"/>
          <w:sz w:val="30"/>
          <w:szCs w:val="30"/>
          <w:highlight w:val="none"/>
        </w:rPr>
      </w:pPr>
      <w:r>
        <w:rPr>
          <w:snapToGrid w:val="0"/>
          <w:color w:val="auto"/>
          <w:highlight w:val="none"/>
        </w:rPr>
        <w:br w:type="page"/>
      </w:r>
      <w:bookmarkStart w:id="8" w:name="_Toc29776"/>
      <w:r>
        <w:rPr>
          <w:rFonts w:hint="eastAsia" w:ascii="黑体" w:hAnsi="黑体" w:eastAsia="黑体"/>
          <w:snapToGrid w:val="0"/>
          <w:color w:val="auto"/>
          <w:sz w:val="30"/>
          <w:szCs w:val="30"/>
          <w:highlight w:val="none"/>
        </w:rPr>
        <w:t>六、结论</w:t>
      </w:r>
      <w:bookmarkEnd w:id="8"/>
    </w:p>
    <w:tbl>
      <w:tblPr>
        <w:tblStyle w:val="3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ED6A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24" w:hRule="atLeast"/>
        </w:trPr>
        <w:tc>
          <w:tcPr>
            <w:tcW w:w="8865" w:type="dxa"/>
            <w:noWrap w:val="0"/>
            <w:vAlign w:val="center"/>
          </w:tcPr>
          <w:p w14:paraId="295084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rPr>
            </w:pPr>
            <w:r>
              <w:rPr>
                <w:rFonts w:hint="eastAsia" w:ascii="宋体" w:hAnsi="Times New Roman" w:eastAsia="宋体" w:cs="宋体"/>
                <w:color w:val="auto"/>
                <w:sz w:val="24"/>
                <w:lang w:eastAsia="zh-CN"/>
              </w:rPr>
              <w:t>本项目符合国家和</w:t>
            </w:r>
            <w:r>
              <w:rPr>
                <w:rFonts w:hint="eastAsia" w:ascii="宋体" w:hAnsi="Times New Roman" w:eastAsia="宋体" w:cs="宋体"/>
                <w:color w:val="auto"/>
                <w:sz w:val="24"/>
                <w:lang w:val="en-US" w:eastAsia="zh-CN"/>
              </w:rPr>
              <w:t>地方</w:t>
            </w:r>
            <w:r>
              <w:rPr>
                <w:rFonts w:hint="eastAsia" w:ascii="宋体" w:hAnsi="Times New Roman" w:eastAsia="宋体" w:cs="宋体"/>
                <w:color w:val="auto"/>
                <w:sz w:val="24"/>
                <w:lang w:eastAsia="zh-CN"/>
              </w:rPr>
              <w:t>有关产业、</w:t>
            </w:r>
            <w:r>
              <w:rPr>
                <w:rFonts w:hint="eastAsia" w:ascii="宋体" w:hAnsi="Times New Roman" w:eastAsia="宋体" w:cs="宋体"/>
                <w:color w:val="auto"/>
                <w:sz w:val="24"/>
                <w:lang w:val="en-US" w:eastAsia="zh-CN"/>
              </w:rPr>
              <w:t>环境保护的政策和法规</w:t>
            </w:r>
            <w:r>
              <w:rPr>
                <w:rFonts w:hint="eastAsia" w:ascii="宋体" w:hAnsi="Times New Roman" w:eastAsia="宋体" w:cs="宋体"/>
                <w:color w:val="auto"/>
                <w:sz w:val="24"/>
                <w:lang w:eastAsia="zh-CN"/>
              </w:rPr>
              <w:t>；</w:t>
            </w:r>
            <w:r>
              <w:rPr>
                <w:rFonts w:hint="eastAsia" w:ascii="宋体" w:hAnsi="Times New Roman" w:eastAsia="宋体" w:cs="宋体"/>
                <w:color w:val="auto"/>
                <w:sz w:val="24"/>
                <w:lang w:val="en-US" w:eastAsia="zh-CN"/>
              </w:rPr>
              <w:t>选址合理、布局合理，</w:t>
            </w:r>
            <w:r>
              <w:rPr>
                <w:rFonts w:hint="eastAsia" w:ascii="宋体" w:hAnsi="Times New Roman" w:eastAsia="宋体" w:cs="宋体"/>
                <w:color w:val="auto"/>
                <w:sz w:val="24"/>
                <w:lang w:eastAsia="zh-CN"/>
              </w:rPr>
              <w:t>符合“三线一单”要求，所在区域环境质量现状总体良好；项目污染物在达标排放情况下对周围环境影响较小。</w:t>
            </w:r>
            <w:r>
              <w:rPr>
                <w:rFonts w:hint="eastAsia" w:ascii="宋体" w:hAnsi="Times New Roman" w:eastAsia="宋体" w:cs="宋体"/>
                <w:color w:val="auto"/>
                <w:sz w:val="24"/>
                <w:lang w:val="en-US" w:eastAsia="zh-CN"/>
              </w:rPr>
              <w:t>在建设单位</w:t>
            </w:r>
            <w:r>
              <w:rPr>
                <w:rFonts w:hint="eastAsia" w:ascii="宋体" w:hAnsi="Times New Roman" w:eastAsia="宋体" w:cs="宋体"/>
                <w:color w:val="auto"/>
                <w:sz w:val="24"/>
                <w:lang w:eastAsia="zh-CN"/>
              </w:rPr>
              <w:t>重视环保工作，认真落实评价提出的各项污染防治对策，加强对污染物的治理工作，做到环保工作专人分管，责任到人，加强对各类污染源的管理，落实环保治理所需要的资金，严格执行环境保护“三同时”制度</w:t>
            </w:r>
            <w:r>
              <w:rPr>
                <w:rFonts w:hint="eastAsia" w:ascii="宋体" w:hAnsi="Times New Roman" w:eastAsia="宋体" w:cs="宋体"/>
                <w:color w:val="auto"/>
                <w:sz w:val="24"/>
                <w:lang w:val="en-US" w:eastAsia="zh-CN"/>
              </w:rPr>
              <w:t>的前提下，从环保的角度来看，</w:t>
            </w:r>
            <w:r>
              <w:rPr>
                <w:rFonts w:hint="eastAsia" w:cs="Times New Roman"/>
                <w:color w:val="auto"/>
                <w:sz w:val="24"/>
                <w:szCs w:val="24"/>
                <w:lang w:eastAsia="zh-CN"/>
              </w:rPr>
              <w:t>赣州市晟阳餐饮公司年产 10 万吨宁都预制菜及工业化配餐服务项目（变更）</w:t>
            </w:r>
            <w:r>
              <w:rPr>
                <w:rFonts w:hint="eastAsia" w:ascii="宋体" w:hAnsi="Times New Roman" w:eastAsia="宋体" w:cs="宋体"/>
                <w:color w:val="auto"/>
                <w:sz w:val="24"/>
                <w:lang w:val="en-US" w:eastAsia="zh-CN"/>
              </w:rPr>
              <w:t>的建设是可行的</w:t>
            </w:r>
            <w:r>
              <w:rPr>
                <w:rFonts w:hint="eastAsia" w:ascii="宋体" w:hAnsi="Times New Roman" w:eastAsia="宋体" w:cs="宋体"/>
                <w:color w:val="auto"/>
                <w:sz w:val="24"/>
                <w:lang w:eastAsia="zh-CN"/>
              </w:rPr>
              <w:t>。</w:t>
            </w:r>
          </w:p>
        </w:tc>
      </w:tr>
    </w:tbl>
    <w:p w14:paraId="3CA33EFD">
      <w:pPr>
        <w:rPr>
          <w:rFonts w:ascii="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2008D43">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color w:val="auto"/>
          <w:sz w:val="32"/>
          <w:szCs w:val="32"/>
          <w:highlight w:val="none"/>
        </w:rPr>
      </w:pPr>
      <w:bookmarkStart w:id="9" w:name="_Toc25967"/>
      <w:r>
        <w:rPr>
          <w:rFonts w:hint="eastAsia" w:ascii="黑体" w:hAnsi="黑体" w:eastAsia="黑体"/>
          <w:snapToGrid w:val="0"/>
          <w:color w:val="auto"/>
          <w:sz w:val="32"/>
          <w:szCs w:val="32"/>
          <w:highlight w:val="none"/>
        </w:rPr>
        <w:t>附表</w:t>
      </w:r>
      <w:bookmarkEnd w:id="9"/>
    </w:p>
    <w:p w14:paraId="2C1553DB">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w:t>
      </w:r>
      <w:r>
        <w:rPr>
          <w:rFonts w:hint="eastAsia" w:ascii="方正小标宋_GBK" w:hAnsi="黑体" w:eastAsia="方正小标宋_GBK"/>
          <w:b/>
          <w:bCs/>
          <w:snapToGrid w:val="0"/>
          <w:color w:val="auto"/>
          <w:sz w:val="38"/>
          <w:szCs w:val="38"/>
        </w:rPr>
        <w:t>污染物排放量汇总</w:t>
      </w:r>
      <w:r>
        <w:rPr>
          <w:rFonts w:hint="eastAsia" w:ascii="方正小标宋_GBK" w:hAnsi="黑体" w:eastAsia="方正小标宋_GBK"/>
          <w:snapToGrid w:val="0"/>
          <w:color w:val="auto"/>
          <w:sz w:val="38"/>
          <w:szCs w:val="38"/>
        </w:rPr>
        <w:t>表</w:t>
      </w:r>
    </w:p>
    <w:tbl>
      <w:tblPr>
        <w:tblStyle w:val="33"/>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289"/>
        <w:gridCol w:w="734"/>
        <w:gridCol w:w="683"/>
        <w:gridCol w:w="783"/>
        <w:gridCol w:w="1217"/>
        <w:gridCol w:w="841"/>
        <w:gridCol w:w="1214"/>
        <w:gridCol w:w="1331"/>
      </w:tblGrid>
      <w:tr w14:paraId="5E3576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50" w:type="pct"/>
            <w:tcBorders>
              <w:tl2br w:val="single" w:color="auto" w:sz="4" w:space="0"/>
            </w:tcBorders>
            <w:noWrap w:val="0"/>
            <w:tcMar>
              <w:left w:w="28" w:type="dxa"/>
              <w:right w:w="28" w:type="dxa"/>
            </w:tcMar>
            <w:vAlign w:val="center"/>
          </w:tcPr>
          <w:p w14:paraId="6EDD0FB9">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righ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5FEABBE2">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lef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724" w:type="pct"/>
            <w:noWrap w:val="0"/>
            <w:tcMar>
              <w:left w:w="28" w:type="dxa"/>
              <w:right w:w="28" w:type="dxa"/>
            </w:tcMar>
            <w:vAlign w:val="center"/>
          </w:tcPr>
          <w:p w14:paraId="7C26BF62">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412" w:type="pct"/>
            <w:noWrap w:val="0"/>
            <w:tcMar>
              <w:left w:w="28" w:type="dxa"/>
              <w:right w:w="28" w:type="dxa"/>
            </w:tcMar>
            <w:vAlign w:val="center"/>
          </w:tcPr>
          <w:p w14:paraId="2CC46979">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=1\*GB3\*MERGEFORMAT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384" w:type="pct"/>
            <w:noWrap w:val="0"/>
            <w:tcMar>
              <w:left w:w="28" w:type="dxa"/>
              <w:right w:w="28" w:type="dxa"/>
            </w:tcMar>
            <w:vAlign w:val="center"/>
          </w:tcPr>
          <w:p w14:paraId="3A5104A0">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626D027D">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1EB3931F">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=2\*GB3\*MERGEFORMAT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440" w:type="pct"/>
            <w:noWrap w:val="0"/>
            <w:tcMar>
              <w:left w:w="28" w:type="dxa"/>
              <w:right w:w="28" w:type="dxa"/>
            </w:tcMar>
            <w:vAlign w:val="center"/>
          </w:tcPr>
          <w:p w14:paraId="1C7B549B">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=3\*GB3\*MERGEFORMAT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684" w:type="pct"/>
            <w:noWrap w:val="0"/>
            <w:tcMar>
              <w:left w:w="28" w:type="dxa"/>
              <w:right w:w="28" w:type="dxa"/>
            </w:tcMar>
            <w:vAlign w:val="center"/>
          </w:tcPr>
          <w:p w14:paraId="426D58D1">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=4\*GB3\*MERGEFORMAT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472" w:type="pct"/>
            <w:noWrap w:val="0"/>
            <w:tcMar>
              <w:left w:w="28" w:type="dxa"/>
              <w:right w:w="28" w:type="dxa"/>
            </w:tcMar>
            <w:vAlign w:val="center"/>
          </w:tcPr>
          <w:p w14:paraId="189A7FF1">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=5\*GB3\*MERGEFORMAT</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682" w:type="pct"/>
            <w:noWrap w:val="0"/>
            <w:tcMar>
              <w:left w:w="28" w:type="dxa"/>
              <w:right w:w="28" w:type="dxa"/>
            </w:tcMar>
            <w:vAlign w:val="center"/>
          </w:tcPr>
          <w:p w14:paraId="39CD287B">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72855AAA">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=6\*GB3\*MERGEFORMAT</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748" w:type="pct"/>
            <w:noWrap w:val="0"/>
            <w:tcMar>
              <w:left w:w="28" w:type="dxa"/>
              <w:right w:w="28" w:type="dxa"/>
            </w:tcMar>
            <w:vAlign w:val="center"/>
          </w:tcPr>
          <w:p w14:paraId="13189543">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77817A77">
            <w:pPr>
              <w:pStyle w:val="69"/>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=7\*GB3\*MERGEFORMAT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010ED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restart"/>
            <w:noWrap w:val="0"/>
            <w:vAlign w:val="center"/>
          </w:tcPr>
          <w:p w14:paraId="6B0789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rPr>
              <w:t>废气</w:t>
            </w:r>
          </w:p>
        </w:tc>
        <w:tc>
          <w:tcPr>
            <w:tcW w:w="724" w:type="pct"/>
            <w:noWrap w:val="0"/>
            <w:vAlign w:val="center"/>
          </w:tcPr>
          <w:p w14:paraId="74CD10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cs="Times New Roman"/>
                <w:color w:val="auto"/>
                <w:sz w:val="21"/>
                <w:szCs w:val="21"/>
                <w:highlight w:val="none"/>
                <w:lang w:val="en-US" w:eastAsia="zh-CN"/>
              </w:rPr>
              <w:t>油烟</w:t>
            </w:r>
          </w:p>
        </w:tc>
        <w:tc>
          <w:tcPr>
            <w:tcW w:w="412" w:type="pct"/>
            <w:noWrap w:val="0"/>
            <w:vAlign w:val="center"/>
          </w:tcPr>
          <w:p w14:paraId="240962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6D9B97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14C88D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6FB6C3FA">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kern w:val="0"/>
                <w:sz w:val="21"/>
                <w:szCs w:val="21"/>
                <w:highlight w:val="none"/>
                <w:u w:val="none"/>
                <w:lang w:val="en-US" w:eastAsia="zh-CN" w:bidi="ar"/>
              </w:rPr>
              <w:t>0.63</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20AA25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497E759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0.63</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15E908A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+0.63</w:t>
            </w:r>
            <w:r>
              <w:rPr>
                <w:rFonts w:hint="eastAsia" w:ascii="Times New Roman" w:hAnsi="Times New Roman" w:eastAsia="宋体" w:cs="Times New Roman"/>
                <w:color w:val="auto"/>
                <w:sz w:val="21"/>
                <w:szCs w:val="21"/>
                <w:highlight w:val="none"/>
                <w:lang w:val="en-US" w:eastAsia="zh-CN"/>
              </w:rPr>
              <w:t>t/a</w:t>
            </w:r>
          </w:p>
        </w:tc>
      </w:tr>
      <w:tr w14:paraId="5B338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026656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724" w:type="pct"/>
            <w:noWrap w:val="0"/>
            <w:vAlign w:val="center"/>
          </w:tcPr>
          <w:p w14:paraId="6B90976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12" w:type="pct"/>
            <w:noWrap w:val="0"/>
            <w:vAlign w:val="center"/>
          </w:tcPr>
          <w:p w14:paraId="130F5B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4C529A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5ED1C8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21A58AE2">
            <w:pPr>
              <w:keepNext w:val="0"/>
              <w:keepLines w:val="0"/>
              <w:widowControl/>
              <w:suppressLineNumbers w:val="0"/>
              <w:jc w:val="center"/>
              <w:textAlignment w:val="center"/>
              <w:rPr>
                <w:rFonts w:hint="eastAsia" w:cs="Times New Roman"/>
                <w:b w:val="0"/>
                <w:bCs w:val="0"/>
                <w:color w:val="auto"/>
                <w:sz w:val="21"/>
                <w:szCs w:val="21"/>
                <w:lang w:val="en-US" w:eastAsia="zh-CN"/>
              </w:rPr>
            </w:pPr>
            <w:r>
              <w:rPr>
                <w:rFonts w:hint="eastAsia" w:cs="Times New Roman"/>
                <w:i w:val="0"/>
                <w:color w:val="auto"/>
                <w:kern w:val="0"/>
                <w:sz w:val="21"/>
                <w:szCs w:val="21"/>
                <w:highlight w:val="none"/>
                <w:u w:val="none"/>
                <w:lang w:val="en-US" w:eastAsia="zh-CN" w:bidi="ar"/>
              </w:rPr>
              <w:t>0.6114</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10462F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2" w:type="pct"/>
            <w:shd w:val="clear" w:color="auto" w:fill="auto"/>
            <w:noWrap w:val="0"/>
            <w:vAlign w:val="center"/>
          </w:tcPr>
          <w:p w14:paraId="1620FC95">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0.6114</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7E61710B">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+0.6114</w:t>
            </w:r>
            <w:r>
              <w:rPr>
                <w:rFonts w:hint="eastAsia" w:ascii="Times New Roman" w:hAnsi="Times New Roman" w:eastAsia="宋体" w:cs="Times New Roman"/>
                <w:color w:val="auto"/>
                <w:sz w:val="21"/>
                <w:szCs w:val="21"/>
                <w:highlight w:val="none"/>
                <w:lang w:val="en-US" w:eastAsia="zh-CN"/>
              </w:rPr>
              <w:t>t/a</w:t>
            </w:r>
          </w:p>
        </w:tc>
      </w:tr>
      <w:tr w14:paraId="5901C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495736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724" w:type="pct"/>
            <w:noWrap w:val="0"/>
            <w:vAlign w:val="center"/>
          </w:tcPr>
          <w:p w14:paraId="0D8CF60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二氧化硫</w:t>
            </w:r>
          </w:p>
        </w:tc>
        <w:tc>
          <w:tcPr>
            <w:tcW w:w="412" w:type="pct"/>
            <w:noWrap w:val="0"/>
            <w:vAlign w:val="center"/>
          </w:tcPr>
          <w:p w14:paraId="57F277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0FB2C9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1F40CA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4C8C63AD">
            <w:pPr>
              <w:keepNext w:val="0"/>
              <w:keepLines w:val="0"/>
              <w:widowControl/>
              <w:suppressLineNumbers w:val="0"/>
              <w:jc w:val="center"/>
              <w:textAlignment w:val="center"/>
              <w:rPr>
                <w:rFonts w:hint="default" w:cs="Times New Roman"/>
                <w:b w:val="0"/>
                <w:bCs w:val="0"/>
                <w:color w:val="auto"/>
                <w:sz w:val="21"/>
                <w:szCs w:val="21"/>
                <w:lang w:val="en-US" w:eastAsia="zh-CN"/>
              </w:rPr>
            </w:pPr>
            <w:r>
              <w:rPr>
                <w:rFonts w:hint="eastAsia" w:cs="Times New Roman"/>
                <w:i w:val="0"/>
                <w:color w:val="auto"/>
                <w:kern w:val="0"/>
                <w:sz w:val="21"/>
                <w:szCs w:val="21"/>
                <w:highlight w:val="none"/>
                <w:u w:val="none"/>
                <w:lang w:val="en-US" w:eastAsia="zh-CN" w:bidi="ar"/>
              </w:rPr>
              <w:t>0.80657</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29B9E8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5DD2C570">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0.80657</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0EBC678F">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+0.80657</w:t>
            </w:r>
            <w:r>
              <w:rPr>
                <w:rFonts w:hint="eastAsia" w:ascii="Times New Roman" w:hAnsi="Times New Roman" w:eastAsia="宋体" w:cs="Times New Roman"/>
                <w:color w:val="auto"/>
                <w:sz w:val="21"/>
                <w:szCs w:val="21"/>
                <w:highlight w:val="none"/>
                <w:lang w:val="en-US" w:eastAsia="zh-CN"/>
              </w:rPr>
              <w:t>t/a</w:t>
            </w:r>
          </w:p>
        </w:tc>
      </w:tr>
      <w:tr w14:paraId="1A6CD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75317A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724" w:type="pct"/>
            <w:noWrap w:val="0"/>
            <w:vAlign w:val="center"/>
          </w:tcPr>
          <w:p w14:paraId="381B82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412" w:type="pct"/>
            <w:shd w:val="clear" w:color="auto" w:fill="auto"/>
            <w:noWrap w:val="0"/>
            <w:vAlign w:val="center"/>
          </w:tcPr>
          <w:p w14:paraId="44BE81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84" w:type="pct"/>
            <w:shd w:val="clear" w:color="auto" w:fill="auto"/>
            <w:noWrap w:val="0"/>
            <w:vAlign w:val="center"/>
          </w:tcPr>
          <w:p w14:paraId="621A43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40" w:type="pct"/>
            <w:shd w:val="clear" w:color="auto" w:fill="auto"/>
            <w:noWrap w:val="0"/>
            <w:vAlign w:val="center"/>
          </w:tcPr>
          <w:p w14:paraId="52D3E3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50A92EC7">
            <w:pPr>
              <w:keepNext w:val="0"/>
              <w:keepLines w:val="0"/>
              <w:widowControl/>
              <w:suppressLineNumbers w:val="0"/>
              <w:jc w:val="center"/>
              <w:textAlignment w:val="center"/>
              <w:rPr>
                <w:rFonts w:hint="eastAsia" w:cs="Times New Roman"/>
                <w:b w:val="0"/>
                <w:bCs w:val="0"/>
                <w:color w:val="auto"/>
                <w:sz w:val="21"/>
                <w:szCs w:val="21"/>
                <w:lang w:val="en-US" w:eastAsia="zh-CN"/>
              </w:rPr>
            </w:pPr>
            <w:r>
              <w:rPr>
                <w:rFonts w:hint="eastAsia" w:cs="Times New Roman"/>
                <w:i w:val="0"/>
                <w:color w:val="auto"/>
                <w:kern w:val="0"/>
                <w:sz w:val="21"/>
                <w:szCs w:val="21"/>
                <w:highlight w:val="none"/>
                <w:u w:val="none"/>
                <w:lang w:val="en-US" w:eastAsia="zh-CN" w:bidi="ar"/>
              </w:rPr>
              <w:t>1.7853</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1DD35A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2" w:type="pct"/>
            <w:shd w:val="clear" w:color="auto" w:fill="auto"/>
            <w:noWrap w:val="0"/>
            <w:vAlign w:val="center"/>
          </w:tcPr>
          <w:p w14:paraId="48C6F902">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1.7853</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784EA64A">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+1.7853</w:t>
            </w:r>
            <w:r>
              <w:rPr>
                <w:rFonts w:hint="eastAsia" w:ascii="Times New Roman" w:hAnsi="Times New Roman" w:eastAsia="宋体" w:cs="Times New Roman"/>
                <w:color w:val="auto"/>
                <w:sz w:val="21"/>
                <w:szCs w:val="21"/>
                <w:highlight w:val="none"/>
                <w:lang w:val="en-US" w:eastAsia="zh-CN"/>
              </w:rPr>
              <w:t>t/a</w:t>
            </w:r>
          </w:p>
        </w:tc>
      </w:tr>
      <w:tr w14:paraId="15591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1B2D51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724" w:type="pct"/>
            <w:noWrap w:val="0"/>
            <w:vAlign w:val="center"/>
          </w:tcPr>
          <w:p w14:paraId="5EF5B4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硫化氢</w:t>
            </w:r>
          </w:p>
        </w:tc>
        <w:tc>
          <w:tcPr>
            <w:tcW w:w="412" w:type="pct"/>
            <w:noWrap w:val="0"/>
            <w:vAlign w:val="center"/>
          </w:tcPr>
          <w:p w14:paraId="39FD30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0D2563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0F0D32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11509D84">
            <w:pPr>
              <w:keepNext w:val="0"/>
              <w:keepLines w:val="0"/>
              <w:widowControl/>
              <w:suppressLineNumbers w:val="0"/>
              <w:jc w:val="center"/>
              <w:textAlignment w:val="center"/>
              <w:rPr>
                <w:rFonts w:hint="eastAsia" w:cs="Times New Roman"/>
                <w:b w:val="0"/>
                <w:bCs w:val="0"/>
                <w:color w:val="auto"/>
                <w:sz w:val="21"/>
                <w:szCs w:val="21"/>
                <w:lang w:val="en-US" w:eastAsia="zh-CN"/>
              </w:rPr>
            </w:pPr>
            <w:r>
              <w:rPr>
                <w:rFonts w:hint="eastAsia" w:cs="Times New Roman"/>
                <w:i w:val="0"/>
                <w:color w:val="auto"/>
                <w:kern w:val="0"/>
                <w:sz w:val="21"/>
                <w:szCs w:val="21"/>
                <w:highlight w:val="none"/>
                <w:u w:val="none"/>
                <w:lang w:val="en-US" w:eastAsia="zh-CN" w:bidi="ar"/>
              </w:rPr>
              <w:t>0.0036</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171716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2" w:type="pct"/>
            <w:shd w:val="clear" w:color="auto" w:fill="auto"/>
            <w:noWrap w:val="0"/>
            <w:vAlign w:val="center"/>
          </w:tcPr>
          <w:p w14:paraId="3883614B">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i w:val="0"/>
                <w:color w:val="auto"/>
                <w:kern w:val="0"/>
                <w:sz w:val="21"/>
                <w:szCs w:val="21"/>
                <w:highlight w:val="none"/>
                <w:u w:val="none"/>
                <w:lang w:val="en-US" w:eastAsia="zh-CN" w:bidi="ar"/>
              </w:rPr>
              <w:t>0.0036</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2AFFE642">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i w:val="0"/>
                <w:color w:val="auto"/>
                <w:kern w:val="0"/>
                <w:sz w:val="21"/>
                <w:szCs w:val="21"/>
                <w:highlight w:val="none"/>
                <w:u w:val="none"/>
                <w:lang w:val="en-US" w:eastAsia="zh-CN" w:bidi="ar"/>
              </w:rPr>
              <w:t>+0.0036</w:t>
            </w:r>
            <w:r>
              <w:rPr>
                <w:rFonts w:hint="eastAsia" w:ascii="Times New Roman" w:hAnsi="Times New Roman" w:eastAsia="宋体" w:cs="Times New Roman"/>
                <w:color w:val="auto"/>
                <w:sz w:val="21"/>
                <w:szCs w:val="21"/>
                <w:highlight w:val="none"/>
                <w:lang w:val="en-US" w:eastAsia="zh-CN"/>
              </w:rPr>
              <w:t>t/a</w:t>
            </w:r>
          </w:p>
        </w:tc>
      </w:tr>
      <w:tr w14:paraId="1DB02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541429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724" w:type="pct"/>
            <w:noWrap w:val="0"/>
            <w:vAlign w:val="center"/>
          </w:tcPr>
          <w:p w14:paraId="1BD36C6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412" w:type="pct"/>
            <w:noWrap w:val="0"/>
            <w:vAlign w:val="center"/>
          </w:tcPr>
          <w:p w14:paraId="70E88F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1B530B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724D12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6215E3AB">
            <w:pPr>
              <w:keepNext w:val="0"/>
              <w:keepLines w:val="0"/>
              <w:widowControl/>
              <w:suppressLineNumbers w:val="0"/>
              <w:jc w:val="center"/>
              <w:textAlignment w:val="center"/>
              <w:rPr>
                <w:rFonts w:hint="eastAsia" w:cs="Times New Roman"/>
                <w:b w:val="0"/>
                <w:bCs w:val="0"/>
                <w:color w:val="auto"/>
                <w:sz w:val="21"/>
                <w:szCs w:val="21"/>
                <w:lang w:val="en-US" w:eastAsia="zh-CN"/>
              </w:rPr>
            </w:pPr>
            <w:r>
              <w:rPr>
                <w:rFonts w:hint="eastAsia" w:cs="Times New Roman"/>
                <w:i w:val="0"/>
                <w:color w:val="auto"/>
                <w:kern w:val="0"/>
                <w:sz w:val="21"/>
                <w:szCs w:val="21"/>
                <w:highlight w:val="none"/>
                <w:u w:val="none"/>
                <w:lang w:val="en-US" w:eastAsia="zh-CN" w:bidi="ar"/>
              </w:rPr>
              <w:t>0.0934</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358E15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2" w:type="pct"/>
            <w:shd w:val="clear" w:color="auto" w:fill="auto"/>
            <w:noWrap w:val="0"/>
            <w:vAlign w:val="center"/>
          </w:tcPr>
          <w:p w14:paraId="26987099">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i w:val="0"/>
                <w:color w:val="auto"/>
                <w:kern w:val="0"/>
                <w:sz w:val="21"/>
                <w:szCs w:val="21"/>
                <w:highlight w:val="none"/>
                <w:u w:val="none"/>
                <w:lang w:val="en-US" w:eastAsia="zh-CN" w:bidi="ar"/>
              </w:rPr>
              <w:t>0.0934</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4B57F1AA">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i w:val="0"/>
                <w:color w:val="auto"/>
                <w:kern w:val="0"/>
                <w:sz w:val="21"/>
                <w:szCs w:val="21"/>
                <w:highlight w:val="none"/>
                <w:u w:val="none"/>
                <w:lang w:val="en-US" w:eastAsia="zh-CN" w:bidi="ar"/>
              </w:rPr>
              <w:t>+0.0934</w:t>
            </w:r>
            <w:r>
              <w:rPr>
                <w:rFonts w:hint="eastAsia" w:ascii="Times New Roman" w:hAnsi="Times New Roman" w:eastAsia="宋体" w:cs="Times New Roman"/>
                <w:color w:val="auto"/>
                <w:sz w:val="21"/>
                <w:szCs w:val="21"/>
                <w:highlight w:val="none"/>
                <w:lang w:val="en-US" w:eastAsia="zh-CN"/>
              </w:rPr>
              <w:t>t/a</w:t>
            </w:r>
          </w:p>
        </w:tc>
      </w:tr>
      <w:tr w14:paraId="51E85E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restart"/>
            <w:noWrap w:val="0"/>
            <w:vAlign w:val="center"/>
          </w:tcPr>
          <w:p w14:paraId="2D0235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rPr>
              <w:t>废水</w:t>
            </w:r>
          </w:p>
        </w:tc>
        <w:tc>
          <w:tcPr>
            <w:tcW w:w="724" w:type="pct"/>
            <w:noWrap w:val="0"/>
            <w:vAlign w:val="center"/>
          </w:tcPr>
          <w:p w14:paraId="50D7AC9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rPr>
              <w:t>cr</w:t>
            </w:r>
          </w:p>
        </w:tc>
        <w:tc>
          <w:tcPr>
            <w:tcW w:w="412" w:type="pct"/>
            <w:noWrap w:val="0"/>
            <w:vAlign w:val="center"/>
          </w:tcPr>
          <w:p w14:paraId="1DD5AD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3FFC9D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05B589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w:t>
            </w:r>
          </w:p>
        </w:tc>
        <w:tc>
          <w:tcPr>
            <w:tcW w:w="684" w:type="pct"/>
            <w:shd w:val="clear" w:color="auto" w:fill="auto"/>
            <w:noWrap w:val="0"/>
            <w:vAlign w:val="center"/>
          </w:tcPr>
          <w:p w14:paraId="56B522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34.8925</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20FC5B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7E0980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34.8925</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093B72F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34.8925</w:t>
            </w:r>
            <w:r>
              <w:rPr>
                <w:rFonts w:hint="eastAsia" w:ascii="Times New Roman" w:hAnsi="Times New Roman" w:eastAsia="宋体" w:cs="Times New Roman"/>
                <w:color w:val="auto"/>
                <w:sz w:val="21"/>
                <w:szCs w:val="21"/>
                <w:highlight w:val="none"/>
                <w:lang w:val="en-US" w:eastAsia="zh-CN"/>
              </w:rPr>
              <w:t>t/a</w:t>
            </w:r>
          </w:p>
        </w:tc>
      </w:tr>
      <w:tr w14:paraId="18876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1466B0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noWrap w:val="0"/>
            <w:vAlign w:val="center"/>
          </w:tcPr>
          <w:p w14:paraId="3E1D0D0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eastAsia="宋体" w:cs="Times New Roman"/>
                <w:b w:val="0"/>
                <w:bCs/>
                <w:color w:val="auto"/>
                <w:sz w:val="21"/>
                <w:szCs w:val="21"/>
                <w:highlight w:val="none"/>
              </w:rPr>
              <w:t>BOD</w:t>
            </w:r>
            <w:r>
              <w:rPr>
                <w:rFonts w:hint="default" w:ascii="Times New Roman" w:hAnsi="Times New Roman" w:eastAsia="宋体" w:cs="Times New Roman"/>
                <w:b w:val="0"/>
                <w:bCs/>
                <w:color w:val="auto"/>
                <w:sz w:val="21"/>
                <w:szCs w:val="21"/>
                <w:highlight w:val="none"/>
                <w:vertAlign w:val="subscript"/>
              </w:rPr>
              <w:t>5</w:t>
            </w:r>
          </w:p>
        </w:tc>
        <w:tc>
          <w:tcPr>
            <w:tcW w:w="412" w:type="pct"/>
            <w:noWrap w:val="0"/>
            <w:vAlign w:val="center"/>
          </w:tcPr>
          <w:p w14:paraId="2EEB18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3A48B6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7EDFD0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w:t>
            </w:r>
          </w:p>
        </w:tc>
        <w:tc>
          <w:tcPr>
            <w:tcW w:w="684" w:type="pct"/>
            <w:shd w:val="clear" w:color="auto" w:fill="auto"/>
            <w:noWrap w:val="0"/>
            <w:vAlign w:val="center"/>
          </w:tcPr>
          <w:p w14:paraId="2B6991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28.3977</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604F72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2F4762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28.3977</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233F90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28.3977</w:t>
            </w:r>
            <w:r>
              <w:rPr>
                <w:rFonts w:hint="eastAsia" w:ascii="Times New Roman" w:hAnsi="Times New Roman" w:eastAsia="宋体" w:cs="Times New Roman"/>
                <w:color w:val="auto"/>
                <w:sz w:val="21"/>
                <w:szCs w:val="21"/>
                <w:highlight w:val="none"/>
                <w:lang w:val="en-US" w:eastAsia="zh-CN"/>
              </w:rPr>
              <w:t>t/a</w:t>
            </w:r>
          </w:p>
        </w:tc>
      </w:tr>
      <w:tr w14:paraId="0184B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317982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noWrap w:val="0"/>
            <w:vAlign w:val="center"/>
          </w:tcPr>
          <w:p w14:paraId="443AC6F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SS</w:t>
            </w:r>
          </w:p>
        </w:tc>
        <w:tc>
          <w:tcPr>
            <w:tcW w:w="412" w:type="pct"/>
            <w:noWrap w:val="0"/>
            <w:vAlign w:val="center"/>
          </w:tcPr>
          <w:p w14:paraId="569BA6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0041F9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49A137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shd w:val="clear" w:color="auto" w:fill="auto"/>
            <w:noWrap w:val="0"/>
            <w:vAlign w:val="center"/>
          </w:tcPr>
          <w:p w14:paraId="77B4AD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11.9658</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15DAFB84">
            <w:pPr>
              <w:keepNext w:val="0"/>
              <w:keepLines w:val="0"/>
              <w:widowControl/>
              <w:suppressLineNumbers w:val="0"/>
              <w:jc w:val="center"/>
              <w:textAlignment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682" w:type="pct"/>
            <w:shd w:val="clear" w:color="auto" w:fill="auto"/>
            <w:noWrap w:val="0"/>
            <w:vAlign w:val="center"/>
          </w:tcPr>
          <w:p w14:paraId="7B142A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11.9658</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77CAD0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11.9658</w:t>
            </w:r>
            <w:r>
              <w:rPr>
                <w:rFonts w:hint="eastAsia" w:ascii="Times New Roman" w:hAnsi="Times New Roman" w:eastAsia="宋体" w:cs="Times New Roman"/>
                <w:color w:val="auto"/>
                <w:sz w:val="21"/>
                <w:szCs w:val="21"/>
                <w:highlight w:val="none"/>
                <w:lang w:val="en-US" w:eastAsia="zh-CN"/>
              </w:rPr>
              <w:t>t/a</w:t>
            </w:r>
          </w:p>
        </w:tc>
      </w:tr>
      <w:tr w14:paraId="2E066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7232E7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noWrap w:val="0"/>
            <w:vAlign w:val="center"/>
          </w:tcPr>
          <w:p w14:paraId="262F97D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412" w:type="pct"/>
            <w:noWrap w:val="0"/>
            <w:vAlign w:val="center"/>
          </w:tcPr>
          <w:p w14:paraId="3A9366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0B789E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6381DD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shd w:val="clear" w:color="auto" w:fill="auto"/>
            <w:noWrap w:val="0"/>
            <w:vAlign w:val="center"/>
          </w:tcPr>
          <w:p w14:paraId="22A8A2B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3.0544</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4773D2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38F9DA0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3.0544</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6EDE9C1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3.0544</w:t>
            </w:r>
            <w:r>
              <w:rPr>
                <w:rFonts w:hint="eastAsia" w:ascii="Times New Roman" w:hAnsi="Times New Roman" w:eastAsia="宋体" w:cs="Times New Roman"/>
                <w:color w:val="auto"/>
                <w:sz w:val="21"/>
                <w:szCs w:val="21"/>
                <w:highlight w:val="none"/>
                <w:lang w:val="en-US" w:eastAsia="zh-CN"/>
              </w:rPr>
              <w:t>t/a</w:t>
            </w:r>
          </w:p>
        </w:tc>
      </w:tr>
      <w:tr w14:paraId="2287B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6ACB15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noWrap w:val="0"/>
            <w:vAlign w:val="center"/>
          </w:tcPr>
          <w:p w14:paraId="2A3CBA6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TP</w:t>
            </w:r>
          </w:p>
        </w:tc>
        <w:tc>
          <w:tcPr>
            <w:tcW w:w="412" w:type="pct"/>
            <w:noWrap w:val="0"/>
            <w:vAlign w:val="center"/>
          </w:tcPr>
          <w:p w14:paraId="2ECE1B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i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24B1FE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40" w:type="pct"/>
            <w:noWrap w:val="0"/>
            <w:vAlign w:val="center"/>
          </w:tcPr>
          <w:p w14:paraId="373699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4" w:type="pct"/>
            <w:shd w:val="clear" w:color="auto" w:fill="auto"/>
            <w:noWrap w:val="0"/>
            <w:vAlign w:val="center"/>
          </w:tcPr>
          <w:p w14:paraId="2F0AFEE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0.0612</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263BDDF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2" w:type="pct"/>
            <w:shd w:val="clear" w:color="auto" w:fill="auto"/>
            <w:noWrap w:val="0"/>
            <w:vAlign w:val="center"/>
          </w:tcPr>
          <w:p w14:paraId="40ED060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0.0612</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7A44745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0.0612</w:t>
            </w:r>
            <w:r>
              <w:rPr>
                <w:rFonts w:hint="eastAsia" w:ascii="Times New Roman" w:hAnsi="Times New Roman" w:eastAsia="宋体" w:cs="Times New Roman"/>
                <w:color w:val="auto"/>
                <w:sz w:val="21"/>
                <w:szCs w:val="21"/>
                <w:highlight w:val="none"/>
                <w:lang w:val="en-US" w:eastAsia="zh-CN"/>
              </w:rPr>
              <w:t>t/a</w:t>
            </w:r>
          </w:p>
        </w:tc>
      </w:tr>
      <w:tr w14:paraId="72E55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0AAC33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noWrap w:val="0"/>
            <w:vAlign w:val="center"/>
          </w:tcPr>
          <w:p w14:paraId="0811453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TN</w:t>
            </w:r>
          </w:p>
        </w:tc>
        <w:tc>
          <w:tcPr>
            <w:tcW w:w="412" w:type="pct"/>
            <w:noWrap w:val="0"/>
            <w:vAlign w:val="center"/>
          </w:tcPr>
          <w:p w14:paraId="4D02371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6D7769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65893C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shd w:val="clear" w:color="auto" w:fill="auto"/>
            <w:noWrap w:val="0"/>
            <w:vAlign w:val="center"/>
          </w:tcPr>
          <w:p w14:paraId="47A6FF7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0.1616</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6D0AFA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5D20CB7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0.1616</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45EA285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0.1616</w:t>
            </w:r>
            <w:r>
              <w:rPr>
                <w:rFonts w:hint="eastAsia" w:ascii="Times New Roman" w:hAnsi="Times New Roman" w:eastAsia="宋体" w:cs="Times New Roman"/>
                <w:color w:val="auto"/>
                <w:sz w:val="21"/>
                <w:szCs w:val="21"/>
                <w:highlight w:val="none"/>
                <w:lang w:val="en-US" w:eastAsia="zh-CN"/>
              </w:rPr>
              <w:t>t/a</w:t>
            </w:r>
          </w:p>
        </w:tc>
      </w:tr>
      <w:tr w14:paraId="20391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50" w:type="pct"/>
            <w:vMerge w:val="continue"/>
            <w:noWrap w:val="0"/>
            <w:vAlign w:val="center"/>
          </w:tcPr>
          <w:p w14:paraId="3CF82D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noWrap w:val="0"/>
            <w:vAlign w:val="center"/>
          </w:tcPr>
          <w:p w14:paraId="633BC7E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动植物油</w:t>
            </w:r>
          </w:p>
        </w:tc>
        <w:tc>
          <w:tcPr>
            <w:tcW w:w="412" w:type="pct"/>
            <w:noWrap w:val="0"/>
            <w:vAlign w:val="center"/>
          </w:tcPr>
          <w:p w14:paraId="4F1DF77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30E1BE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29845F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shd w:val="clear" w:color="auto" w:fill="auto"/>
            <w:noWrap w:val="0"/>
            <w:vAlign w:val="center"/>
          </w:tcPr>
          <w:p w14:paraId="1B57CD5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0.3974</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290415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2" w:type="pct"/>
            <w:shd w:val="clear" w:color="auto" w:fill="auto"/>
            <w:noWrap w:val="0"/>
            <w:vAlign w:val="center"/>
          </w:tcPr>
          <w:p w14:paraId="101B6DF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0.3974</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059D319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0.3974</w:t>
            </w:r>
            <w:r>
              <w:rPr>
                <w:rFonts w:hint="eastAsia" w:ascii="Times New Roman" w:hAnsi="Times New Roman" w:eastAsia="宋体" w:cs="Times New Roman"/>
                <w:color w:val="auto"/>
                <w:sz w:val="21"/>
                <w:szCs w:val="21"/>
                <w:highlight w:val="none"/>
                <w:lang w:val="en-US" w:eastAsia="zh-CN"/>
              </w:rPr>
              <w:t>t/a</w:t>
            </w:r>
          </w:p>
        </w:tc>
      </w:tr>
      <w:tr w14:paraId="20CD1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pct"/>
            <w:gridSpan w:val="2"/>
            <w:noWrap w:val="0"/>
            <w:vAlign w:val="center"/>
          </w:tcPr>
          <w:p w14:paraId="4241D1B6">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color w:val="auto"/>
                <w:lang w:val="en-US" w:eastAsia="zh-CN"/>
              </w:rPr>
              <w:t>生活垃圾</w:t>
            </w:r>
          </w:p>
        </w:tc>
        <w:tc>
          <w:tcPr>
            <w:tcW w:w="412" w:type="pct"/>
            <w:noWrap w:val="0"/>
            <w:vAlign w:val="center"/>
          </w:tcPr>
          <w:p w14:paraId="32412C8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22706D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3F6F2A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72683F58">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snapToGrid w:val="0"/>
                <w:color w:val="auto"/>
                <w:kern w:val="21"/>
                <w:szCs w:val="21"/>
                <w:lang w:val="en-US"/>
              </w:rPr>
            </w:pPr>
            <w:r>
              <w:rPr>
                <w:rFonts w:hint="eastAsia" w:cs="Times New Roman"/>
                <w:color w:val="auto"/>
                <w:lang w:val="en-US" w:eastAsia="zh-CN"/>
              </w:rPr>
              <w:t>52.5</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3579B2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0FC566A6">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lang w:val="en-US" w:eastAsia="zh-CN"/>
              </w:rPr>
              <w:t>52.5</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60693B18">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lang w:val="en-US" w:eastAsia="zh-CN"/>
              </w:rPr>
              <w:t>+52.5</w:t>
            </w:r>
            <w:r>
              <w:rPr>
                <w:rFonts w:hint="eastAsia" w:ascii="Times New Roman" w:hAnsi="Times New Roman" w:eastAsia="宋体" w:cs="Times New Roman"/>
                <w:color w:val="auto"/>
                <w:sz w:val="21"/>
                <w:szCs w:val="21"/>
                <w:highlight w:val="none"/>
                <w:lang w:val="en-US" w:eastAsia="zh-CN"/>
              </w:rPr>
              <w:t>t/a</w:t>
            </w:r>
          </w:p>
        </w:tc>
      </w:tr>
      <w:tr w14:paraId="6523D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restart"/>
            <w:noWrap w:val="0"/>
            <w:vAlign w:val="center"/>
          </w:tcPr>
          <w:p w14:paraId="6A856E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一般工业</w:t>
            </w:r>
          </w:p>
          <w:p w14:paraId="681B5D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rPr>
              <w:t>固体废物</w:t>
            </w:r>
          </w:p>
        </w:tc>
        <w:tc>
          <w:tcPr>
            <w:tcW w:w="724" w:type="pct"/>
            <w:shd w:val="clear" w:color="auto" w:fill="auto"/>
            <w:noWrap w:val="0"/>
            <w:vAlign w:val="center"/>
          </w:tcPr>
          <w:p w14:paraId="208C77ED">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餐厨垃圾</w:t>
            </w:r>
          </w:p>
        </w:tc>
        <w:tc>
          <w:tcPr>
            <w:tcW w:w="412" w:type="pct"/>
            <w:noWrap w:val="0"/>
            <w:vAlign w:val="center"/>
          </w:tcPr>
          <w:p w14:paraId="2C6ED5D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4D7117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49A8F1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383B796A">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b w:val="0"/>
                <w:bCs w:val="0"/>
                <w:color w:val="auto"/>
                <w:sz w:val="21"/>
                <w:szCs w:val="21"/>
                <w:highlight w:val="none"/>
                <w:lang w:val="en-US" w:eastAsia="zh-CN"/>
              </w:rPr>
            </w:pPr>
            <w:r>
              <w:rPr>
                <w:rFonts w:hint="eastAsia" w:cs="Times New Roman"/>
                <w:color w:val="auto"/>
                <w:lang w:val="en-US" w:eastAsia="zh-CN"/>
              </w:rPr>
              <w:t>94.2</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42E1C0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295EF97D">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lang w:val="en-US" w:eastAsia="zh-CN"/>
              </w:rPr>
              <w:t>94.2</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045FC0F0">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lang w:val="en-US" w:eastAsia="zh-CN"/>
              </w:rPr>
              <w:t>+94.2</w:t>
            </w:r>
            <w:r>
              <w:rPr>
                <w:rFonts w:hint="eastAsia" w:ascii="Times New Roman" w:hAnsi="Times New Roman" w:eastAsia="宋体" w:cs="Times New Roman"/>
                <w:color w:val="auto"/>
                <w:sz w:val="21"/>
                <w:szCs w:val="21"/>
                <w:highlight w:val="none"/>
                <w:lang w:val="en-US" w:eastAsia="zh-CN"/>
              </w:rPr>
              <w:t>t/a</w:t>
            </w:r>
          </w:p>
        </w:tc>
      </w:tr>
      <w:tr w14:paraId="3B8793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1E030F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shd w:val="clear" w:color="auto" w:fill="auto"/>
            <w:noWrap w:val="0"/>
            <w:vAlign w:val="center"/>
          </w:tcPr>
          <w:p w14:paraId="54729CE4">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废油脂</w:t>
            </w:r>
          </w:p>
        </w:tc>
        <w:tc>
          <w:tcPr>
            <w:tcW w:w="412" w:type="pct"/>
            <w:noWrap w:val="0"/>
            <w:vAlign w:val="center"/>
          </w:tcPr>
          <w:p w14:paraId="5530FF1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4A408B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3F39FE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49110104">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b w:val="0"/>
                <w:bCs w:val="0"/>
                <w:color w:val="auto"/>
                <w:spacing w:val="0"/>
                <w:lang w:val="en-US" w:eastAsia="zh-CN"/>
              </w:rPr>
              <w:t>13.22</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38EB6C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5C0BFD5B">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spacing w:val="0"/>
                <w:lang w:val="en-US" w:eastAsia="zh-CN"/>
              </w:rPr>
              <w:t>13.22</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644CF62B">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spacing w:val="0"/>
                <w:lang w:val="en-US" w:eastAsia="zh-CN"/>
              </w:rPr>
              <w:t>+13.22</w:t>
            </w:r>
            <w:r>
              <w:rPr>
                <w:rFonts w:hint="eastAsia" w:ascii="Times New Roman" w:hAnsi="Times New Roman" w:eastAsia="宋体" w:cs="Times New Roman"/>
                <w:color w:val="auto"/>
                <w:sz w:val="21"/>
                <w:szCs w:val="21"/>
                <w:highlight w:val="none"/>
                <w:lang w:val="en-US" w:eastAsia="zh-CN"/>
              </w:rPr>
              <w:t>t/a</w:t>
            </w:r>
          </w:p>
        </w:tc>
      </w:tr>
      <w:tr w14:paraId="02E58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73C021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shd w:val="clear" w:color="auto" w:fill="auto"/>
            <w:noWrap w:val="0"/>
            <w:vAlign w:val="center"/>
          </w:tcPr>
          <w:p w14:paraId="724A536E">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vertAlign w:val="baseline"/>
                <w:lang w:val="en-US" w:eastAsia="zh-CN"/>
              </w:rPr>
              <w:t>废包装</w:t>
            </w:r>
            <w:r>
              <w:rPr>
                <w:rFonts w:hint="eastAsia" w:cs="Times New Roman"/>
                <w:color w:val="auto"/>
                <w:vertAlign w:val="baseline"/>
                <w:lang w:val="en-US" w:eastAsia="zh-CN"/>
              </w:rPr>
              <w:t>材料</w:t>
            </w:r>
          </w:p>
        </w:tc>
        <w:tc>
          <w:tcPr>
            <w:tcW w:w="412" w:type="pct"/>
            <w:noWrap w:val="0"/>
            <w:vAlign w:val="center"/>
          </w:tcPr>
          <w:p w14:paraId="29476F9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1FB3EB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3CEC84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3393F980">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s="Times New Roman"/>
                <w:color w:val="auto"/>
                <w:kern w:val="2"/>
                <w:sz w:val="21"/>
                <w:szCs w:val="21"/>
                <w:lang w:val="en-US" w:eastAsia="zh-CN" w:bidi="ar-SA"/>
              </w:rPr>
              <w:t>1.0</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18BB8B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7D806514">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1519C495">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r>
              <w:rPr>
                <w:rFonts w:hint="eastAsia" w:ascii="Times New Roman" w:hAnsi="Times New Roman" w:eastAsia="宋体" w:cs="Times New Roman"/>
                <w:color w:val="auto"/>
                <w:sz w:val="21"/>
                <w:szCs w:val="21"/>
                <w:highlight w:val="none"/>
                <w:lang w:val="en-US" w:eastAsia="zh-CN"/>
              </w:rPr>
              <w:t>t/a</w:t>
            </w:r>
          </w:p>
        </w:tc>
      </w:tr>
      <w:tr w14:paraId="4948B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3A712D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shd w:val="clear" w:color="auto" w:fill="auto"/>
            <w:noWrap w:val="0"/>
            <w:vAlign w:val="center"/>
          </w:tcPr>
          <w:p w14:paraId="6D7108E8">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bCs/>
                <w:color w:val="auto"/>
                <w:highlight w:val="none"/>
              </w:rPr>
              <w:t>废滤芯和</w:t>
            </w:r>
            <w:r>
              <w:rPr>
                <w:rFonts w:hint="eastAsia" w:ascii="Times New Roman" w:hAnsi="Times New Roman" w:eastAsia="宋体" w:cs="Times New Roman"/>
                <w:color w:val="auto"/>
                <w:vertAlign w:val="baseline"/>
                <w:lang w:val="en-US" w:eastAsia="zh-CN"/>
              </w:rPr>
              <w:t>废反渗透膜</w:t>
            </w:r>
          </w:p>
        </w:tc>
        <w:tc>
          <w:tcPr>
            <w:tcW w:w="412" w:type="pct"/>
            <w:noWrap w:val="0"/>
            <w:vAlign w:val="center"/>
          </w:tcPr>
          <w:p w14:paraId="0923A44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4212E0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1527CB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6864AC10">
            <w:pPr>
              <w:pStyle w:val="127"/>
              <w:bidi w:val="0"/>
              <w:ind w:left="19" w:leftChars="9" w:right="19" w:rightChars="9"/>
              <w:rPr>
                <w:rFonts w:hint="default" w:ascii="Times New Roman" w:hAnsi="Times New Roman" w:cs="Times New Roman"/>
                <w:snapToGrid w:val="0"/>
                <w:color w:val="auto"/>
                <w:kern w:val="21"/>
                <w:szCs w:val="21"/>
                <w:lang w:val="en-US" w:eastAsia="zh-CN"/>
              </w:rPr>
            </w:pPr>
            <w:r>
              <w:rPr>
                <w:rFonts w:hint="eastAsia" w:cs="Times New Roman"/>
                <w:color w:val="auto"/>
                <w:kern w:val="2"/>
                <w:sz w:val="21"/>
                <w:szCs w:val="21"/>
                <w:lang w:val="en-US" w:eastAsia="zh-CN" w:bidi="ar-SA"/>
              </w:rPr>
              <w:t>0.05</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2DE867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72E637D5">
            <w:pPr>
              <w:pStyle w:val="127"/>
              <w:bidi w:val="0"/>
              <w:ind w:left="19" w:leftChars="9" w:right="19" w:rightChars="9"/>
              <w:rPr>
                <w:rFonts w:hint="eastAsia" w:ascii="Times New Roman" w:hAnsi="Times New Roman" w:eastAsia="宋体" w:cs="Times New Roman"/>
                <w:snapToGrid w:val="0"/>
                <w:color w:val="auto"/>
                <w:kern w:val="21"/>
                <w:sz w:val="21"/>
                <w:szCs w:val="21"/>
                <w:lang w:val="en-US" w:eastAsia="zh-CN" w:bidi="ar-SA"/>
              </w:rPr>
            </w:pPr>
            <w:r>
              <w:rPr>
                <w:rFonts w:hint="eastAsia" w:cs="Times New Roman"/>
                <w:color w:val="auto"/>
                <w:kern w:val="2"/>
                <w:sz w:val="21"/>
                <w:szCs w:val="21"/>
                <w:lang w:val="en-US" w:eastAsia="zh-CN" w:bidi="ar-SA"/>
              </w:rPr>
              <w:t>0.05</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7A4BDF10">
            <w:pPr>
              <w:pStyle w:val="127"/>
              <w:bidi w:val="0"/>
              <w:ind w:left="19" w:leftChars="9" w:right="19" w:rightChars="9"/>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kern w:val="2"/>
                <w:sz w:val="21"/>
                <w:szCs w:val="21"/>
                <w:lang w:val="en-US" w:eastAsia="zh-CN" w:bidi="ar-SA"/>
              </w:rPr>
              <w:t>+0.05</w:t>
            </w:r>
            <w:r>
              <w:rPr>
                <w:rFonts w:hint="eastAsia" w:ascii="Times New Roman" w:hAnsi="Times New Roman" w:eastAsia="宋体" w:cs="Times New Roman"/>
                <w:color w:val="auto"/>
                <w:sz w:val="21"/>
                <w:szCs w:val="21"/>
                <w:highlight w:val="none"/>
                <w:lang w:val="en-US" w:eastAsia="zh-CN"/>
              </w:rPr>
              <w:t>t/a</w:t>
            </w:r>
          </w:p>
        </w:tc>
      </w:tr>
      <w:tr w14:paraId="3D63D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7B8246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shd w:val="clear" w:color="auto" w:fill="auto"/>
            <w:noWrap w:val="0"/>
            <w:vAlign w:val="center"/>
          </w:tcPr>
          <w:p w14:paraId="1D4E87EB">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highlight w:val="none"/>
                <w:lang w:val="en-US" w:eastAsia="zh-CN"/>
              </w:rPr>
              <w:t>锅炉软水废树脂</w:t>
            </w:r>
          </w:p>
        </w:tc>
        <w:tc>
          <w:tcPr>
            <w:tcW w:w="412" w:type="pct"/>
            <w:noWrap w:val="0"/>
            <w:vAlign w:val="center"/>
          </w:tcPr>
          <w:p w14:paraId="359EA2A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14306B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0840A7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3C6A9612">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kern w:val="2"/>
                <w:sz w:val="21"/>
                <w:szCs w:val="21"/>
                <w:lang w:val="en-US" w:eastAsia="zh-CN" w:bidi="ar-SA"/>
              </w:rPr>
            </w:pPr>
            <w:r>
              <w:rPr>
                <w:rFonts w:hint="eastAsia" w:cs="Times New Roman"/>
                <w:color w:val="auto"/>
                <w:lang w:val="en-US" w:eastAsia="zh-CN"/>
              </w:rPr>
              <w:t>0.05</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2A68C0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166C4F9E">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kern w:val="2"/>
                <w:sz w:val="21"/>
                <w:szCs w:val="21"/>
                <w:lang w:val="en-US" w:eastAsia="zh-CN" w:bidi="ar-SA"/>
              </w:rPr>
            </w:pPr>
            <w:r>
              <w:rPr>
                <w:rFonts w:hint="eastAsia" w:cs="Times New Roman"/>
                <w:color w:val="auto"/>
                <w:lang w:val="en-US" w:eastAsia="zh-CN"/>
              </w:rPr>
              <w:t>0.05</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09A0204F">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kern w:val="2"/>
                <w:sz w:val="21"/>
                <w:szCs w:val="21"/>
                <w:lang w:val="en-US" w:eastAsia="zh-CN" w:bidi="ar-SA"/>
              </w:rPr>
            </w:pPr>
            <w:r>
              <w:rPr>
                <w:rFonts w:hint="eastAsia" w:cs="Times New Roman"/>
                <w:color w:val="auto"/>
                <w:lang w:val="en-US" w:eastAsia="zh-CN"/>
              </w:rPr>
              <w:t>+0.05</w:t>
            </w:r>
            <w:r>
              <w:rPr>
                <w:rFonts w:hint="eastAsia" w:ascii="Times New Roman" w:hAnsi="Times New Roman" w:eastAsia="宋体" w:cs="Times New Roman"/>
                <w:color w:val="auto"/>
                <w:sz w:val="21"/>
                <w:szCs w:val="21"/>
                <w:highlight w:val="none"/>
                <w:lang w:val="en-US" w:eastAsia="zh-CN"/>
              </w:rPr>
              <w:t>t/a</w:t>
            </w:r>
          </w:p>
        </w:tc>
      </w:tr>
      <w:tr w14:paraId="144B1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2BBD7F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shd w:val="clear" w:color="auto" w:fill="auto"/>
            <w:noWrap w:val="0"/>
            <w:vAlign w:val="center"/>
          </w:tcPr>
          <w:p w14:paraId="4E2B586F">
            <w:pPr>
              <w:pStyle w:val="127"/>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vertAlign w:val="baseline"/>
                <w:lang w:val="en-US" w:eastAsia="zh-CN"/>
              </w:rPr>
              <w:t>沉淀池污泥</w:t>
            </w:r>
          </w:p>
        </w:tc>
        <w:tc>
          <w:tcPr>
            <w:tcW w:w="412" w:type="pct"/>
            <w:noWrap w:val="0"/>
            <w:vAlign w:val="center"/>
          </w:tcPr>
          <w:p w14:paraId="1BA1E4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1C35B2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034E2C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08CBD9CA">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kern w:val="2"/>
                <w:sz w:val="21"/>
                <w:szCs w:val="21"/>
                <w:lang w:val="en-US" w:eastAsia="zh-CN" w:bidi="ar-SA"/>
              </w:rPr>
            </w:pPr>
            <w:r>
              <w:rPr>
                <w:rFonts w:hint="eastAsia" w:cs="Times New Roman"/>
                <w:color w:val="auto"/>
                <w:lang w:val="en-US" w:eastAsia="zh-CN"/>
              </w:rPr>
              <w:t>399</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692B0D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0E69B6AC">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kern w:val="2"/>
                <w:sz w:val="21"/>
                <w:szCs w:val="21"/>
                <w:lang w:val="en-US" w:eastAsia="zh-CN" w:bidi="ar-SA"/>
              </w:rPr>
            </w:pPr>
            <w:r>
              <w:rPr>
                <w:rFonts w:hint="eastAsia" w:cs="Times New Roman"/>
                <w:color w:val="auto"/>
                <w:lang w:val="en-US" w:eastAsia="zh-CN"/>
              </w:rPr>
              <w:t>399</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237976AA">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kern w:val="2"/>
                <w:sz w:val="21"/>
                <w:szCs w:val="21"/>
                <w:lang w:val="en-US" w:eastAsia="zh-CN" w:bidi="ar-SA"/>
              </w:rPr>
            </w:pPr>
            <w:r>
              <w:rPr>
                <w:rFonts w:hint="eastAsia" w:cs="Times New Roman"/>
                <w:color w:val="auto"/>
                <w:lang w:val="en-US" w:eastAsia="zh-CN"/>
              </w:rPr>
              <w:t>+399</w:t>
            </w:r>
            <w:r>
              <w:rPr>
                <w:rFonts w:hint="eastAsia" w:ascii="Times New Roman" w:hAnsi="Times New Roman" w:eastAsia="宋体" w:cs="Times New Roman"/>
                <w:color w:val="auto"/>
                <w:sz w:val="21"/>
                <w:szCs w:val="21"/>
                <w:highlight w:val="none"/>
                <w:lang w:val="en-US" w:eastAsia="zh-CN"/>
              </w:rPr>
              <w:t>t/a</w:t>
            </w:r>
          </w:p>
        </w:tc>
      </w:tr>
      <w:tr w14:paraId="16BB7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restart"/>
            <w:noWrap w:val="0"/>
            <w:vAlign w:val="center"/>
          </w:tcPr>
          <w:p w14:paraId="6D9A94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rPr>
              <w:t>危险废物</w:t>
            </w:r>
          </w:p>
        </w:tc>
        <w:tc>
          <w:tcPr>
            <w:tcW w:w="724" w:type="pct"/>
            <w:shd w:val="clear" w:color="auto" w:fill="auto"/>
            <w:noWrap w:val="0"/>
            <w:vAlign w:val="center"/>
          </w:tcPr>
          <w:p w14:paraId="7B13B8C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废机油</w:t>
            </w:r>
          </w:p>
        </w:tc>
        <w:tc>
          <w:tcPr>
            <w:tcW w:w="412" w:type="pct"/>
            <w:noWrap w:val="0"/>
            <w:vAlign w:val="center"/>
          </w:tcPr>
          <w:p w14:paraId="64E18A8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281C73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035F8A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154C00AF">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b w:val="0"/>
                <w:bCs w:val="0"/>
                <w:color w:val="auto"/>
                <w:sz w:val="21"/>
                <w:szCs w:val="21"/>
                <w:highlight w:val="none"/>
                <w:lang w:val="en-US" w:eastAsia="zh-CN"/>
              </w:rPr>
            </w:pPr>
            <w:r>
              <w:rPr>
                <w:rFonts w:hint="eastAsia" w:cs="Times New Roman"/>
                <w:color w:val="auto"/>
                <w:lang w:val="en-US" w:eastAsia="zh-CN"/>
              </w:rPr>
              <w:t>0.1</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7A3376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02FE3B6D">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lang w:val="en-US" w:eastAsia="zh-CN"/>
              </w:rPr>
              <w:t>0.1</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225295BC">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lang w:val="en-US" w:eastAsia="zh-CN"/>
              </w:rPr>
              <w:t>+0.1</w:t>
            </w:r>
            <w:r>
              <w:rPr>
                <w:rFonts w:hint="eastAsia" w:ascii="Times New Roman" w:hAnsi="Times New Roman" w:eastAsia="宋体" w:cs="Times New Roman"/>
                <w:color w:val="auto"/>
                <w:sz w:val="21"/>
                <w:szCs w:val="21"/>
                <w:highlight w:val="none"/>
                <w:lang w:val="en-US" w:eastAsia="zh-CN"/>
              </w:rPr>
              <w:t>t/a</w:t>
            </w:r>
          </w:p>
        </w:tc>
      </w:tr>
      <w:tr w14:paraId="6DDFE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046BD4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shd w:val="clear" w:color="auto" w:fill="auto"/>
            <w:noWrap w:val="0"/>
            <w:vAlign w:val="center"/>
          </w:tcPr>
          <w:p w14:paraId="60F884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废</w:t>
            </w:r>
            <w:r>
              <w:rPr>
                <w:rFonts w:hint="eastAsia"/>
                <w:color w:val="auto"/>
                <w:szCs w:val="21"/>
                <w:lang w:val="en-US" w:eastAsia="zh-CN"/>
              </w:rPr>
              <w:t>含油</w:t>
            </w:r>
            <w:r>
              <w:rPr>
                <w:rFonts w:hint="eastAsia"/>
                <w:color w:val="auto"/>
                <w:szCs w:val="21"/>
              </w:rPr>
              <w:t>抹布</w:t>
            </w:r>
          </w:p>
        </w:tc>
        <w:tc>
          <w:tcPr>
            <w:tcW w:w="412" w:type="pct"/>
            <w:noWrap w:val="0"/>
            <w:vAlign w:val="center"/>
          </w:tcPr>
          <w:p w14:paraId="1007374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79E76E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3CED3E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233476E8">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default" w:cs="Times New Roman"/>
                <w:color w:val="auto"/>
                <w:lang w:val="en-US" w:eastAsia="zh-CN"/>
              </w:rPr>
            </w:pPr>
            <w:r>
              <w:rPr>
                <w:rFonts w:hint="eastAsia"/>
                <w:color w:val="auto"/>
                <w:szCs w:val="22"/>
                <w:lang w:val="en-US" w:eastAsia="zh-CN"/>
              </w:rPr>
              <w:t>0.05</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5ED6BC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6F7A0F44">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2"/>
                <w:lang w:val="en-US" w:eastAsia="zh-CN"/>
              </w:rPr>
              <w:t>0.05</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680FDA80">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2"/>
                <w:lang w:val="en-US" w:eastAsia="zh-CN"/>
              </w:rPr>
              <w:t>+0.05</w:t>
            </w:r>
            <w:r>
              <w:rPr>
                <w:rFonts w:hint="eastAsia" w:ascii="Times New Roman" w:hAnsi="Times New Roman" w:eastAsia="宋体" w:cs="Times New Roman"/>
                <w:color w:val="auto"/>
                <w:sz w:val="21"/>
                <w:szCs w:val="21"/>
                <w:highlight w:val="none"/>
                <w:lang w:val="en-US" w:eastAsia="zh-CN"/>
              </w:rPr>
              <w:t>t/a</w:t>
            </w:r>
          </w:p>
        </w:tc>
      </w:tr>
      <w:tr w14:paraId="7E1E7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50" w:type="pct"/>
            <w:vMerge w:val="continue"/>
            <w:noWrap w:val="0"/>
            <w:vAlign w:val="center"/>
          </w:tcPr>
          <w:p w14:paraId="662A36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1"/>
                <w:szCs w:val="21"/>
              </w:rPr>
            </w:pPr>
          </w:p>
        </w:tc>
        <w:tc>
          <w:tcPr>
            <w:tcW w:w="724" w:type="pct"/>
            <w:shd w:val="clear" w:color="auto" w:fill="auto"/>
            <w:noWrap w:val="0"/>
            <w:vAlign w:val="center"/>
          </w:tcPr>
          <w:p w14:paraId="03DFCE4F">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废紫外线灯管</w:t>
            </w:r>
          </w:p>
        </w:tc>
        <w:tc>
          <w:tcPr>
            <w:tcW w:w="412" w:type="pct"/>
            <w:noWrap w:val="0"/>
            <w:vAlign w:val="center"/>
          </w:tcPr>
          <w:p w14:paraId="7DB07EA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4" w:type="pct"/>
            <w:noWrap w:val="0"/>
            <w:vAlign w:val="center"/>
          </w:tcPr>
          <w:p w14:paraId="61B0D4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40" w:type="pct"/>
            <w:noWrap w:val="0"/>
            <w:vAlign w:val="center"/>
          </w:tcPr>
          <w:p w14:paraId="02839A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4" w:type="pct"/>
            <w:noWrap w:val="0"/>
            <w:vAlign w:val="center"/>
          </w:tcPr>
          <w:p w14:paraId="284E6921">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cs="Times New Roman"/>
                <w:color w:val="auto"/>
                <w:lang w:val="en-US" w:eastAsia="zh-CN"/>
              </w:rPr>
            </w:pPr>
            <w:r>
              <w:rPr>
                <w:rFonts w:hint="eastAsia"/>
                <w:color w:val="auto"/>
                <w:szCs w:val="22"/>
                <w:lang w:val="en-US" w:eastAsia="zh-CN"/>
              </w:rPr>
              <w:t>0.002</w:t>
            </w:r>
            <w:r>
              <w:rPr>
                <w:rFonts w:hint="eastAsia" w:ascii="Times New Roman" w:hAnsi="Times New Roman" w:eastAsia="宋体" w:cs="Times New Roman"/>
                <w:color w:val="auto"/>
                <w:sz w:val="21"/>
                <w:szCs w:val="21"/>
                <w:highlight w:val="none"/>
                <w:lang w:val="en-US" w:eastAsia="zh-CN"/>
              </w:rPr>
              <w:t>t/a</w:t>
            </w:r>
          </w:p>
        </w:tc>
        <w:tc>
          <w:tcPr>
            <w:tcW w:w="472" w:type="pct"/>
            <w:noWrap w:val="0"/>
            <w:vAlign w:val="center"/>
          </w:tcPr>
          <w:p w14:paraId="2D7F25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82" w:type="pct"/>
            <w:shd w:val="clear" w:color="auto" w:fill="auto"/>
            <w:noWrap w:val="0"/>
            <w:vAlign w:val="center"/>
          </w:tcPr>
          <w:p w14:paraId="50651840">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2"/>
                <w:lang w:val="en-US" w:eastAsia="zh-CN"/>
              </w:rPr>
              <w:t>0.002</w:t>
            </w:r>
            <w:r>
              <w:rPr>
                <w:rFonts w:hint="eastAsia" w:ascii="Times New Roman" w:hAnsi="Times New Roman" w:eastAsia="宋体" w:cs="Times New Roman"/>
                <w:color w:val="auto"/>
                <w:sz w:val="21"/>
                <w:szCs w:val="21"/>
                <w:highlight w:val="none"/>
                <w:lang w:val="en-US" w:eastAsia="zh-CN"/>
              </w:rPr>
              <w:t>t/a</w:t>
            </w:r>
          </w:p>
        </w:tc>
        <w:tc>
          <w:tcPr>
            <w:tcW w:w="748" w:type="pct"/>
            <w:shd w:val="clear" w:color="auto" w:fill="auto"/>
            <w:noWrap w:val="0"/>
            <w:vAlign w:val="center"/>
          </w:tcPr>
          <w:p w14:paraId="19AEF4F9">
            <w:pPr>
              <w:pStyle w:val="127"/>
              <w:keepNext w:val="0"/>
              <w:keepLines w:val="0"/>
              <w:pageBreakBefore w:val="0"/>
              <w:kinsoku/>
              <w:wordWrap/>
              <w:overflowPunct/>
              <w:topLinePunct w:val="0"/>
              <w:autoSpaceDE/>
              <w:autoSpaceDN/>
              <w:bidi w:val="0"/>
              <w:adjustRightInd/>
              <w:spacing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2"/>
                <w:lang w:val="en-US" w:eastAsia="zh-CN"/>
              </w:rPr>
              <w:t>+0.002</w:t>
            </w:r>
            <w:r>
              <w:rPr>
                <w:rFonts w:hint="eastAsia" w:ascii="Times New Roman" w:hAnsi="Times New Roman" w:eastAsia="宋体" w:cs="Times New Roman"/>
                <w:color w:val="auto"/>
                <w:sz w:val="21"/>
                <w:szCs w:val="21"/>
                <w:highlight w:val="none"/>
                <w:lang w:val="en-US" w:eastAsia="zh-CN"/>
              </w:rPr>
              <w:t>t/a</w:t>
            </w:r>
          </w:p>
        </w:tc>
      </w:tr>
    </w:tbl>
    <w:p w14:paraId="3A2135F3">
      <w:pPr>
        <w:pStyle w:val="49"/>
        <w:ind w:left="0" w:leftChars="0" w:firstLine="0" w:firstLineChars="0"/>
        <w:rPr>
          <w:rFonts w:hint="default"/>
          <w:color w:val="auto"/>
          <w:sz w:val="21"/>
          <w:szCs w:val="21"/>
          <w:lang w:val="en-US" w:eastAsia="zh-CN"/>
        </w:rPr>
      </w:pPr>
      <w:r>
        <w:rPr>
          <w:rFonts w:hAnsi="宋体"/>
          <w:snapToGrid w:val="0"/>
          <w:color w:val="auto"/>
          <w:kern w:val="21"/>
          <w:sz w:val="21"/>
          <w:szCs w:val="21"/>
        </w:rPr>
        <w:t>注：</w:t>
      </w:r>
      <w:r>
        <w:rPr>
          <w:rFonts w:hAnsi="宋体"/>
          <w:snapToGrid w:val="0"/>
          <w:color w:val="auto"/>
          <w:spacing w:val="-16"/>
          <w:kern w:val="21"/>
          <w:sz w:val="21"/>
          <w:szCs w:val="21"/>
        </w:rPr>
        <w:fldChar w:fldCharType="begin"/>
      </w:r>
      <w:r>
        <w:rPr>
          <w:rFonts w:hAnsi="宋体"/>
          <w:snapToGrid w:val="0"/>
          <w:color w:val="auto"/>
          <w:spacing w:val="-16"/>
          <w:kern w:val="21"/>
          <w:sz w:val="21"/>
          <w:szCs w:val="21"/>
        </w:rPr>
        <w:instrText xml:space="preserve">=6\*GB3\*MERGEFORMAT</w:instrText>
      </w:r>
      <w:r>
        <w:rPr>
          <w:rFonts w:hAnsi="宋体"/>
          <w:snapToGrid w:val="0"/>
          <w:color w:val="auto"/>
          <w:spacing w:val="-16"/>
          <w:kern w:val="21"/>
          <w:sz w:val="21"/>
          <w:szCs w:val="21"/>
        </w:rPr>
        <w:fldChar w:fldCharType="separate"/>
      </w:r>
      <w:r>
        <w:rPr>
          <w:rFonts w:hint="eastAsia" w:hAnsi="宋体"/>
          <w:color w:val="auto"/>
          <w:sz w:val="21"/>
          <w:szCs w:val="21"/>
        </w:rPr>
        <w:t>⑥</w:t>
      </w:r>
      <w:r>
        <w:rPr>
          <w:rFonts w:hAnsi="宋体"/>
          <w:snapToGrid w:val="0"/>
          <w:color w:val="auto"/>
          <w:spacing w:val="-16"/>
          <w:kern w:val="21"/>
          <w:sz w:val="21"/>
          <w:szCs w:val="21"/>
        </w:rPr>
        <w:fldChar w:fldCharType="end"/>
      </w:r>
      <w:r>
        <w:rPr>
          <w:rFonts w:hAnsi="宋体"/>
          <w:snapToGrid w:val="0"/>
          <w:color w:val="auto"/>
          <w:spacing w:val="-1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=1\*GB3\*MERGEFORMAT</w:instrText>
      </w:r>
      <w:r>
        <w:rPr>
          <w:rFonts w:hAnsi="宋体"/>
          <w:snapToGrid w:val="0"/>
          <w:color w:val="auto"/>
          <w:spacing w:val="-6"/>
          <w:kern w:val="21"/>
          <w:sz w:val="21"/>
          <w:szCs w:val="21"/>
        </w:rPr>
        <w:fldChar w:fldCharType="separate"/>
      </w:r>
      <w:r>
        <w:rPr>
          <w:rFonts w:hint="eastAsia" w:hAnsi="宋体"/>
          <w:color w:val="auto"/>
          <w:sz w:val="21"/>
          <w:szCs w:val="21"/>
        </w:rPr>
        <w:t>①</w:t>
      </w:r>
      <w:r>
        <w:rPr>
          <w:rFonts w:hAnsi="宋体"/>
          <w:snapToGrid w:val="0"/>
          <w:color w:val="auto"/>
          <w:spacing w:val="-6"/>
          <w:kern w:val="21"/>
          <w:sz w:val="21"/>
          <w:szCs w:val="21"/>
        </w:rPr>
        <w:fldChar w:fldCharType="end"/>
      </w:r>
      <w:r>
        <w:rPr>
          <w:rFonts w:hAnsi="宋体"/>
          <w:snapToGrid w:val="0"/>
          <w:color w:val="auto"/>
          <w:spacing w:val="-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=3\*GB3\*MERGEFORMAT</w:instrText>
      </w:r>
      <w:r>
        <w:rPr>
          <w:rFonts w:hAnsi="宋体"/>
          <w:snapToGrid w:val="0"/>
          <w:color w:val="auto"/>
          <w:spacing w:val="-6"/>
          <w:kern w:val="21"/>
          <w:sz w:val="21"/>
          <w:szCs w:val="21"/>
        </w:rPr>
        <w:fldChar w:fldCharType="separate"/>
      </w:r>
      <w:r>
        <w:rPr>
          <w:rFonts w:hint="eastAsia" w:hAnsi="宋体"/>
          <w:color w:val="auto"/>
          <w:sz w:val="21"/>
          <w:szCs w:val="21"/>
        </w:rPr>
        <w:t>③</w:t>
      </w:r>
      <w:r>
        <w:rPr>
          <w:rFonts w:hAnsi="宋体"/>
          <w:snapToGrid w:val="0"/>
          <w:color w:val="auto"/>
          <w:spacing w:val="-6"/>
          <w:kern w:val="21"/>
          <w:sz w:val="21"/>
          <w:szCs w:val="21"/>
        </w:rPr>
        <w:fldChar w:fldCharType="end"/>
      </w:r>
      <w:r>
        <w:rPr>
          <w:rFonts w:hAnsi="宋体"/>
          <w:snapToGrid w:val="0"/>
          <w:color w:val="auto"/>
          <w:spacing w:val="-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=4\*GB3\*MERGEFORMAT</w:instrText>
      </w:r>
      <w:r>
        <w:rPr>
          <w:rFonts w:hAnsi="宋体"/>
          <w:snapToGrid w:val="0"/>
          <w:color w:val="auto"/>
          <w:spacing w:val="-6"/>
          <w:kern w:val="21"/>
          <w:sz w:val="21"/>
          <w:szCs w:val="21"/>
        </w:rPr>
        <w:fldChar w:fldCharType="separate"/>
      </w:r>
      <w:r>
        <w:rPr>
          <w:rFonts w:hint="eastAsia" w:hAnsi="宋体"/>
          <w:color w:val="auto"/>
          <w:sz w:val="21"/>
          <w:szCs w:val="21"/>
        </w:rPr>
        <w:t>④</w:t>
      </w:r>
      <w:r>
        <w:rPr>
          <w:rFonts w:hAnsi="宋体"/>
          <w:snapToGrid w:val="0"/>
          <w:color w:val="auto"/>
          <w:spacing w:val="-6"/>
          <w:kern w:val="21"/>
          <w:sz w:val="21"/>
          <w:szCs w:val="21"/>
        </w:rPr>
        <w:fldChar w:fldCharType="end"/>
      </w:r>
      <w:r>
        <w:rPr>
          <w:rFonts w:hAnsi="宋体"/>
          <w:snapToGrid w:val="0"/>
          <w:color w:val="auto"/>
          <w:spacing w:val="-6"/>
          <w:kern w:val="21"/>
          <w:sz w:val="21"/>
          <w:szCs w:val="21"/>
        </w:rPr>
        <w:t>-</w:t>
      </w:r>
      <w:r>
        <w:rPr>
          <w:rFonts w:hAnsi="宋体"/>
          <w:snapToGrid w:val="0"/>
          <w:color w:val="auto"/>
          <w:spacing w:val="-16"/>
          <w:kern w:val="21"/>
          <w:sz w:val="21"/>
          <w:szCs w:val="21"/>
        </w:rPr>
        <w:fldChar w:fldCharType="begin"/>
      </w:r>
      <w:r>
        <w:rPr>
          <w:rFonts w:hAnsi="宋体"/>
          <w:snapToGrid w:val="0"/>
          <w:color w:val="auto"/>
          <w:spacing w:val="-16"/>
          <w:kern w:val="21"/>
          <w:sz w:val="21"/>
          <w:szCs w:val="21"/>
        </w:rPr>
        <w:instrText xml:space="preserve">=5\*GB3\*MERGEFORMAT</w:instrText>
      </w:r>
      <w:r>
        <w:rPr>
          <w:rFonts w:hAnsi="宋体"/>
          <w:snapToGrid w:val="0"/>
          <w:color w:val="auto"/>
          <w:spacing w:val="-16"/>
          <w:kern w:val="21"/>
          <w:sz w:val="21"/>
          <w:szCs w:val="21"/>
        </w:rPr>
        <w:fldChar w:fldCharType="separate"/>
      </w:r>
      <w:r>
        <w:rPr>
          <w:rFonts w:hint="eastAsia" w:hAnsi="宋体"/>
          <w:color w:val="auto"/>
          <w:sz w:val="21"/>
          <w:szCs w:val="21"/>
        </w:rPr>
        <w:t>⑤</w:t>
      </w:r>
      <w:r>
        <w:rPr>
          <w:rFonts w:hAnsi="宋体"/>
          <w:snapToGrid w:val="0"/>
          <w:color w:val="auto"/>
          <w:spacing w:val="-16"/>
          <w:kern w:val="21"/>
          <w:sz w:val="21"/>
          <w:szCs w:val="21"/>
        </w:rPr>
        <w:fldChar w:fldCharType="end"/>
      </w:r>
      <w:r>
        <w:rPr>
          <w:rFonts w:hAnsi="宋体"/>
          <w:snapToGrid w:val="0"/>
          <w:color w:val="auto"/>
          <w:spacing w:val="-1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=7\*GB3\*MERGEFORMAT</w:instrText>
      </w:r>
      <w:r>
        <w:rPr>
          <w:rFonts w:hAnsi="宋体"/>
          <w:snapToGrid w:val="0"/>
          <w:color w:val="auto"/>
          <w:spacing w:val="-6"/>
          <w:kern w:val="21"/>
          <w:sz w:val="21"/>
          <w:szCs w:val="21"/>
        </w:rPr>
        <w:fldChar w:fldCharType="separate"/>
      </w:r>
      <w:r>
        <w:rPr>
          <w:rFonts w:hint="eastAsia" w:hAnsi="宋体"/>
          <w:color w:val="auto"/>
          <w:sz w:val="21"/>
          <w:szCs w:val="21"/>
        </w:rPr>
        <w:t>⑦</w:t>
      </w:r>
      <w:r>
        <w:rPr>
          <w:rFonts w:hAnsi="宋体"/>
          <w:snapToGrid w:val="0"/>
          <w:color w:val="auto"/>
          <w:spacing w:val="-6"/>
          <w:kern w:val="21"/>
          <w:sz w:val="21"/>
          <w:szCs w:val="21"/>
        </w:rPr>
        <w:fldChar w:fldCharType="end"/>
      </w:r>
      <w:r>
        <w:rPr>
          <w:rFonts w:hAnsi="宋体"/>
          <w:snapToGrid w:val="0"/>
          <w:color w:val="auto"/>
          <w:spacing w:val="-6"/>
          <w:kern w:val="21"/>
          <w:sz w:val="21"/>
          <w:szCs w:val="21"/>
        </w:rPr>
        <w:t>=</w:t>
      </w:r>
      <w:r>
        <w:rPr>
          <w:rFonts w:hAnsi="宋体"/>
          <w:snapToGrid w:val="0"/>
          <w:color w:val="auto"/>
          <w:spacing w:val="-16"/>
          <w:kern w:val="21"/>
          <w:sz w:val="21"/>
          <w:szCs w:val="21"/>
        </w:rPr>
        <w:fldChar w:fldCharType="begin"/>
      </w:r>
      <w:r>
        <w:rPr>
          <w:rFonts w:hAnsi="宋体"/>
          <w:snapToGrid w:val="0"/>
          <w:color w:val="auto"/>
          <w:spacing w:val="-16"/>
          <w:kern w:val="21"/>
          <w:sz w:val="21"/>
          <w:szCs w:val="21"/>
        </w:rPr>
        <w:instrText xml:space="preserve">=6\*GB3\*MERGEFORMAT</w:instrText>
      </w:r>
      <w:r>
        <w:rPr>
          <w:rFonts w:hAnsi="宋体"/>
          <w:snapToGrid w:val="0"/>
          <w:color w:val="auto"/>
          <w:spacing w:val="-16"/>
          <w:kern w:val="21"/>
          <w:sz w:val="21"/>
          <w:szCs w:val="21"/>
        </w:rPr>
        <w:fldChar w:fldCharType="separate"/>
      </w:r>
      <w:r>
        <w:rPr>
          <w:rFonts w:hint="eastAsia" w:hAnsi="宋体"/>
          <w:color w:val="auto"/>
          <w:sz w:val="21"/>
          <w:szCs w:val="21"/>
        </w:rPr>
        <w:t>⑥</w:t>
      </w:r>
      <w:r>
        <w:rPr>
          <w:rFonts w:hAnsi="宋体"/>
          <w:snapToGrid w:val="0"/>
          <w:color w:val="auto"/>
          <w:spacing w:val="-16"/>
          <w:kern w:val="21"/>
          <w:sz w:val="21"/>
          <w:szCs w:val="21"/>
        </w:rPr>
        <w:fldChar w:fldCharType="end"/>
      </w:r>
      <w:r>
        <w:rPr>
          <w:rFonts w:hAnsi="宋体"/>
          <w:snapToGrid w:val="0"/>
          <w:color w:val="auto"/>
          <w:spacing w:val="-1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=1\*GB3\*MERGEFORMAT</w:instrText>
      </w:r>
      <w:r>
        <w:rPr>
          <w:rFonts w:hAnsi="宋体"/>
          <w:snapToGrid w:val="0"/>
          <w:color w:val="auto"/>
          <w:spacing w:val="-6"/>
          <w:kern w:val="21"/>
          <w:sz w:val="21"/>
          <w:szCs w:val="21"/>
        </w:rPr>
        <w:fldChar w:fldCharType="separate"/>
      </w:r>
      <w:r>
        <w:rPr>
          <w:rFonts w:hint="eastAsia" w:hAnsi="宋体"/>
          <w:color w:val="auto"/>
          <w:sz w:val="21"/>
          <w:szCs w:val="21"/>
        </w:rPr>
        <w:t>①</w:t>
      </w:r>
      <w:r>
        <w:rPr>
          <w:rFonts w:hAnsi="宋体"/>
          <w:snapToGrid w:val="0"/>
          <w:color w:val="auto"/>
          <w:spacing w:val="-6"/>
          <w:kern w:val="21"/>
          <w:sz w:val="21"/>
          <w:szCs w:val="21"/>
        </w:rPr>
        <w:fldChar w:fldCharType="end"/>
      </w: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02E716-BA3E-43D4-9616-BDDA20B229DB}"/>
  </w:font>
  <w:font w:name="Courier New">
    <w:panose1 w:val="02070309020205020404"/>
    <w:charset w:val="01"/>
    <w:family w:val="modern"/>
    <w:pitch w:val="default"/>
    <w:sig w:usb0="E0002EFF" w:usb1="C0007843" w:usb2="00000009" w:usb3="00000000" w:csb0="400001FF" w:csb1="FFFF0000"/>
    <w:embedRegular r:id="rId2" w:fontKey="{C1299553-6D1B-4B15-BE21-DB88DC5671A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212D87D-E171-4441-B487-55FE1AF3DB26}"/>
  </w:font>
  <w:font w:name="新宋体-18030">
    <w:altName w:val="新宋体"/>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embedRegular r:id="rId4" w:fontKey="{E8B62A82-ACC5-47E8-B42D-5EA7B160EE08}"/>
  </w:font>
  <w:font w:name="微软雅黑">
    <w:panose1 w:val="020B0503020204020204"/>
    <w:charset w:val="86"/>
    <w:family w:val="auto"/>
    <w:pitch w:val="default"/>
    <w:sig w:usb0="80000287" w:usb1="2ACF3C50" w:usb2="00000016" w:usb3="00000000" w:csb0="0004001F" w:csb1="00000000"/>
  </w:font>
  <w:font w:name="方正楷体_GBK">
    <w:altName w:val="微软雅黑"/>
    <w:panose1 w:val="03000509000000000000"/>
    <w:charset w:val="86"/>
    <w:family w:val="script"/>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5" w:fontKey="{ED5AF8CC-4FD5-4196-9C95-9598EE8AE16C}"/>
  </w:font>
  <w:font w:name="方正小标宋_GBK">
    <w:panose1 w:val="02000000000000000000"/>
    <w:charset w:val="86"/>
    <w:family w:val="script"/>
    <w:pitch w:val="default"/>
    <w:sig w:usb0="A00002BF" w:usb1="38CF7CFA" w:usb2="00082016" w:usb3="00000000" w:csb0="00040001" w:csb1="00000000"/>
    <w:embedRegular r:id="rId6" w:fontKey="{153BFCE6-679C-4A1F-BD26-85609C475C5D}"/>
  </w:font>
  <w:font w:name="华文仿宋">
    <w:panose1 w:val="02010600040101010101"/>
    <w:charset w:val="86"/>
    <w:family w:val="auto"/>
    <w:pitch w:val="default"/>
    <w:sig w:usb0="00000287" w:usb1="080F0000" w:usb2="00000000" w:usb3="00000000" w:csb0="0004009F" w:csb1="DFD70000"/>
    <w:embedRegular r:id="rId7" w:fontKey="{47DD1247-C69D-4281-BC27-34AFC9B4BF05}"/>
  </w:font>
  <w:font w:name="仿宋">
    <w:panose1 w:val="02010609060101010101"/>
    <w:charset w:val="86"/>
    <w:family w:val="modern"/>
    <w:pitch w:val="default"/>
    <w:sig w:usb0="800002BF" w:usb1="38CF7CFA" w:usb2="00000016" w:usb3="00000000" w:csb0="00040001" w:csb1="00000000"/>
    <w:embedRegular r:id="rId8" w:fontKey="{459A5948-1B28-4F0E-A250-A395BA7688F8}"/>
  </w:font>
  <w:font w:name="Wingdings 2">
    <w:panose1 w:val="05020102010507070707"/>
    <w:charset w:val="02"/>
    <w:family w:val="auto"/>
    <w:pitch w:val="default"/>
    <w:sig w:usb0="00000000" w:usb1="00000000" w:usb2="00000000" w:usb3="00000000" w:csb0="80000000" w:csb1="00000000"/>
    <w:embedRegular r:id="rId9" w:fontKey="{576EF567-B3A0-4DE5-B224-EA66036DC123}"/>
  </w:font>
  <w:font w:name="Helvetica">
    <w:panose1 w:val="020B0504020202030204"/>
    <w:charset w:val="00"/>
    <w:family w:val="auto"/>
    <w:pitch w:val="default"/>
    <w:sig w:usb0="00000007" w:usb1="00000000" w:usb2="00000000" w:usb3="00000000" w:csb0="00000093" w:csb1="00000000"/>
  </w:font>
  <w:font w:name="Cambria Math">
    <w:panose1 w:val="02040503050406030204"/>
    <w:charset w:val="00"/>
    <w:family w:val="auto"/>
    <w:pitch w:val="default"/>
    <w:sig w:usb0="E00006FF" w:usb1="420024FF" w:usb2="02000000" w:usb3="00000000" w:csb0="2000019F" w:csb1="00000000"/>
    <w:embedRegular r:id="rId10" w:fontKey="{1271B735-043C-4BAD-B46E-F36A8E4BDB54}"/>
  </w:font>
  <w:font w:name="新宋体">
    <w:panose1 w:val="02010609030101010101"/>
    <w:charset w:val="86"/>
    <w:family w:val="auto"/>
    <w:pitch w:val="default"/>
    <w:sig w:usb0="00000283" w:usb1="288F0000" w:usb2="0000000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697E4">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13E82">
    <w:pPr>
      <w:pStyle w:val="20"/>
      <w:framePr w:wrap="around" w:vAnchor="text" w:hAnchor="margin" w:xAlign="center" w:y="1"/>
      <w:rPr>
        <w:rStyle w:val="38"/>
      </w:rPr>
    </w:pPr>
    <w:r>
      <w:fldChar w:fldCharType="begin"/>
    </w:r>
    <w:r>
      <w:rPr>
        <w:rStyle w:val="38"/>
      </w:rPr>
      <w:instrText xml:space="preserve">PAGE  </w:instrText>
    </w:r>
    <w:r>
      <w:fldChar w:fldCharType="end"/>
    </w:r>
  </w:p>
  <w:p w14:paraId="10652537">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F1991">
    <w:pPr>
      <w:pStyle w:val="2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CFD76">
    <w:pPr>
      <w:pStyle w:val="2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5C14DE">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T4hqY80BAACeAwAADgAAAAAAAAABACAAAAAeAQAAZHJzL2Uy&#10;b0RvYy54bWxQSwUGAAAAAAYABgBZAQAAXQUAAAAA&#10;">
              <v:fill on="f" focussize="0,0"/>
              <v:stroke on="f"/>
              <v:imagedata o:title=""/>
              <o:lock v:ext="edit" aspectratio="f"/>
              <v:textbox inset="0mm,0mm,0mm,0mm" style="mso-fit-shape-to-text:t;">
                <w:txbxContent>
                  <w:p w14:paraId="4A5C14DE">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54EE9">
    <w:pPr>
      <w:pStyle w:val="2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E8431D">
                          <w:pPr>
                            <w:pStyle w:val="20"/>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gNTvo80BAACeAwAADgAAAAAAAAABACAAAAAeAQAAZHJzL2Uy&#10;b0RvYy54bWxQSwUGAAAAAAYABgBZAQAAXQUAAAAA&#10;">
              <v:fill on="f" focussize="0,0"/>
              <v:stroke on="f"/>
              <v:imagedata o:title=""/>
              <o:lock v:ext="edit" aspectratio="f"/>
              <v:textbox inset="0mm,0mm,0mm,0mm" style="mso-fit-shape-to-text:t;">
                <w:txbxContent>
                  <w:p w14:paraId="36E8431D">
                    <w:pPr>
                      <w:pStyle w:val="2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F152E"/>
    <w:multiLevelType w:val="singleLevel"/>
    <w:tmpl w:val="99FF152E"/>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1">
    <w:nsid w:val="0325C7BC"/>
    <w:multiLevelType w:val="multilevel"/>
    <w:tmpl w:val="0325C7BC"/>
    <w:lvl w:ilvl="0" w:tentative="0">
      <w:start w:val="1"/>
      <w:numFmt w:val="decimal"/>
      <w:suff w:val="space"/>
      <w:lvlText w:val="%1"/>
      <w:lvlJc w:val="left"/>
      <w:pPr>
        <w:ind w:left="425" w:hanging="425"/>
      </w:pPr>
      <w:rPr>
        <w:rFonts w:hint="eastAsia"/>
      </w:rPr>
    </w:lvl>
    <w:lvl w:ilvl="1" w:tentative="0">
      <w:start w:val="1"/>
      <w:numFmt w:val="decimal"/>
      <w:suff w:val="space"/>
      <w:lvlText w:val="%1.%2"/>
      <w:lvlJc w:val="left"/>
      <w:pPr>
        <w:ind w:left="567" w:hanging="567"/>
      </w:pPr>
      <w:rPr>
        <w:rFonts w:hint="eastAsia"/>
      </w:rPr>
    </w:lvl>
    <w:lvl w:ilvl="2" w:tentative="0">
      <w:start w:val="1"/>
      <w:numFmt w:val="decimal"/>
      <w:suff w:val="space"/>
      <w:lvlText w:val="%1.%2.%3"/>
      <w:lvlJc w:val="left"/>
      <w:pPr>
        <w:ind w:left="709" w:hanging="709"/>
      </w:pPr>
      <w:rPr>
        <w:rFonts w:hint="eastAsia"/>
      </w:rPr>
    </w:lvl>
    <w:lvl w:ilvl="3" w:tentative="0">
      <w:start w:val="1"/>
      <w:numFmt w:val="decimal"/>
      <w:pStyle w:val="5"/>
      <w:lvlText w:val="%1.%2.%3.%4"/>
      <w:lvlJc w:val="left"/>
      <w:pPr>
        <w:tabs>
          <w:tab w:val="left" w:pos="0"/>
        </w:tabs>
        <w:ind w:left="0" w:firstLine="0"/>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87569C2"/>
    <w:multiLevelType w:val="singleLevel"/>
    <w:tmpl w:val="687569C2"/>
    <w:lvl w:ilvl="0" w:tentative="0">
      <w:start w:val="1"/>
      <w:numFmt w:val="decimal"/>
      <w:suff w:val="nothing"/>
      <w:lvlText w:val="%1、"/>
      <w:lvlJc w:val="left"/>
    </w:lvl>
  </w:abstractNum>
  <w:abstractNum w:abstractNumId="3">
    <w:nsid w:val="77A3E994"/>
    <w:multiLevelType w:val="singleLevel"/>
    <w:tmpl w:val="77A3E994"/>
    <w:lvl w:ilvl="0" w:tentative="0">
      <w:start w:val="1"/>
      <w:numFmt w:val="upperLetter"/>
      <w:suff w:val="nothing"/>
      <w:lvlText w:val="%1、"/>
      <w:lvlJc w:val="left"/>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肇中">
    <w15:presenceInfo w15:providerId="None" w15:userId="刘肇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xZjE2NjIyM2M4M2EwNTA2ODRlMGJmZTRmM2ZiMD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100C"/>
    <w:rsid w:val="000E3ED2"/>
    <w:rsid w:val="00131F42"/>
    <w:rsid w:val="00135273"/>
    <w:rsid w:val="001357F1"/>
    <w:rsid w:val="00140FA8"/>
    <w:rsid w:val="00142FEB"/>
    <w:rsid w:val="00143A2D"/>
    <w:rsid w:val="00145A41"/>
    <w:rsid w:val="00151675"/>
    <w:rsid w:val="00155EE4"/>
    <w:rsid w:val="00157435"/>
    <w:rsid w:val="0017504D"/>
    <w:rsid w:val="0017671A"/>
    <w:rsid w:val="00177422"/>
    <w:rsid w:val="00184590"/>
    <w:rsid w:val="001870D1"/>
    <w:rsid w:val="0018781E"/>
    <w:rsid w:val="0019262D"/>
    <w:rsid w:val="001A1B35"/>
    <w:rsid w:val="001A3545"/>
    <w:rsid w:val="001A48A2"/>
    <w:rsid w:val="001A6F61"/>
    <w:rsid w:val="001B72B8"/>
    <w:rsid w:val="001C69B3"/>
    <w:rsid w:val="001D5595"/>
    <w:rsid w:val="001D7874"/>
    <w:rsid w:val="001D7F22"/>
    <w:rsid w:val="001F0F17"/>
    <w:rsid w:val="001F3347"/>
    <w:rsid w:val="001F69E4"/>
    <w:rsid w:val="00201A46"/>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2B3B"/>
    <w:rsid w:val="002A3DC7"/>
    <w:rsid w:val="002B49E2"/>
    <w:rsid w:val="002B7B00"/>
    <w:rsid w:val="002B7C44"/>
    <w:rsid w:val="002C2B17"/>
    <w:rsid w:val="002C6690"/>
    <w:rsid w:val="002D3DD0"/>
    <w:rsid w:val="002E1F3A"/>
    <w:rsid w:val="002E298A"/>
    <w:rsid w:val="002F10C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2AF2"/>
    <w:rsid w:val="003F6A8C"/>
    <w:rsid w:val="003F755C"/>
    <w:rsid w:val="00402DC7"/>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094B"/>
    <w:rsid w:val="00511990"/>
    <w:rsid w:val="00511DE0"/>
    <w:rsid w:val="00514870"/>
    <w:rsid w:val="00514B9B"/>
    <w:rsid w:val="00517F02"/>
    <w:rsid w:val="00524303"/>
    <w:rsid w:val="005258A2"/>
    <w:rsid w:val="005401AE"/>
    <w:rsid w:val="00542E07"/>
    <w:rsid w:val="00545424"/>
    <w:rsid w:val="00551D6A"/>
    <w:rsid w:val="00554A7B"/>
    <w:rsid w:val="0055572C"/>
    <w:rsid w:val="005574FC"/>
    <w:rsid w:val="0056106A"/>
    <w:rsid w:val="005720AE"/>
    <w:rsid w:val="00594D77"/>
    <w:rsid w:val="005969E4"/>
    <w:rsid w:val="005A06B7"/>
    <w:rsid w:val="005A1759"/>
    <w:rsid w:val="005A68A7"/>
    <w:rsid w:val="005B4354"/>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1DD9"/>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34B1"/>
    <w:rsid w:val="007E3BB7"/>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A76ED"/>
    <w:rsid w:val="008B4FA6"/>
    <w:rsid w:val="008B5282"/>
    <w:rsid w:val="008B7C17"/>
    <w:rsid w:val="008C2D01"/>
    <w:rsid w:val="008C40E6"/>
    <w:rsid w:val="008D0F7A"/>
    <w:rsid w:val="008D68E4"/>
    <w:rsid w:val="008E0506"/>
    <w:rsid w:val="008E0CFF"/>
    <w:rsid w:val="008E5D6B"/>
    <w:rsid w:val="008E619E"/>
    <w:rsid w:val="008E76F0"/>
    <w:rsid w:val="008F15FE"/>
    <w:rsid w:val="008F2D29"/>
    <w:rsid w:val="008F5187"/>
    <w:rsid w:val="008F60D8"/>
    <w:rsid w:val="00902727"/>
    <w:rsid w:val="0090312B"/>
    <w:rsid w:val="0091736D"/>
    <w:rsid w:val="0093037A"/>
    <w:rsid w:val="0094154D"/>
    <w:rsid w:val="0095155F"/>
    <w:rsid w:val="00953D9C"/>
    <w:rsid w:val="00954429"/>
    <w:rsid w:val="009563CE"/>
    <w:rsid w:val="00976328"/>
    <w:rsid w:val="0097680D"/>
    <w:rsid w:val="00982438"/>
    <w:rsid w:val="0098404C"/>
    <w:rsid w:val="00985283"/>
    <w:rsid w:val="00986E86"/>
    <w:rsid w:val="00992A66"/>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B7A64"/>
    <w:rsid w:val="00AC14CE"/>
    <w:rsid w:val="00AC2A56"/>
    <w:rsid w:val="00AC72B9"/>
    <w:rsid w:val="00AD055E"/>
    <w:rsid w:val="00AD47A7"/>
    <w:rsid w:val="00AD558A"/>
    <w:rsid w:val="00AD7D4C"/>
    <w:rsid w:val="00AF0CBF"/>
    <w:rsid w:val="00AF257F"/>
    <w:rsid w:val="00AF33CF"/>
    <w:rsid w:val="00AF4D50"/>
    <w:rsid w:val="00AF6179"/>
    <w:rsid w:val="00B1295A"/>
    <w:rsid w:val="00B20A45"/>
    <w:rsid w:val="00B22C5C"/>
    <w:rsid w:val="00B24F30"/>
    <w:rsid w:val="00B31ABF"/>
    <w:rsid w:val="00B33BE3"/>
    <w:rsid w:val="00B34A1F"/>
    <w:rsid w:val="00B53B5D"/>
    <w:rsid w:val="00B6055E"/>
    <w:rsid w:val="00B6317D"/>
    <w:rsid w:val="00B7723F"/>
    <w:rsid w:val="00B80534"/>
    <w:rsid w:val="00B8433C"/>
    <w:rsid w:val="00B87491"/>
    <w:rsid w:val="00BA29E9"/>
    <w:rsid w:val="00BA7142"/>
    <w:rsid w:val="00BB237C"/>
    <w:rsid w:val="00BB41A3"/>
    <w:rsid w:val="00BC32DC"/>
    <w:rsid w:val="00BC35B6"/>
    <w:rsid w:val="00BC757B"/>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6404"/>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2305F"/>
    <w:rsid w:val="00D308ED"/>
    <w:rsid w:val="00D36D86"/>
    <w:rsid w:val="00D428AA"/>
    <w:rsid w:val="00D50A34"/>
    <w:rsid w:val="00D53EFA"/>
    <w:rsid w:val="00D94A7C"/>
    <w:rsid w:val="00D95896"/>
    <w:rsid w:val="00DB20E1"/>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27441"/>
    <w:rsid w:val="00F3383E"/>
    <w:rsid w:val="00F465A7"/>
    <w:rsid w:val="00F50B7C"/>
    <w:rsid w:val="00F550E6"/>
    <w:rsid w:val="00F74345"/>
    <w:rsid w:val="00F80A0A"/>
    <w:rsid w:val="00F82B19"/>
    <w:rsid w:val="00F9212D"/>
    <w:rsid w:val="00F965DA"/>
    <w:rsid w:val="00FA406A"/>
    <w:rsid w:val="00FB503A"/>
    <w:rsid w:val="00FB516C"/>
    <w:rsid w:val="00FC02BF"/>
    <w:rsid w:val="00FD0236"/>
    <w:rsid w:val="00FD18F4"/>
    <w:rsid w:val="00FD54DB"/>
    <w:rsid w:val="00FD619F"/>
    <w:rsid w:val="00FF722F"/>
    <w:rsid w:val="010722A1"/>
    <w:rsid w:val="011E7A06"/>
    <w:rsid w:val="01205D5C"/>
    <w:rsid w:val="01290F7E"/>
    <w:rsid w:val="012B379B"/>
    <w:rsid w:val="012C401D"/>
    <w:rsid w:val="013A5F76"/>
    <w:rsid w:val="013C6C96"/>
    <w:rsid w:val="013D54E3"/>
    <w:rsid w:val="01401F5A"/>
    <w:rsid w:val="01430365"/>
    <w:rsid w:val="01514E14"/>
    <w:rsid w:val="0157162E"/>
    <w:rsid w:val="015D1E09"/>
    <w:rsid w:val="0160059A"/>
    <w:rsid w:val="017D5815"/>
    <w:rsid w:val="01875DDB"/>
    <w:rsid w:val="0198159D"/>
    <w:rsid w:val="019D759F"/>
    <w:rsid w:val="01A65A94"/>
    <w:rsid w:val="01A931A9"/>
    <w:rsid w:val="01AC5842"/>
    <w:rsid w:val="01B55611"/>
    <w:rsid w:val="01BF19D2"/>
    <w:rsid w:val="01BF574E"/>
    <w:rsid w:val="01C06084"/>
    <w:rsid w:val="01D803E5"/>
    <w:rsid w:val="01E00F0A"/>
    <w:rsid w:val="01E0649E"/>
    <w:rsid w:val="01E95667"/>
    <w:rsid w:val="01EF3980"/>
    <w:rsid w:val="01F86565"/>
    <w:rsid w:val="01FA65AD"/>
    <w:rsid w:val="01FF3BC3"/>
    <w:rsid w:val="02023B29"/>
    <w:rsid w:val="02124B9D"/>
    <w:rsid w:val="0216715F"/>
    <w:rsid w:val="022006D3"/>
    <w:rsid w:val="02225EF8"/>
    <w:rsid w:val="02230102"/>
    <w:rsid w:val="022F63B4"/>
    <w:rsid w:val="0233386D"/>
    <w:rsid w:val="023772DB"/>
    <w:rsid w:val="02383FE8"/>
    <w:rsid w:val="023E21E0"/>
    <w:rsid w:val="02444919"/>
    <w:rsid w:val="02486E33"/>
    <w:rsid w:val="025D4D8E"/>
    <w:rsid w:val="026078A1"/>
    <w:rsid w:val="02661032"/>
    <w:rsid w:val="026615A2"/>
    <w:rsid w:val="0267248A"/>
    <w:rsid w:val="02697903"/>
    <w:rsid w:val="02753C88"/>
    <w:rsid w:val="02850695"/>
    <w:rsid w:val="02860D17"/>
    <w:rsid w:val="029D2B33"/>
    <w:rsid w:val="029D33DC"/>
    <w:rsid w:val="02A36C44"/>
    <w:rsid w:val="02A604E3"/>
    <w:rsid w:val="02A6248C"/>
    <w:rsid w:val="02B07A91"/>
    <w:rsid w:val="02BC008C"/>
    <w:rsid w:val="02CA62EA"/>
    <w:rsid w:val="02CD5A6F"/>
    <w:rsid w:val="02D74B40"/>
    <w:rsid w:val="02DF39F5"/>
    <w:rsid w:val="02E2770B"/>
    <w:rsid w:val="02EB286D"/>
    <w:rsid w:val="02F72600"/>
    <w:rsid w:val="02F96569"/>
    <w:rsid w:val="03012F09"/>
    <w:rsid w:val="0308439B"/>
    <w:rsid w:val="031D3282"/>
    <w:rsid w:val="031D767B"/>
    <w:rsid w:val="031F3DCD"/>
    <w:rsid w:val="03207FFF"/>
    <w:rsid w:val="0321341B"/>
    <w:rsid w:val="032642C6"/>
    <w:rsid w:val="032A792C"/>
    <w:rsid w:val="032B19BB"/>
    <w:rsid w:val="03301BC8"/>
    <w:rsid w:val="03327EBD"/>
    <w:rsid w:val="0334789D"/>
    <w:rsid w:val="03710AF1"/>
    <w:rsid w:val="0379510C"/>
    <w:rsid w:val="038500F8"/>
    <w:rsid w:val="03931AEC"/>
    <w:rsid w:val="039979E3"/>
    <w:rsid w:val="03A7126F"/>
    <w:rsid w:val="03B36EE8"/>
    <w:rsid w:val="03C006DC"/>
    <w:rsid w:val="03C0078E"/>
    <w:rsid w:val="03C43E48"/>
    <w:rsid w:val="03CA03B3"/>
    <w:rsid w:val="03CE22EF"/>
    <w:rsid w:val="03CF5817"/>
    <w:rsid w:val="03D11119"/>
    <w:rsid w:val="03D70A47"/>
    <w:rsid w:val="03D93691"/>
    <w:rsid w:val="03E727F4"/>
    <w:rsid w:val="03E72EBE"/>
    <w:rsid w:val="03EA7B21"/>
    <w:rsid w:val="03EB09D2"/>
    <w:rsid w:val="03EF6589"/>
    <w:rsid w:val="03F3108F"/>
    <w:rsid w:val="03F60FF6"/>
    <w:rsid w:val="03FC52E4"/>
    <w:rsid w:val="03FD1C95"/>
    <w:rsid w:val="03FF3B22"/>
    <w:rsid w:val="04004B52"/>
    <w:rsid w:val="04094F46"/>
    <w:rsid w:val="04123E86"/>
    <w:rsid w:val="04125BD4"/>
    <w:rsid w:val="04163446"/>
    <w:rsid w:val="04191644"/>
    <w:rsid w:val="041C3C21"/>
    <w:rsid w:val="041D6583"/>
    <w:rsid w:val="04243DB5"/>
    <w:rsid w:val="04294F27"/>
    <w:rsid w:val="042D6DD5"/>
    <w:rsid w:val="044534B6"/>
    <w:rsid w:val="044560FD"/>
    <w:rsid w:val="04482DCE"/>
    <w:rsid w:val="044956F6"/>
    <w:rsid w:val="04496EEF"/>
    <w:rsid w:val="044F17DC"/>
    <w:rsid w:val="04506958"/>
    <w:rsid w:val="045752FA"/>
    <w:rsid w:val="046F1C86"/>
    <w:rsid w:val="04755DAA"/>
    <w:rsid w:val="04832134"/>
    <w:rsid w:val="04974587"/>
    <w:rsid w:val="049F168E"/>
    <w:rsid w:val="04A62665"/>
    <w:rsid w:val="04B62533"/>
    <w:rsid w:val="04BF2A35"/>
    <w:rsid w:val="04BF2C00"/>
    <w:rsid w:val="04C37BD1"/>
    <w:rsid w:val="04C7678B"/>
    <w:rsid w:val="04CC74B6"/>
    <w:rsid w:val="04CE3E1D"/>
    <w:rsid w:val="04DC5826"/>
    <w:rsid w:val="04DC729A"/>
    <w:rsid w:val="04F06ABD"/>
    <w:rsid w:val="04F14F17"/>
    <w:rsid w:val="04F2699B"/>
    <w:rsid w:val="04F421BF"/>
    <w:rsid w:val="0506170D"/>
    <w:rsid w:val="05073F26"/>
    <w:rsid w:val="050977E4"/>
    <w:rsid w:val="05121531"/>
    <w:rsid w:val="05133B6D"/>
    <w:rsid w:val="05143E2A"/>
    <w:rsid w:val="05173FCA"/>
    <w:rsid w:val="051C1DEC"/>
    <w:rsid w:val="052F5589"/>
    <w:rsid w:val="053309E7"/>
    <w:rsid w:val="0538531F"/>
    <w:rsid w:val="053E6699"/>
    <w:rsid w:val="05480DA9"/>
    <w:rsid w:val="05487D84"/>
    <w:rsid w:val="055511AF"/>
    <w:rsid w:val="055A55D7"/>
    <w:rsid w:val="05617BE4"/>
    <w:rsid w:val="05621D95"/>
    <w:rsid w:val="05685C00"/>
    <w:rsid w:val="057D4FEB"/>
    <w:rsid w:val="058A1AE1"/>
    <w:rsid w:val="058E1526"/>
    <w:rsid w:val="05BD0281"/>
    <w:rsid w:val="05C17942"/>
    <w:rsid w:val="05C96C7B"/>
    <w:rsid w:val="05D328F2"/>
    <w:rsid w:val="05E41A4E"/>
    <w:rsid w:val="05EA2276"/>
    <w:rsid w:val="05F2338A"/>
    <w:rsid w:val="05F83EAE"/>
    <w:rsid w:val="05FD6232"/>
    <w:rsid w:val="060B7C42"/>
    <w:rsid w:val="06191E33"/>
    <w:rsid w:val="062F53C5"/>
    <w:rsid w:val="063A0D95"/>
    <w:rsid w:val="063E3CE9"/>
    <w:rsid w:val="063E7D85"/>
    <w:rsid w:val="06472F43"/>
    <w:rsid w:val="0655382A"/>
    <w:rsid w:val="06577D3E"/>
    <w:rsid w:val="066105AC"/>
    <w:rsid w:val="06640499"/>
    <w:rsid w:val="06651661"/>
    <w:rsid w:val="06666856"/>
    <w:rsid w:val="06676738"/>
    <w:rsid w:val="066F6196"/>
    <w:rsid w:val="067F32B3"/>
    <w:rsid w:val="068F366F"/>
    <w:rsid w:val="069C62F3"/>
    <w:rsid w:val="06A42F8B"/>
    <w:rsid w:val="06A61E9D"/>
    <w:rsid w:val="06AA3E11"/>
    <w:rsid w:val="06AC19C8"/>
    <w:rsid w:val="06BE3892"/>
    <w:rsid w:val="06CA3863"/>
    <w:rsid w:val="06D00D80"/>
    <w:rsid w:val="06FB2343"/>
    <w:rsid w:val="0704291B"/>
    <w:rsid w:val="070A413E"/>
    <w:rsid w:val="070B122A"/>
    <w:rsid w:val="070B125C"/>
    <w:rsid w:val="070F07FB"/>
    <w:rsid w:val="071718C6"/>
    <w:rsid w:val="07211B74"/>
    <w:rsid w:val="07235607"/>
    <w:rsid w:val="0727020E"/>
    <w:rsid w:val="07293586"/>
    <w:rsid w:val="07295285"/>
    <w:rsid w:val="072E49CE"/>
    <w:rsid w:val="072E6978"/>
    <w:rsid w:val="07305377"/>
    <w:rsid w:val="07310F5B"/>
    <w:rsid w:val="07425CBE"/>
    <w:rsid w:val="07445783"/>
    <w:rsid w:val="0748750E"/>
    <w:rsid w:val="074E27D3"/>
    <w:rsid w:val="07636392"/>
    <w:rsid w:val="07770C56"/>
    <w:rsid w:val="078226BE"/>
    <w:rsid w:val="07824CF8"/>
    <w:rsid w:val="07884E0F"/>
    <w:rsid w:val="07921036"/>
    <w:rsid w:val="07AA45D1"/>
    <w:rsid w:val="07AA4AE2"/>
    <w:rsid w:val="07AA7629"/>
    <w:rsid w:val="07DF170E"/>
    <w:rsid w:val="07F26239"/>
    <w:rsid w:val="07FF7FC5"/>
    <w:rsid w:val="08087F7A"/>
    <w:rsid w:val="080E3266"/>
    <w:rsid w:val="081C33CA"/>
    <w:rsid w:val="081E6051"/>
    <w:rsid w:val="081F7C57"/>
    <w:rsid w:val="08204893"/>
    <w:rsid w:val="08253C58"/>
    <w:rsid w:val="08260C6E"/>
    <w:rsid w:val="082B0167"/>
    <w:rsid w:val="082F2519"/>
    <w:rsid w:val="083B347B"/>
    <w:rsid w:val="084033B6"/>
    <w:rsid w:val="084E4A15"/>
    <w:rsid w:val="0860558A"/>
    <w:rsid w:val="086B319E"/>
    <w:rsid w:val="086B7AA0"/>
    <w:rsid w:val="087254D5"/>
    <w:rsid w:val="087F6A2F"/>
    <w:rsid w:val="08901551"/>
    <w:rsid w:val="08912FDE"/>
    <w:rsid w:val="08AE00D9"/>
    <w:rsid w:val="08BD7154"/>
    <w:rsid w:val="08C711B3"/>
    <w:rsid w:val="08D00FFA"/>
    <w:rsid w:val="08D178F7"/>
    <w:rsid w:val="08D22E98"/>
    <w:rsid w:val="08ED4A24"/>
    <w:rsid w:val="08F602F6"/>
    <w:rsid w:val="09056439"/>
    <w:rsid w:val="09181A0E"/>
    <w:rsid w:val="091C4C21"/>
    <w:rsid w:val="09216B15"/>
    <w:rsid w:val="092217DD"/>
    <w:rsid w:val="09244615"/>
    <w:rsid w:val="093A5018"/>
    <w:rsid w:val="093A7294"/>
    <w:rsid w:val="093C05E2"/>
    <w:rsid w:val="094116DD"/>
    <w:rsid w:val="09440A55"/>
    <w:rsid w:val="09532EAD"/>
    <w:rsid w:val="095B7EE5"/>
    <w:rsid w:val="096915D0"/>
    <w:rsid w:val="09774987"/>
    <w:rsid w:val="097B739A"/>
    <w:rsid w:val="097F1A8E"/>
    <w:rsid w:val="097F383C"/>
    <w:rsid w:val="0983157E"/>
    <w:rsid w:val="098333B9"/>
    <w:rsid w:val="09920C5F"/>
    <w:rsid w:val="09A75E84"/>
    <w:rsid w:val="09A87CBD"/>
    <w:rsid w:val="09C33728"/>
    <w:rsid w:val="09C40A52"/>
    <w:rsid w:val="09C76BC9"/>
    <w:rsid w:val="09D32132"/>
    <w:rsid w:val="09D771D4"/>
    <w:rsid w:val="09DF171F"/>
    <w:rsid w:val="09E33B38"/>
    <w:rsid w:val="0A066812"/>
    <w:rsid w:val="0A075D0B"/>
    <w:rsid w:val="0A0A4F55"/>
    <w:rsid w:val="0A263993"/>
    <w:rsid w:val="0A29102A"/>
    <w:rsid w:val="0A2D3AC2"/>
    <w:rsid w:val="0A314B36"/>
    <w:rsid w:val="0A3C0359"/>
    <w:rsid w:val="0A41003A"/>
    <w:rsid w:val="0A4C5885"/>
    <w:rsid w:val="0A4F3823"/>
    <w:rsid w:val="0A531332"/>
    <w:rsid w:val="0A5B3115"/>
    <w:rsid w:val="0A5F6638"/>
    <w:rsid w:val="0A655BE5"/>
    <w:rsid w:val="0A726EFC"/>
    <w:rsid w:val="0A7B2255"/>
    <w:rsid w:val="0A8530D4"/>
    <w:rsid w:val="0AA11555"/>
    <w:rsid w:val="0AA755DF"/>
    <w:rsid w:val="0AB165AE"/>
    <w:rsid w:val="0AC37758"/>
    <w:rsid w:val="0AD1695A"/>
    <w:rsid w:val="0AE3107E"/>
    <w:rsid w:val="0AEB7CD8"/>
    <w:rsid w:val="0AF72F62"/>
    <w:rsid w:val="0B076BF9"/>
    <w:rsid w:val="0B120D44"/>
    <w:rsid w:val="0B1D6982"/>
    <w:rsid w:val="0B226B74"/>
    <w:rsid w:val="0B313F18"/>
    <w:rsid w:val="0B325C74"/>
    <w:rsid w:val="0B3E7602"/>
    <w:rsid w:val="0B3F3509"/>
    <w:rsid w:val="0B421C87"/>
    <w:rsid w:val="0B531FAD"/>
    <w:rsid w:val="0B5807E8"/>
    <w:rsid w:val="0B6220B0"/>
    <w:rsid w:val="0B65742A"/>
    <w:rsid w:val="0B670D6C"/>
    <w:rsid w:val="0B7F725F"/>
    <w:rsid w:val="0B8E3228"/>
    <w:rsid w:val="0B983986"/>
    <w:rsid w:val="0B9A3EF1"/>
    <w:rsid w:val="0B9A495D"/>
    <w:rsid w:val="0BBA3AD2"/>
    <w:rsid w:val="0BCD0A7B"/>
    <w:rsid w:val="0BD27BF6"/>
    <w:rsid w:val="0BDC1C96"/>
    <w:rsid w:val="0BE02EA3"/>
    <w:rsid w:val="0BE14C6A"/>
    <w:rsid w:val="0BE32B97"/>
    <w:rsid w:val="0BE50381"/>
    <w:rsid w:val="0BEF782D"/>
    <w:rsid w:val="0BF26D58"/>
    <w:rsid w:val="0BF528C9"/>
    <w:rsid w:val="0BFC73C5"/>
    <w:rsid w:val="0BFD5880"/>
    <w:rsid w:val="0C0048F0"/>
    <w:rsid w:val="0C0B13B7"/>
    <w:rsid w:val="0C104F7A"/>
    <w:rsid w:val="0C126BE9"/>
    <w:rsid w:val="0C25389D"/>
    <w:rsid w:val="0C3045C1"/>
    <w:rsid w:val="0C34665D"/>
    <w:rsid w:val="0C366D97"/>
    <w:rsid w:val="0C397016"/>
    <w:rsid w:val="0C3B3C7D"/>
    <w:rsid w:val="0C3E1444"/>
    <w:rsid w:val="0C3E3B99"/>
    <w:rsid w:val="0C4242CA"/>
    <w:rsid w:val="0C4B170E"/>
    <w:rsid w:val="0C5B1767"/>
    <w:rsid w:val="0C684A43"/>
    <w:rsid w:val="0C803B53"/>
    <w:rsid w:val="0C8F1FE8"/>
    <w:rsid w:val="0C973E37"/>
    <w:rsid w:val="0CA320AE"/>
    <w:rsid w:val="0CAB2EAE"/>
    <w:rsid w:val="0CB1205F"/>
    <w:rsid w:val="0CB37E61"/>
    <w:rsid w:val="0CBD6B55"/>
    <w:rsid w:val="0CC22A25"/>
    <w:rsid w:val="0CCA2149"/>
    <w:rsid w:val="0CCF0636"/>
    <w:rsid w:val="0CD30126"/>
    <w:rsid w:val="0CD510A0"/>
    <w:rsid w:val="0CE245D7"/>
    <w:rsid w:val="0CEB7633"/>
    <w:rsid w:val="0CF92DD8"/>
    <w:rsid w:val="0CFA4731"/>
    <w:rsid w:val="0D2140DF"/>
    <w:rsid w:val="0D2766C4"/>
    <w:rsid w:val="0D2A1D10"/>
    <w:rsid w:val="0D3000CB"/>
    <w:rsid w:val="0D526088"/>
    <w:rsid w:val="0D556FAC"/>
    <w:rsid w:val="0D621C7D"/>
    <w:rsid w:val="0D64116A"/>
    <w:rsid w:val="0D676D3B"/>
    <w:rsid w:val="0D68534F"/>
    <w:rsid w:val="0D6D057B"/>
    <w:rsid w:val="0D846A4A"/>
    <w:rsid w:val="0D993309"/>
    <w:rsid w:val="0D9A0C44"/>
    <w:rsid w:val="0D9F29E0"/>
    <w:rsid w:val="0DA25D4B"/>
    <w:rsid w:val="0DA33F9D"/>
    <w:rsid w:val="0DA43F85"/>
    <w:rsid w:val="0DAB037B"/>
    <w:rsid w:val="0DC67EF1"/>
    <w:rsid w:val="0DD35576"/>
    <w:rsid w:val="0DD770C2"/>
    <w:rsid w:val="0DEF26E5"/>
    <w:rsid w:val="0DF465A6"/>
    <w:rsid w:val="0DF70EC9"/>
    <w:rsid w:val="0DFB6475"/>
    <w:rsid w:val="0E03514B"/>
    <w:rsid w:val="0E061E19"/>
    <w:rsid w:val="0E137B34"/>
    <w:rsid w:val="0E1A5AD0"/>
    <w:rsid w:val="0E1F2FE6"/>
    <w:rsid w:val="0E2660FF"/>
    <w:rsid w:val="0E2F5830"/>
    <w:rsid w:val="0E3E5593"/>
    <w:rsid w:val="0E65140D"/>
    <w:rsid w:val="0E723DF5"/>
    <w:rsid w:val="0E72571D"/>
    <w:rsid w:val="0E73034D"/>
    <w:rsid w:val="0E7556D1"/>
    <w:rsid w:val="0E7D5BD3"/>
    <w:rsid w:val="0E8D2557"/>
    <w:rsid w:val="0E9C0022"/>
    <w:rsid w:val="0EA31D7A"/>
    <w:rsid w:val="0EB72584"/>
    <w:rsid w:val="0EC57F43"/>
    <w:rsid w:val="0ED168E7"/>
    <w:rsid w:val="0EDB6445"/>
    <w:rsid w:val="0EF44246"/>
    <w:rsid w:val="0EF45FEF"/>
    <w:rsid w:val="0EF509A8"/>
    <w:rsid w:val="0EF55092"/>
    <w:rsid w:val="0EF72778"/>
    <w:rsid w:val="0F032819"/>
    <w:rsid w:val="0F0547E3"/>
    <w:rsid w:val="0F0A1DDF"/>
    <w:rsid w:val="0F0B3229"/>
    <w:rsid w:val="0F0C3DC3"/>
    <w:rsid w:val="0F0C5FC4"/>
    <w:rsid w:val="0F0E4BC3"/>
    <w:rsid w:val="0F13775A"/>
    <w:rsid w:val="0F15761D"/>
    <w:rsid w:val="0F1A2379"/>
    <w:rsid w:val="0F2B3E08"/>
    <w:rsid w:val="0F2D5033"/>
    <w:rsid w:val="0F337D66"/>
    <w:rsid w:val="0F492922"/>
    <w:rsid w:val="0F4C41C0"/>
    <w:rsid w:val="0F5A399E"/>
    <w:rsid w:val="0F5F45FE"/>
    <w:rsid w:val="0F7A43DF"/>
    <w:rsid w:val="0F7B6853"/>
    <w:rsid w:val="0F7D22E5"/>
    <w:rsid w:val="0F7F20E0"/>
    <w:rsid w:val="0F9A112B"/>
    <w:rsid w:val="0FA029CF"/>
    <w:rsid w:val="0FA13119"/>
    <w:rsid w:val="0FAC4C5F"/>
    <w:rsid w:val="0FAD4584"/>
    <w:rsid w:val="0FAE3879"/>
    <w:rsid w:val="0FBF6BD6"/>
    <w:rsid w:val="0FCB1368"/>
    <w:rsid w:val="0FCC003F"/>
    <w:rsid w:val="0FD85A54"/>
    <w:rsid w:val="0FDA0AAF"/>
    <w:rsid w:val="0FE73EE9"/>
    <w:rsid w:val="0FEB5C97"/>
    <w:rsid w:val="0FF07C8C"/>
    <w:rsid w:val="0FF26B15"/>
    <w:rsid w:val="0FF93184"/>
    <w:rsid w:val="0FFB0C0F"/>
    <w:rsid w:val="10030D22"/>
    <w:rsid w:val="10067CF4"/>
    <w:rsid w:val="10095FD0"/>
    <w:rsid w:val="1017281E"/>
    <w:rsid w:val="10266A08"/>
    <w:rsid w:val="103B6450"/>
    <w:rsid w:val="104E702E"/>
    <w:rsid w:val="10527D47"/>
    <w:rsid w:val="10654657"/>
    <w:rsid w:val="106953E1"/>
    <w:rsid w:val="106D2F64"/>
    <w:rsid w:val="106E212C"/>
    <w:rsid w:val="10765BAF"/>
    <w:rsid w:val="107D777E"/>
    <w:rsid w:val="108160EB"/>
    <w:rsid w:val="108310D5"/>
    <w:rsid w:val="108F25B6"/>
    <w:rsid w:val="10911E3A"/>
    <w:rsid w:val="10914580"/>
    <w:rsid w:val="10923E54"/>
    <w:rsid w:val="10972247"/>
    <w:rsid w:val="10A348AC"/>
    <w:rsid w:val="10A84371"/>
    <w:rsid w:val="10A93A74"/>
    <w:rsid w:val="10AB0728"/>
    <w:rsid w:val="10AB674C"/>
    <w:rsid w:val="10AD0C8E"/>
    <w:rsid w:val="10B63710"/>
    <w:rsid w:val="10C40D23"/>
    <w:rsid w:val="10D62B03"/>
    <w:rsid w:val="10D91D7B"/>
    <w:rsid w:val="10E36818"/>
    <w:rsid w:val="10E95CF5"/>
    <w:rsid w:val="10EB0D44"/>
    <w:rsid w:val="10F10820"/>
    <w:rsid w:val="10F3538D"/>
    <w:rsid w:val="110F7AC0"/>
    <w:rsid w:val="11112B60"/>
    <w:rsid w:val="11174A3B"/>
    <w:rsid w:val="111C2F7A"/>
    <w:rsid w:val="111D4ACB"/>
    <w:rsid w:val="112F3C08"/>
    <w:rsid w:val="113A211D"/>
    <w:rsid w:val="113F7BEA"/>
    <w:rsid w:val="114A472F"/>
    <w:rsid w:val="114B33E1"/>
    <w:rsid w:val="11540CE6"/>
    <w:rsid w:val="11581270"/>
    <w:rsid w:val="11665CA1"/>
    <w:rsid w:val="116E041E"/>
    <w:rsid w:val="116E49E8"/>
    <w:rsid w:val="117533F6"/>
    <w:rsid w:val="117A0338"/>
    <w:rsid w:val="117D2D56"/>
    <w:rsid w:val="11801B9E"/>
    <w:rsid w:val="118256F3"/>
    <w:rsid w:val="11867E5D"/>
    <w:rsid w:val="11970D74"/>
    <w:rsid w:val="11A61F55"/>
    <w:rsid w:val="11AB1672"/>
    <w:rsid w:val="11AC5DB4"/>
    <w:rsid w:val="11BF336F"/>
    <w:rsid w:val="11CB1A38"/>
    <w:rsid w:val="11CB1CF2"/>
    <w:rsid w:val="11CE710E"/>
    <w:rsid w:val="11D560A6"/>
    <w:rsid w:val="11ED4AA7"/>
    <w:rsid w:val="11F250DB"/>
    <w:rsid w:val="11F817D9"/>
    <w:rsid w:val="12036A1F"/>
    <w:rsid w:val="1214421B"/>
    <w:rsid w:val="121A5AEE"/>
    <w:rsid w:val="122C70BC"/>
    <w:rsid w:val="1231121C"/>
    <w:rsid w:val="12346332"/>
    <w:rsid w:val="123C60F3"/>
    <w:rsid w:val="123D0D6C"/>
    <w:rsid w:val="123D260A"/>
    <w:rsid w:val="124906EF"/>
    <w:rsid w:val="124C3A42"/>
    <w:rsid w:val="12597320"/>
    <w:rsid w:val="126015CB"/>
    <w:rsid w:val="12695089"/>
    <w:rsid w:val="127001C5"/>
    <w:rsid w:val="12750005"/>
    <w:rsid w:val="127B4807"/>
    <w:rsid w:val="127C2FEA"/>
    <w:rsid w:val="12962450"/>
    <w:rsid w:val="129D6FE2"/>
    <w:rsid w:val="129D7E8A"/>
    <w:rsid w:val="129E0E0A"/>
    <w:rsid w:val="12BF09FE"/>
    <w:rsid w:val="12C47920"/>
    <w:rsid w:val="12D073F1"/>
    <w:rsid w:val="12D544CC"/>
    <w:rsid w:val="12E2234B"/>
    <w:rsid w:val="12E32111"/>
    <w:rsid w:val="12F26E2C"/>
    <w:rsid w:val="12FA3BCB"/>
    <w:rsid w:val="130349A6"/>
    <w:rsid w:val="131B391B"/>
    <w:rsid w:val="131D07A4"/>
    <w:rsid w:val="132C0590"/>
    <w:rsid w:val="132D60B6"/>
    <w:rsid w:val="1336476B"/>
    <w:rsid w:val="133B2C49"/>
    <w:rsid w:val="134011F2"/>
    <w:rsid w:val="13417D30"/>
    <w:rsid w:val="134B759B"/>
    <w:rsid w:val="134F427F"/>
    <w:rsid w:val="1364090D"/>
    <w:rsid w:val="136D6DE5"/>
    <w:rsid w:val="136E6DFB"/>
    <w:rsid w:val="137331E2"/>
    <w:rsid w:val="13746268"/>
    <w:rsid w:val="13752681"/>
    <w:rsid w:val="13830CE4"/>
    <w:rsid w:val="138438C1"/>
    <w:rsid w:val="13846EED"/>
    <w:rsid w:val="13880B6C"/>
    <w:rsid w:val="13885CB6"/>
    <w:rsid w:val="139500F0"/>
    <w:rsid w:val="13951726"/>
    <w:rsid w:val="13A4001D"/>
    <w:rsid w:val="13C3506E"/>
    <w:rsid w:val="13E42C19"/>
    <w:rsid w:val="13EA5506"/>
    <w:rsid w:val="13F347A6"/>
    <w:rsid w:val="13F97987"/>
    <w:rsid w:val="142A5E59"/>
    <w:rsid w:val="142E0338"/>
    <w:rsid w:val="14396509"/>
    <w:rsid w:val="144363C7"/>
    <w:rsid w:val="144B2C98"/>
    <w:rsid w:val="14546E50"/>
    <w:rsid w:val="145A2EDB"/>
    <w:rsid w:val="145E63B9"/>
    <w:rsid w:val="146B39B7"/>
    <w:rsid w:val="147E2059"/>
    <w:rsid w:val="14837AED"/>
    <w:rsid w:val="1485519A"/>
    <w:rsid w:val="14890815"/>
    <w:rsid w:val="148925AC"/>
    <w:rsid w:val="14927615"/>
    <w:rsid w:val="14946C34"/>
    <w:rsid w:val="149A1886"/>
    <w:rsid w:val="14A168CE"/>
    <w:rsid w:val="14A91763"/>
    <w:rsid w:val="14B129BB"/>
    <w:rsid w:val="14B4094B"/>
    <w:rsid w:val="14BE440D"/>
    <w:rsid w:val="14C34F24"/>
    <w:rsid w:val="14C53111"/>
    <w:rsid w:val="14C61DB6"/>
    <w:rsid w:val="14CF3B54"/>
    <w:rsid w:val="14D27CAB"/>
    <w:rsid w:val="14D42C8D"/>
    <w:rsid w:val="14D62FFF"/>
    <w:rsid w:val="14DD2C3C"/>
    <w:rsid w:val="14DE1D5E"/>
    <w:rsid w:val="14ED231D"/>
    <w:rsid w:val="14F06986"/>
    <w:rsid w:val="14F15373"/>
    <w:rsid w:val="14F275B8"/>
    <w:rsid w:val="15016E65"/>
    <w:rsid w:val="151C682B"/>
    <w:rsid w:val="154222ED"/>
    <w:rsid w:val="15496C89"/>
    <w:rsid w:val="154B4668"/>
    <w:rsid w:val="154B7CFC"/>
    <w:rsid w:val="156704FD"/>
    <w:rsid w:val="15670DD1"/>
    <w:rsid w:val="15680A9E"/>
    <w:rsid w:val="1573694A"/>
    <w:rsid w:val="15743F2D"/>
    <w:rsid w:val="157D109F"/>
    <w:rsid w:val="15902780"/>
    <w:rsid w:val="15AD78BB"/>
    <w:rsid w:val="15B36506"/>
    <w:rsid w:val="15CA1DE7"/>
    <w:rsid w:val="15D4424E"/>
    <w:rsid w:val="15DC70A5"/>
    <w:rsid w:val="15E37683"/>
    <w:rsid w:val="15EC4601"/>
    <w:rsid w:val="15FA088E"/>
    <w:rsid w:val="1601480E"/>
    <w:rsid w:val="160808E6"/>
    <w:rsid w:val="16087E1D"/>
    <w:rsid w:val="16101E38"/>
    <w:rsid w:val="16251E4C"/>
    <w:rsid w:val="16257F74"/>
    <w:rsid w:val="162A58F9"/>
    <w:rsid w:val="162E426A"/>
    <w:rsid w:val="164E3208"/>
    <w:rsid w:val="165A01D9"/>
    <w:rsid w:val="166718DF"/>
    <w:rsid w:val="166A49C1"/>
    <w:rsid w:val="16775FC6"/>
    <w:rsid w:val="167D6DB2"/>
    <w:rsid w:val="168E4DF1"/>
    <w:rsid w:val="16980C10"/>
    <w:rsid w:val="169E79F7"/>
    <w:rsid w:val="16A448E1"/>
    <w:rsid w:val="16BF171B"/>
    <w:rsid w:val="16D8604A"/>
    <w:rsid w:val="16DE14AC"/>
    <w:rsid w:val="16E43183"/>
    <w:rsid w:val="16EB4703"/>
    <w:rsid w:val="16FE0496"/>
    <w:rsid w:val="17035AAC"/>
    <w:rsid w:val="1705198B"/>
    <w:rsid w:val="170757B0"/>
    <w:rsid w:val="170F7ED1"/>
    <w:rsid w:val="17150276"/>
    <w:rsid w:val="17297D78"/>
    <w:rsid w:val="172A75E5"/>
    <w:rsid w:val="172D19A8"/>
    <w:rsid w:val="17326BA5"/>
    <w:rsid w:val="1739616E"/>
    <w:rsid w:val="173B32A3"/>
    <w:rsid w:val="174A5489"/>
    <w:rsid w:val="174A7237"/>
    <w:rsid w:val="175577A6"/>
    <w:rsid w:val="175B6561"/>
    <w:rsid w:val="175F2992"/>
    <w:rsid w:val="17602EFE"/>
    <w:rsid w:val="17701D14"/>
    <w:rsid w:val="17735226"/>
    <w:rsid w:val="177E373B"/>
    <w:rsid w:val="17966920"/>
    <w:rsid w:val="179A554D"/>
    <w:rsid w:val="17A168D4"/>
    <w:rsid w:val="17A32CD3"/>
    <w:rsid w:val="17C36FE9"/>
    <w:rsid w:val="17CC0594"/>
    <w:rsid w:val="17E51656"/>
    <w:rsid w:val="17EB4B32"/>
    <w:rsid w:val="17F9781A"/>
    <w:rsid w:val="180276AF"/>
    <w:rsid w:val="18084850"/>
    <w:rsid w:val="181A310D"/>
    <w:rsid w:val="1838445B"/>
    <w:rsid w:val="183D3F0C"/>
    <w:rsid w:val="183D4D9E"/>
    <w:rsid w:val="18422604"/>
    <w:rsid w:val="184E71FB"/>
    <w:rsid w:val="18512847"/>
    <w:rsid w:val="18514EFC"/>
    <w:rsid w:val="18522052"/>
    <w:rsid w:val="185310D7"/>
    <w:rsid w:val="185C103A"/>
    <w:rsid w:val="18754787"/>
    <w:rsid w:val="1882520E"/>
    <w:rsid w:val="18897960"/>
    <w:rsid w:val="189F624C"/>
    <w:rsid w:val="18B678AF"/>
    <w:rsid w:val="18C43019"/>
    <w:rsid w:val="18D45952"/>
    <w:rsid w:val="18D623D6"/>
    <w:rsid w:val="18E26F66"/>
    <w:rsid w:val="18EB7C71"/>
    <w:rsid w:val="18F526E5"/>
    <w:rsid w:val="18F7519C"/>
    <w:rsid w:val="19091D14"/>
    <w:rsid w:val="190D376C"/>
    <w:rsid w:val="190E523C"/>
    <w:rsid w:val="19146692"/>
    <w:rsid w:val="19156766"/>
    <w:rsid w:val="191760B0"/>
    <w:rsid w:val="19180773"/>
    <w:rsid w:val="19185113"/>
    <w:rsid w:val="191F3444"/>
    <w:rsid w:val="19455D1F"/>
    <w:rsid w:val="194C3A31"/>
    <w:rsid w:val="195214DB"/>
    <w:rsid w:val="19540841"/>
    <w:rsid w:val="19582156"/>
    <w:rsid w:val="195A2535"/>
    <w:rsid w:val="195A7AB1"/>
    <w:rsid w:val="19616ABA"/>
    <w:rsid w:val="196632D1"/>
    <w:rsid w:val="196B7938"/>
    <w:rsid w:val="19821D16"/>
    <w:rsid w:val="19986773"/>
    <w:rsid w:val="199A77F8"/>
    <w:rsid w:val="199B4698"/>
    <w:rsid w:val="19A06D70"/>
    <w:rsid w:val="19A52E4A"/>
    <w:rsid w:val="19A56B19"/>
    <w:rsid w:val="19A57147"/>
    <w:rsid w:val="19B27315"/>
    <w:rsid w:val="19B3645C"/>
    <w:rsid w:val="19C5529B"/>
    <w:rsid w:val="19CD3D37"/>
    <w:rsid w:val="19CE05F3"/>
    <w:rsid w:val="1A07502A"/>
    <w:rsid w:val="1A0A70AB"/>
    <w:rsid w:val="1A123A31"/>
    <w:rsid w:val="1A18186E"/>
    <w:rsid w:val="1A1C66C0"/>
    <w:rsid w:val="1A1F5E29"/>
    <w:rsid w:val="1A226249"/>
    <w:rsid w:val="1A227806"/>
    <w:rsid w:val="1A2308F8"/>
    <w:rsid w:val="1A2521DD"/>
    <w:rsid w:val="1A3938C5"/>
    <w:rsid w:val="1A3E6ABA"/>
    <w:rsid w:val="1A3F2FB8"/>
    <w:rsid w:val="1A3F6432"/>
    <w:rsid w:val="1A42393B"/>
    <w:rsid w:val="1A435C2A"/>
    <w:rsid w:val="1A467F44"/>
    <w:rsid w:val="1A655F10"/>
    <w:rsid w:val="1A6A0EC1"/>
    <w:rsid w:val="1A6E4C2A"/>
    <w:rsid w:val="1A72784E"/>
    <w:rsid w:val="1A887980"/>
    <w:rsid w:val="1A891EA7"/>
    <w:rsid w:val="1A8E1B30"/>
    <w:rsid w:val="1A931042"/>
    <w:rsid w:val="1A9829AF"/>
    <w:rsid w:val="1AAC4476"/>
    <w:rsid w:val="1AAD45DE"/>
    <w:rsid w:val="1AB23A71"/>
    <w:rsid w:val="1AB711EB"/>
    <w:rsid w:val="1ABA46D4"/>
    <w:rsid w:val="1AC77A21"/>
    <w:rsid w:val="1ACC2C1D"/>
    <w:rsid w:val="1ADA7E1F"/>
    <w:rsid w:val="1ADB56C4"/>
    <w:rsid w:val="1AEA5911"/>
    <w:rsid w:val="1B046F80"/>
    <w:rsid w:val="1B0911B7"/>
    <w:rsid w:val="1B0E4A1F"/>
    <w:rsid w:val="1B132036"/>
    <w:rsid w:val="1B13538F"/>
    <w:rsid w:val="1B1B4B4E"/>
    <w:rsid w:val="1B1D4C62"/>
    <w:rsid w:val="1B21754F"/>
    <w:rsid w:val="1B290D25"/>
    <w:rsid w:val="1B3267B5"/>
    <w:rsid w:val="1B361F66"/>
    <w:rsid w:val="1B40161D"/>
    <w:rsid w:val="1B403A72"/>
    <w:rsid w:val="1B417F68"/>
    <w:rsid w:val="1B441859"/>
    <w:rsid w:val="1B466DA8"/>
    <w:rsid w:val="1B47527C"/>
    <w:rsid w:val="1B55264E"/>
    <w:rsid w:val="1B5E41FD"/>
    <w:rsid w:val="1B6606B1"/>
    <w:rsid w:val="1B6A434C"/>
    <w:rsid w:val="1B6E20B0"/>
    <w:rsid w:val="1B776202"/>
    <w:rsid w:val="1B827E45"/>
    <w:rsid w:val="1B9273FE"/>
    <w:rsid w:val="1B976B3A"/>
    <w:rsid w:val="1B994503"/>
    <w:rsid w:val="1B9C4C3C"/>
    <w:rsid w:val="1BA84E74"/>
    <w:rsid w:val="1BCF3A71"/>
    <w:rsid w:val="1BD0591C"/>
    <w:rsid w:val="1BD40E36"/>
    <w:rsid w:val="1BD91116"/>
    <w:rsid w:val="1BE077AB"/>
    <w:rsid w:val="1BE610D8"/>
    <w:rsid w:val="1BEA535B"/>
    <w:rsid w:val="1BF06795"/>
    <w:rsid w:val="1BF12C2E"/>
    <w:rsid w:val="1C0025BA"/>
    <w:rsid w:val="1C017307"/>
    <w:rsid w:val="1C024584"/>
    <w:rsid w:val="1C064A1C"/>
    <w:rsid w:val="1C0B2B71"/>
    <w:rsid w:val="1C275D99"/>
    <w:rsid w:val="1C276C63"/>
    <w:rsid w:val="1C295FB5"/>
    <w:rsid w:val="1C3062A9"/>
    <w:rsid w:val="1C3A5B61"/>
    <w:rsid w:val="1C485D0F"/>
    <w:rsid w:val="1C4D7DC9"/>
    <w:rsid w:val="1C5B0B40"/>
    <w:rsid w:val="1C5E7925"/>
    <w:rsid w:val="1C6B2ECA"/>
    <w:rsid w:val="1C6E7E6B"/>
    <w:rsid w:val="1C7C5104"/>
    <w:rsid w:val="1C7F3E27"/>
    <w:rsid w:val="1C803E2A"/>
    <w:rsid w:val="1C875C34"/>
    <w:rsid w:val="1C8D182E"/>
    <w:rsid w:val="1C97240B"/>
    <w:rsid w:val="1C9B22E3"/>
    <w:rsid w:val="1CA613B3"/>
    <w:rsid w:val="1CCF1FC0"/>
    <w:rsid w:val="1CD23133"/>
    <w:rsid w:val="1CD3773F"/>
    <w:rsid w:val="1CD75A11"/>
    <w:rsid w:val="1CDA72AF"/>
    <w:rsid w:val="1CDB67E1"/>
    <w:rsid w:val="1CDC79C4"/>
    <w:rsid w:val="1CE04312"/>
    <w:rsid w:val="1CEF42C9"/>
    <w:rsid w:val="1CFD070F"/>
    <w:rsid w:val="1CFF061E"/>
    <w:rsid w:val="1D0114B0"/>
    <w:rsid w:val="1D012821"/>
    <w:rsid w:val="1D034B84"/>
    <w:rsid w:val="1D055943"/>
    <w:rsid w:val="1D09492D"/>
    <w:rsid w:val="1D0B577E"/>
    <w:rsid w:val="1D0D3703"/>
    <w:rsid w:val="1D104A7F"/>
    <w:rsid w:val="1D116C61"/>
    <w:rsid w:val="1D162A83"/>
    <w:rsid w:val="1D1705C5"/>
    <w:rsid w:val="1D19313D"/>
    <w:rsid w:val="1D39297A"/>
    <w:rsid w:val="1D3E3DC7"/>
    <w:rsid w:val="1D3F0551"/>
    <w:rsid w:val="1D56777E"/>
    <w:rsid w:val="1D5F6196"/>
    <w:rsid w:val="1D6132A5"/>
    <w:rsid w:val="1D632EBE"/>
    <w:rsid w:val="1D741DDD"/>
    <w:rsid w:val="1D76242D"/>
    <w:rsid w:val="1D7C4F7D"/>
    <w:rsid w:val="1D832A3F"/>
    <w:rsid w:val="1D873A29"/>
    <w:rsid w:val="1D8E56D5"/>
    <w:rsid w:val="1D970CFC"/>
    <w:rsid w:val="1DA376A1"/>
    <w:rsid w:val="1DA805DB"/>
    <w:rsid w:val="1DA833AE"/>
    <w:rsid w:val="1DB030F9"/>
    <w:rsid w:val="1DB453D3"/>
    <w:rsid w:val="1DB63878"/>
    <w:rsid w:val="1DB82BD0"/>
    <w:rsid w:val="1DC1221D"/>
    <w:rsid w:val="1DDA4326"/>
    <w:rsid w:val="1DE71273"/>
    <w:rsid w:val="1DED2F4E"/>
    <w:rsid w:val="1DF63C75"/>
    <w:rsid w:val="1DF967D1"/>
    <w:rsid w:val="1DFF193F"/>
    <w:rsid w:val="1E136FFF"/>
    <w:rsid w:val="1E152B23"/>
    <w:rsid w:val="1E1D38F7"/>
    <w:rsid w:val="1E1E0F2D"/>
    <w:rsid w:val="1E2B7781"/>
    <w:rsid w:val="1E3B1FCF"/>
    <w:rsid w:val="1E3B7F84"/>
    <w:rsid w:val="1E5B212D"/>
    <w:rsid w:val="1E7A43DA"/>
    <w:rsid w:val="1E8200BE"/>
    <w:rsid w:val="1E8C3E9D"/>
    <w:rsid w:val="1E9235F6"/>
    <w:rsid w:val="1EA52410"/>
    <w:rsid w:val="1EB207F7"/>
    <w:rsid w:val="1EDE083D"/>
    <w:rsid w:val="1EEA12FF"/>
    <w:rsid w:val="1EEC32CA"/>
    <w:rsid w:val="1F02489B"/>
    <w:rsid w:val="1F047263"/>
    <w:rsid w:val="1F0A22D6"/>
    <w:rsid w:val="1F0F5DF5"/>
    <w:rsid w:val="1F1204FA"/>
    <w:rsid w:val="1F2366FA"/>
    <w:rsid w:val="1F2D61A2"/>
    <w:rsid w:val="1F333FEB"/>
    <w:rsid w:val="1F392807"/>
    <w:rsid w:val="1F3F164B"/>
    <w:rsid w:val="1F4478AC"/>
    <w:rsid w:val="1F503858"/>
    <w:rsid w:val="1F5E4928"/>
    <w:rsid w:val="1F5F080C"/>
    <w:rsid w:val="1F713883"/>
    <w:rsid w:val="1F801664"/>
    <w:rsid w:val="1F802468"/>
    <w:rsid w:val="1F8E612F"/>
    <w:rsid w:val="1F9B71B1"/>
    <w:rsid w:val="1FA21F6C"/>
    <w:rsid w:val="1FA4795E"/>
    <w:rsid w:val="1FBD202A"/>
    <w:rsid w:val="1FC01B8F"/>
    <w:rsid w:val="1FC23CA6"/>
    <w:rsid w:val="1FE1281E"/>
    <w:rsid w:val="1FE7539E"/>
    <w:rsid w:val="200025CB"/>
    <w:rsid w:val="200A3995"/>
    <w:rsid w:val="20163425"/>
    <w:rsid w:val="20256A93"/>
    <w:rsid w:val="20270D5E"/>
    <w:rsid w:val="202E28ED"/>
    <w:rsid w:val="203F3C80"/>
    <w:rsid w:val="20415901"/>
    <w:rsid w:val="20506BA3"/>
    <w:rsid w:val="20601879"/>
    <w:rsid w:val="20653333"/>
    <w:rsid w:val="20671BE0"/>
    <w:rsid w:val="206C0909"/>
    <w:rsid w:val="207F74D4"/>
    <w:rsid w:val="2091095B"/>
    <w:rsid w:val="20914EF8"/>
    <w:rsid w:val="209150AE"/>
    <w:rsid w:val="20963CB8"/>
    <w:rsid w:val="209D0D1F"/>
    <w:rsid w:val="20A57BD4"/>
    <w:rsid w:val="20A81A1B"/>
    <w:rsid w:val="20AE16F5"/>
    <w:rsid w:val="20B07FB6"/>
    <w:rsid w:val="20B646FB"/>
    <w:rsid w:val="20B71062"/>
    <w:rsid w:val="20B74DD9"/>
    <w:rsid w:val="20B91465"/>
    <w:rsid w:val="20B97A52"/>
    <w:rsid w:val="20B97F63"/>
    <w:rsid w:val="20C47C27"/>
    <w:rsid w:val="20C6372A"/>
    <w:rsid w:val="20C85EFE"/>
    <w:rsid w:val="20C971CF"/>
    <w:rsid w:val="20D36D3C"/>
    <w:rsid w:val="20E46EF2"/>
    <w:rsid w:val="21003CC8"/>
    <w:rsid w:val="210668C5"/>
    <w:rsid w:val="211663DC"/>
    <w:rsid w:val="21237BB3"/>
    <w:rsid w:val="21260DE0"/>
    <w:rsid w:val="21312ACF"/>
    <w:rsid w:val="2136594F"/>
    <w:rsid w:val="213B74B1"/>
    <w:rsid w:val="215A2310"/>
    <w:rsid w:val="216268BB"/>
    <w:rsid w:val="21635AC5"/>
    <w:rsid w:val="21742401"/>
    <w:rsid w:val="21793170"/>
    <w:rsid w:val="217952E8"/>
    <w:rsid w:val="217B6CC3"/>
    <w:rsid w:val="21A317AD"/>
    <w:rsid w:val="21AD4F92"/>
    <w:rsid w:val="21B5755F"/>
    <w:rsid w:val="21C73B50"/>
    <w:rsid w:val="21C866D2"/>
    <w:rsid w:val="21D342CD"/>
    <w:rsid w:val="21D544E9"/>
    <w:rsid w:val="21DE318A"/>
    <w:rsid w:val="21E14194"/>
    <w:rsid w:val="21E36778"/>
    <w:rsid w:val="21EF5B80"/>
    <w:rsid w:val="21FC4CEA"/>
    <w:rsid w:val="220130FA"/>
    <w:rsid w:val="22036312"/>
    <w:rsid w:val="22067D76"/>
    <w:rsid w:val="220852FD"/>
    <w:rsid w:val="220A165B"/>
    <w:rsid w:val="22110081"/>
    <w:rsid w:val="22162B37"/>
    <w:rsid w:val="222F450B"/>
    <w:rsid w:val="223905D4"/>
    <w:rsid w:val="223B739A"/>
    <w:rsid w:val="22430335"/>
    <w:rsid w:val="224A458F"/>
    <w:rsid w:val="224C6423"/>
    <w:rsid w:val="224D0253"/>
    <w:rsid w:val="224F1BA5"/>
    <w:rsid w:val="22576990"/>
    <w:rsid w:val="22602004"/>
    <w:rsid w:val="226517E5"/>
    <w:rsid w:val="227930C6"/>
    <w:rsid w:val="22852546"/>
    <w:rsid w:val="228D1ED1"/>
    <w:rsid w:val="2291153B"/>
    <w:rsid w:val="22AB655B"/>
    <w:rsid w:val="22AD4512"/>
    <w:rsid w:val="22AE3A2C"/>
    <w:rsid w:val="22B12860"/>
    <w:rsid w:val="22B61D53"/>
    <w:rsid w:val="22C407E5"/>
    <w:rsid w:val="22E613C3"/>
    <w:rsid w:val="22E86FC2"/>
    <w:rsid w:val="22E962FB"/>
    <w:rsid w:val="22EA7DB5"/>
    <w:rsid w:val="22F47480"/>
    <w:rsid w:val="22F72EAB"/>
    <w:rsid w:val="22FE70B5"/>
    <w:rsid w:val="230D348F"/>
    <w:rsid w:val="23144B9D"/>
    <w:rsid w:val="232050A1"/>
    <w:rsid w:val="232D6B64"/>
    <w:rsid w:val="232E5C5F"/>
    <w:rsid w:val="23304DE0"/>
    <w:rsid w:val="23316C48"/>
    <w:rsid w:val="23453CED"/>
    <w:rsid w:val="23597D11"/>
    <w:rsid w:val="235B5827"/>
    <w:rsid w:val="23600943"/>
    <w:rsid w:val="236142BE"/>
    <w:rsid w:val="236313BE"/>
    <w:rsid w:val="236D4CAF"/>
    <w:rsid w:val="238F6613"/>
    <w:rsid w:val="23A6613D"/>
    <w:rsid w:val="23A83C63"/>
    <w:rsid w:val="23B44E97"/>
    <w:rsid w:val="23D05ADD"/>
    <w:rsid w:val="23D902C0"/>
    <w:rsid w:val="23DE1C48"/>
    <w:rsid w:val="23E750F6"/>
    <w:rsid w:val="23EE120B"/>
    <w:rsid w:val="23F149E1"/>
    <w:rsid w:val="23F9157E"/>
    <w:rsid w:val="23F9799C"/>
    <w:rsid w:val="240154A9"/>
    <w:rsid w:val="240210CD"/>
    <w:rsid w:val="240F7F52"/>
    <w:rsid w:val="24107A5A"/>
    <w:rsid w:val="241D75CB"/>
    <w:rsid w:val="24340E45"/>
    <w:rsid w:val="243E2666"/>
    <w:rsid w:val="245931AF"/>
    <w:rsid w:val="247B223F"/>
    <w:rsid w:val="24857B00"/>
    <w:rsid w:val="248B3DCF"/>
    <w:rsid w:val="248C0170"/>
    <w:rsid w:val="248C70E1"/>
    <w:rsid w:val="249E0860"/>
    <w:rsid w:val="24A11E7B"/>
    <w:rsid w:val="24BF09F7"/>
    <w:rsid w:val="24C534EE"/>
    <w:rsid w:val="24D040E1"/>
    <w:rsid w:val="24E30CCB"/>
    <w:rsid w:val="24EF185D"/>
    <w:rsid w:val="25006E98"/>
    <w:rsid w:val="25072C0B"/>
    <w:rsid w:val="251404E2"/>
    <w:rsid w:val="252B4B4C"/>
    <w:rsid w:val="252D53FE"/>
    <w:rsid w:val="254B0EFF"/>
    <w:rsid w:val="25592D3B"/>
    <w:rsid w:val="25594DEA"/>
    <w:rsid w:val="2564742A"/>
    <w:rsid w:val="256A69A0"/>
    <w:rsid w:val="257B1236"/>
    <w:rsid w:val="257C735B"/>
    <w:rsid w:val="257D2A53"/>
    <w:rsid w:val="25826736"/>
    <w:rsid w:val="258B7601"/>
    <w:rsid w:val="258D2290"/>
    <w:rsid w:val="25920CD2"/>
    <w:rsid w:val="259C3C7C"/>
    <w:rsid w:val="259D3570"/>
    <w:rsid w:val="25AB7A3A"/>
    <w:rsid w:val="25B01AE4"/>
    <w:rsid w:val="25B214D7"/>
    <w:rsid w:val="25B40DEE"/>
    <w:rsid w:val="25C81CDF"/>
    <w:rsid w:val="25C9379F"/>
    <w:rsid w:val="25C97EC1"/>
    <w:rsid w:val="25CB784F"/>
    <w:rsid w:val="25D16D75"/>
    <w:rsid w:val="25EC2D81"/>
    <w:rsid w:val="25F02B6E"/>
    <w:rsid w:val="25F06139"/>
    <w:rsid w:val="261D2BCF"/>
    <w:rsid w:val="261F3F85"/>
    <w:rsid w:val="2625630C"/>
    <w:rsid w:val="262670C1"/>
    <w:rsid w:val="262E07EF"/>
    <w:rsid w:val="26305825"/>
    <w:rsid w:val="26305C38"/>
    <w:rsid w:val="26371BB5"/>
    <w:rsid w:val="263A7096"/>
    <w:rsid w:val="263F3468"/>
    <w:rsid w:val="263F40D6"/>
    <w:rsid w:val="265321F6"/>
    <w:rsid w:val="26595430"/>
    <w:rsid w:val="267520AD"/>
    <w:rsid w:val="267A1D82"/>
    <w:rsid w:val="267B552E"/>
    <w:rsid w:val="26AD77E2"/>
    <w:rsid w:val="26BC64DA"/>
    <w:rsid w:val="26C8133B"/>
    <w:rsid w:val="26C871C6"/>
    <w:rsid w:val="26CA0394"/>
    <w:rsid w:val="26D95CAE"/>
    <w:rsid w:val="26DE4CE8"/>
    <w:rsid w:val="26DF2C72"/>
    <w:rsid w:val="26E07A12"/>
    <w:rsid w:val="26F4304C"/>
    <w:rsid w:val="26F9227D"/>
    <w:rsid w:val="270E26BE"/>
    <w:rsid w:val="271577A4"/>
    <w:rsid w:val="271B1CC8"/>
    <w:rsid w:val="271D464A"/>
    <w:rsid w:val="271D6716"/>
    <w:rsid w:val="27237D11"/>
    <w:rsid w:val="27270D46"/>
    <w:rsid w:val="272E26D1"/>
    <w:rsid w:val="2730181F"/>
    <w:rsid w:val="273837FA"/>
    <w:rsid w:val="2753038A"/>
    <w:rsid w:val="275C2170"/>
    <w:rsid w:val="275D3D78"/>
    <w:rsid w:val="27695BDE"/>
    <w:rsid w:val="2770127B"/>
    <w:rsid w:val="277057A2"/>
    <w:rsid w:val="277976C4"/>
    <w:rsid w:val="277D64D6"/>
    <w:rsid w:val="27814EF7"/>
    <w:rsid w:val="27815448"/>
    <w:rsid w:val="279175CF"/>
    <w:rsid w:val="27A21331"/>
    <w:rsid w:val="27A23337"/>
    <w:rsid w:val="27AF0600"/>
    <w:rsid w:val="27B3421E"/>
    <w:rsid w:val="27BF0B52"/>
    <w:rsid w:val="27C11D8A"/>
    <w:rsid w:val="27C76F17"/>
    <w:rsid w:val="27D06C08"/>
    <w:rsid w:val="27DB5699"/>
    <w:rsid w:val="27E55ADF"/>
    <w:rsid w:val="27E72880"/>
    <w:rsid w:val="280E7B84"/>
    <w:rsid w:val="28123939"/>
    <w:rsid w:val="28151C68"/>
    <w:rsid w:val="28172A29"/>
    <w:rsid w:val="281C4CC8"/>
    <w:rsid w:val="28281FDF"/>
    <w:rsid w:val="28350C79"/>
    <w:rsid w:val="285C14C0"/>
    <w:rsid w:val="2860454C"/>
    <w:rsid w:val="28616AD6"/>
    <w:rsid w:val="2866078A"/>
    <w:rsid w:val="28726AF4"/>
    <w:rsid w:val="28774A8C"/>
    <w:rsid w:val="28852663"/>
    <w:rsid w:val="289355EF"/>
    <w:rsid w:val="28943ABC"/>
    <w:rsid w:val="289478CD"/>
    <w:rsid w:val="28951D06"/>
    <w:rsid w:val="2896279F"/>
    <w:rsid w:val="289C18BC"/>
    <w:rsid w:val="28A24DC1"/>
    <w:rsid w:val="28A6273B"/>
    <w:rsid w:val="28C372F2"/>
    <w:rsid w:val="28D27E6F"/>
    <w:rsid w:val="28DB09E4"/>
    <w:rsid w:val="28ED3CB5"/>
    <w:rsid w:val="28EF0C9A"/>
    <w:rsid w:val="28F16AC5"/>
    <w:rsid w:val="28F65471"/>
    <w:rsid w:val="28F91771"/>
    <w:rsid w:val="28FB65E3"/>
    <w:rsid w:val="29056DD0"/>
    <w:rsid w:val="29206EB8"/>
    <w:rsid w:val="29230134"/>
    <w:rsid w:val="2929351B"/>
    <w:rsid w:val="29371691"/>
    <w:rsid w:val="29540476"/>
    <w:rsid w:val="29595666"/>
    <w:rsid w:val="295D4AEF"/>
    <w:rsid w:val="295D75A0"/>
    <w:rsid w:val="296F23D3"/>
    <w:rsid w:val="298365D8"/>
    <w:rsid w:val="29874881"/>
    <w:rsid w:val="298D2A1C"/>
    <w:rsid w:val="29A058F9"/>
    <w:rsid w:val="29C952B3"/>
    <w:rsid w:val="29CD4916"/>
    <w:rsid w:val="29E325E0"/>
    <w:rsid w:val="29E53942"/>
    <w:rsid w:val="29EB3CF6"/>
    <w:rsid w:val="2A0957C6"/>
    <w:rsid w:val="2A0C1A1A"/>
    <w:rsid w:val="2A0C1CAB"/>
    <w:rsid w:val="2A1728BF"/>
    <w:rsid w:val="2A3245FF"/>
    <w:rsid w:val="2A395980"/>
    <w:rsid w:val="2A452503"/>
    <w:rsid w:val="2A50295E"/>
    <w:rsid w:val="2A5D4895"/>
    <w:rsid w:val="2A601CA0"/>
    <w:rsid w:val="2A634E32"/>
    <w:rsid w:val="2A636B36"/>
    <w:rsid w:val="2A6778ED"/>
    <w:rsid w:val="2A75282E"/>
    <w:rsid w:val="2A7C5D1C"/>
    <w:rsid w:val="2A856F9D"/>
    <w:rsid w:val="2A8D0A61"/>
    <w:rsid w:val="2A9237CF"/>
    <w:rsid w:val="2A944F41"/>
    <w:rsid w:val="2A9572F0"/>
    <w:rsid w:val="2A9F5694"/>
    <w:rsid w:val="2AA1140C"/>
    <w:rsid w:val="2AC40E6E"/>
    <w:rsid w:val="2ACD5ABD"/>
    <w:rsid w:val="2AD43590"/>
    <w:rsid w:val="2AD54A3D"/>
    <w:rsid w:val="2AD71826"/>
    <w:rsid w:val="2AE64480"/>
    <w:rsid w:val="2AE8528D"/>
    <w:rsid w:val="2AED482E"/>
    <w:rsid w:val="2AEF332D"/>
    <w:rsid w:val="2AF27EBA"/>
    <w:rsid w:val="2AFB6D6E"/>
    <w:rsid w:val="2B0967A6"/>
    <w:rsid w:val="2B164374"/>
    <w:rsid w:val="2B183A49"/>
    <w:rsid w:val="2B1B1C6A"/>
    <w:rsid w:val="2B1E5D60"/>
    <w:rsid w:val="2B272891"/>
    <w:rsid w:val="2B390070"/>
    <w:rsid w:val="2B397896"/>
    <w:rsid w:val="2B416561"/>
    <w:rsid w:val="2B4B73C6"/>
    <w:rsid w:val="2B520958"/>
    <w:rsid w:val="2B724B56"/>
    <w:rsid w:val="2B7A455E"/>
    <w:rsid w:val="2B7A4D22"/>
    <w:rsid w:val="2B8107B9"/>
    <w:rsid w:val="2B980A61"/>
    <w:rsid w:val="2B9F2DA4"/>
    <w:rsid w:val="2BA936A8"/>
    <w:rsid w:val="2BB00812"/>
    <w:rsid w:val="2BBA09D7"/>
    <w:rsid w:val="2BBE15B5"/>
    <w:rsid w:val="2BCA0DDB"/>
    <w:rsid w:val="2BCE4483"/>
    <w:rsid w:val="2BE171D6"/>
    <w:rsid w:val="2BEF4826"/>
    <w:rsid w:val="2BF043F9"/>
    <w:rsid w:val="2BF8505C"/>
    <w:rsid w:val="2BFB260E"/>
    <w:rsid w:val="2BFC6D32"/>
    <w:rsid w:val="2C0B5EB2"/>
    <w:rsid w:val="2C275941"/>
    <w:rsid w:val="2C28298A"/>
    <w:rsid w:val="2C290153"/>
    <w:rsid w:val="2C2E0A7D"/>
    <w:rsid w:val="2C315A5A"/>
    <w:rsid w:val="2C370854"/>
    <w:rsid w:val="2C3C763E"/>
    <w:rsid w:val="2C4B1C25"/>
    <w:rsid w:val="2C4B7881"/>
    <w:rsid w:val="2C4C244A"/>
    <w:rsid w:val="2C4D5397"/>
    <w:rsid w:val="2C520C10"/>
    <w:rsid w:val="2C574BC9"/>
    <w:rsid w:val="2C5A0151"/>
    <w:rsid w:val="2C5D75B5"/>
    <w:rsid w:val="2C6A5688"/>
    <w:rsid w:val="2C7A2696"/>
    <w:rsid w:val="2C920BF7"/>
    <w:rsid w:val="2C9226D6"/>
    <w:rsid w:val="2C950AFD"/>
    <w:rsid w:val="2CA05DED"/>
    <w:rsid w:val="2CB13CE0"/>
    <w:rsid w:val="2CB444C3"/>
    <w:rsid w:val="2CB75C93"/>
    <w:rsid w:val="2CC2789C"/>
    <w:rsid w:val="2CC40FFD"/>
    <w:rsid w:val="2CD86C3B"/>
    <w:rsid w:val="2CDF621C"/>
    <w:rsid w:val="2CE657FC"/>
    <w:rsid w:val="2CFB5B73"/>
    <w:rsid w:val="2CFC71A2"/>
    <w:rsid w:val="2CFC7571"/>
    <w:rsid w:val="2CFF241A"/>
    <w:rsid w:val="2D070F1C"/>
    <w:rsid w:val="2D095047"/>
    <w:rsid w:val="2D0C246B"/>
    <w:rsid w:val="2D1207BC"/>
    <w:rsid w:val="2D145EC5"/>
    <w:rsid w:val="2D176F93"/>
    <w:rsid w:val="2D2A56E9"/>
    <w:rsid w:val="2D2B320F"/>
    <w:rsid w:val="2D2B3B3E"/>
    <w:rsid w:val="2D2F6F75"/>
    <w:rsid w:val="2D40739E"/>
    <w:rsid w:val="2D4640C9"/>
    <w:rsid w:val="2D4744ED"/>
    <w:rsid w:val="2D60052F"/>
    <w:rsid w:val="2D7B7E02"/>
    <w:rsid w:val="2D883FED"/>
    <w:rsid w:val="2D887300"/>
    <w:rsid w:val="2D913678"/>
    <w:rsid w:val="2D944DA0"/>
    <w:rsid w:val="2D9E56F5"/>
    <w:rsid w:val="2DB96F7C"/>
    <w:rsid w:val="2DBC2BD4"/>
    <w:rsid w:val="2DC72800"/>
    <w:rsid w:val="2DC87F69"/>
    <w:rsid w:val="2DCF003E"/>
    <w:rsid w:val="2DD13DB6"/>
    <w:rsid w:val="2DDB158D"/>
    <w:rsid w:val="2DE936D7"/>
    <w:rsid w:val="2DEB79B3"/>
    <w:rsid w:val="2DF16206"/>
    <w:rsid w:val="2DFB2507"/>
    <w:rsid w:val="2DFB7E63"/>
    <w:rsid w:val="2DFC10AF"/>
    <w:rsid w:val="2E051CB2"/>
    <w:rsid w:val="2E054178"/>
    <w:rsid w:val="2E055BAC"/>
    <w:rsid w:val="2E07004D"/>
    <w:rsid w:val="2E0C77EC"/>
    <w:rsid w:val="2E3E39C6"/>
    <w:rsid w:val="2E405D74"/>
    <w:rsid w:val="2E580034"/>
    <w:rsid w:val="2E667F96"/>
    <w:rsid w:val="2E693FEF"/>
    <w:rsid w:val="2E6B21AE"/>
    <w:rsid w:val="2E784C23"/>
    <w:rsid w:val="2E7A52F5"/>
    <w:rsid w:val="2E7C1A09"/>
    <w:rsid w:val="2E8226AB"/>
    <w:rsid w:val="2E8E2C86"/>
    <w:rsid w:val="2EAE5EA6"/>
    <w:rsid w:val="2EBD5DB8"/>
    <w:rsid w:val="2EC65E24"/>
    <w:rsid w:val="2ED130CA"/>
    <w:rsid w:val="2EDD1CDF"/>
    <w:rsid w:val="2EE65368"/>
    <w:rsid w:val="2EFF3493"/>
    <w:rsid w:val="2F07257E"/>
    <w:rsid w:val="2F0E4468"/>
    <w:rsid w:val="2F165DA9"/>
    <w:rsid w:val="2F1B69B6"/>
    <w:rsid w:val="2F1F6DA3"/>
    <w:rsid w:val="2F2D138C"/>
    <w:rsid w:val="2F306125"/>
    <w:rsid w:val="2F31425A"/>
    <w:rsid w:val="2F346240"/>
    <w:rsid w:val="2F496299"/>
    <w:rsid w:val="2F4B56DF"/>
    <w:rsid w:val="2F4D768A"/>
    <w:rsid w:val="2F5042AE"/>
    <w:rsid w:val="2F5C193A"/>
    <w:rsid w:val="2F61116A"/>
    <w:rsid w:val="2F6269A6"/>
    <w:rsid w:val="2F653148"/>
    <w:rsid w:val="2F680015"/>
    <w:rsid w:val="2F7530E6"/>
    <w:rsid w:val="2F7605C8"/>
    <w:rsid w:val="2F7B587E"/>
    <w:rsid w:val="2F814AE4"/>
    <w:rsid w:val="2F8E1211"/>
    <w:rsid w:val="2F960B1A"/>
    <w:rsid w:val="2F977AD7"/>
    <w:rsid w:val="2F9B1218"/>
    <w:rsid w:val="2F9C504B"/>
    <w:rsid w:val="2F9D6636"/>
    <w:rsid w:val="2FAA4C2B"/>
    <w:rsid w:val="2FAC6E5D"/>
    <w:rsid w:val="2FAD2601"/>
    <w:rsid w:val="2FAF2E5C"/>
    <w:rsid w:val="2FB3400B"/>
    <w:rsid w:val="2FB47E42"/>
    <w:rsid w:val="2FB937FC"/>
    <w:rsid w:val="2FC11D68"/>
    <w:rsid w:val="2FD065E6"/>
    <w:rsid w:val="2FD23E6C"/>
    <w:rsid w:val="2FD96870"/>
    <w:rsid w:val="2FDB53C0"/>
    <w:rsid w:val="2FDB5753"/>
    <w:rsid w:val="2FE029D7"/>
    <w:rsid w:val="2FE779A5"/>
    <w:rsid w:val="2FE80A81"/>
    <w:rsid w:val="2FF2311F"/>
    <w:rsid w:val="2FF351DF"/>
    <w:rsid w:val="2FF54023"/>
    <w:rsid w:val="2FF823AE"/>
    <w:rsid w:val="301306B6"/>
    <w:rsid w:val="303C011F"/>
    <w:rsid w:val="30422D49"/>
    <w:rsid w:val="3055767C"/>
    <w:rsid w:val="30580BC9"/>
    <w:rsid w:val="30583D34"/>
    <w:rsid w:val="305D5C2D"/>
    <w:rsid w:val="306830F3"/>
    <w:rsid w:val="306C64EE"/>
    <w:rsid w:val="306F78CA"/>
    <w:rsid w:val="30724009"/>
    <w:rsid w:val="30731A66"/>
    <w:rsid w:val="307775C1"/>
    <w:rsid w:val="307E6D25"/>
    <w:rsid w:val="308646DC"/>
    <w:rsid w:val="309537C1"/>
    <w:rsid w:val="30A6777C"/>
    <w:rsid w:val="30C34A75"/>
    <w:rsid w:val="30C606E6"/>
    <w:rsid w:val="30CB4AC1"/>
    <w:rsid w:val="30CC6AB7"/>
    <w:rsid w:val="30CC74BA"/>
    <w:rsid w:val="30DE48C9"/>
    <w:rsid w:val="30DF070B"/>
    <w:rsid w:val="30EE048E"/>
    <w:rsid w:val="30FC6D51"/>
    <w:rsid w:val="30FF6E8C"/>
    <w:rsid w:val="31026F51"/>
    <w:rsid w:val="310D77FB"/>
    <w:rsid w:val="31164CBA"/>
    <w:rsid w:val="311A56DC"/>
    <w:rsid w:val="311E2ED7"/>
    <w:rsid w:val="31245234"/>
    <w:rsid w:val="315619EE"/>
    <w:rsid w:val="315A1775"/>
    <w:rsid w:val="315C449C"/>
    <w:rsid w:val="31600F7D"/>
    <w:rsid w:val="31634721"/>
    <w:rsid w:val="31774C75"/>
    <w:rsid w:val="318421FD"/>
    <w:rsid w:val="318555E4"/>
    <w:rsid w:val="31882A76"/>
    <w:rsid w:val="318E5DAB"/>
    <w:rsid w:val="31916FF6"/>
    <w:rsid w:val="319915B7"/>
    <w:rsid w:val="319F574E"/>
    <w:rsid w:val="31A041CB"/>
    <w:rsid w:val="31A74D30"/>
    <w:rsid w:val="31B42332"/>
    <w:rsid w:val="31B82709"/>
    <w:rsid w:val="31B930AC"/>
    <w:rsid w:val="31BC6B2B"/>
    <w:rsid w:val="31C61621"/>
    <w:rsid w:val="31CF550F"/>
    <w:rsid w:val="31D05482"/>
    <w:rsid w:val="31E77F3D"/>
    <w:rsid w:val="32081D71"/>
    <w:rsid w:val="32127D3D"/>
    <w:rsid w:val="321D596B"/>
    <w:rsid w:val="32385558"/>
    <w:rsid w:val="323D738C"/>
    <w:rsid w:val="32400B34"/>
    <w:rsid w:val="32504413"/>
    <w:rsid w:val="32723FB1"/>
    <w:rsid w:val="327A2C6E"/>
    <w:rsid w:val="328E081C"/>
    <w:rsid w:val="328E2276"/>
    <w:rsid w:val="32911A49"/>
    <w:rsid w:val="329E6876"/>
    <w:rsid w:val="32A06E8F"/>
    <w:rsid w:val="32C31007"/>
    <w:rsid w:val="32C4213C"/>
    <w:rsid w:val="32CD1E52"/>
    <w:rsid w:val="32D00AE0"/>
    <w:rsid w:val="32D56A6F"/>
    <w:rsid w:val="32DF68D8"/>
    <w:rsid w:val="32E179EF"/>
    <w:rsid w:val="32F82EA9"/>
    <w:rsid w:val="32FC18D5"/>
    <w:rsid w:val="32FD05BD"/>
    <w:rsid w:val="330E1609"/>
    <w:rsid w:val="33284BBE"/>
    <w:rsid w:val="33296443"/>
    <w:rsid w:val="333015F2"/>
    <w:rsid w:val="334119DE"/>
    <w:rsid w:val="334B6320"/>
    <w:rsid w:val="3376288E"/>
    <w:rsid w:val="33971CCB"/>
    <w:rsid w:val="33C06DA7"/>
    <w:rsid w:val="33C2305D"/>
    <w:rsid w:val="33D42BDA"/>
    <w:rsid w:val="33D5783D"/>
    <w:rsid w:val="33D934D4"/>
    <w:rsid w:val="33DB598F"/>
    <w:rsid w:val="33E04FCE"/>
    <w:rsid w:val="33E16D1D"/>
    <w:rsid w:val="33E74D73"/>
    <w:rsid w:val="33EC61BB"/>
    <w:rsid w:val="33F31809"/>
    <w:rsid w:val="33F407FF"/>
    <w:rsid w:val="33FE2F6A"/>
    <w:rsid w:val="340E07E5"/>
    <w:rsid w:val="341C6388"/>
    <w:rsid w:val="341D71C9"/>
    <w:rsid w:val="34235BF7"/>
    <w:rsid w:val="3426397A"/>
    <w:rsid w:val="342A2472"/>
    <w:rsid w:val="342E5882"/>
    <w:rsid w:val="34346E4D"/>
    <w:rsid w:val="34407BED"/>
    <w:rsid w:val="34456CF7"/>
    <w:rsid w:val="34487584"/>
    <w:rsid w:val="344A0A65"/>
    <w:rsid w:val="344F3FE8"/>
    <w:rsid w:val="34563267"/>
    <w:rsid w:val="345F06BD"/>
    <w:rsid w:val="346408E5"/>
    <w:rsid w:val="34752350"/>
    <w:rsid w:val="347914E6"/>
    <w:rsid w:val="34841269"/>
    <w:rsid w:val="348D0493"/>
    <w:rsid w:val="349518AA"/>
    <w:rsid w:val="349A476E"/>
    <w:rsid w:val="34AE757B"/>
    <w:rsid w:val="34AE78BF"/>
    <w:rsid w:val="34AF4725"/>
    <w:rsid w:val="34B63D06"/>
    <w:rsid w:val="34B6557B"/>
    <w:rsid w:val="34B8005A"/>
    <w:rsid w:val="34B8182C"/>
    <w:rsid w:val="34B86A90"/>
    <w:rsid w:val="34BA79E2"/>
    <w:rsid w:val="34BB131C"/>
    <w:rsid w:val="34CF5EE8"/>
    <w:rsid w:val="34F3152B"/>
    <w:rsid w:val="34F767F8"/>
    <w:rsid w:val="35163A7C"/>
    <w:rsid w:val="351B7F29"/>
    <w:rsid w:val="35233F2B"/>
    <w:rsid w:val="35472BB0"/>
    <w:rsid w:val="35506C57"/>
    <w:rsid w:val="3560074C"/>
    <w:rsid w:val="35613C72"/>
    <w:rsid w:val="356F6516"/>
    <w:rsid w:val="35727C2D"/>
    <w:rsid w:val="357E1CBD"/>
    <w:rsid w:val="358C5FA8"/>
    <w:rsid w:val="35A525CC"/>
    <w:rsid w:val="35B6724A"/>
    <w:rsid w:val="35B70A94"/>
    <w:rsid w:val="35C11E63"/>
    <w:rsid w:val="35C15DF1"/>
    <w:rsid w:val="35C16E06"/>
    <w:rsid w:val="35C9340A"/>
    <w:rsid w:val="35CC7249"/>
    <w:rsid w:val="35E328D9"/>
    <w:rsid w:val="35E63282"/>
    <w:rsid w:val="35FB40C6"/>
    <w:rsid w:val="35FB779E"/>
    <w:rsid w:val="35FF76C0"/>
    <w:rsid w:val="35FF781C"/>
    <w:rsid w:val="36074A7F"/>
    <w:rsid w:val="360A4309"/>
    <w:rsid w:val="36101C06"/>
    <w:rsid w:val="361C57CC"/>
    <w:rsid w:val="3626489E"/>
    <w:rsid w:val="36462E68"/>
    <w:rsid w:val="364A4BC8"/>
    <w:rsid w:val="364B0501"/>
    <w:rsid w:val="36794FEB"/>
    <w:rsid w:val="3686633F"/>
    <w:rsid w:val="368816D2"/>
    <w:rsid w:val="368E5920"/>
    <w:rsid w:val="36923549"/>
    <w:rsid w:val="36B47866"/>
    <w:rsid w:val="36B653BD"/>
    <w:rsid w:val="36B75FBF"/>
    <w:rsid w:val="36BB2B97"/>
    <w:rsid w:val="36BB5604"/>
    <w:rsid w:val="36BD0C45"/>
    <w:rsid w:val="36BD5660"/>
    <w:rsid w:val="36C362E0"/>
    <w:rsid w:val="36C71D39"/>
    <w:rsid w:val="36D1402D"/>
    <w:rsid w:val="36D23BF3"/>
    <w:rsid w:val="36F5338D"/>
    <w:rsid w:val="36FB3953"/>
    <w:rsid w:val="37023E3C"/>
    <w:rsid w:val="3710491A"/>
    <w:rsid w:val="371A057C"/>
    <w:rsid w:val="372027E4"/>
    <w:rsid w:val="37225683"/>
    <w:rsid w:val="37247871"/>
    <w:rsid w:val="37284E67"/>
    <w:rsid w:val="372E13CA"/>
    <w:rsid w:val="373362E9"/>
    <w:rsid w:val="374675C3"/>
    <w:rsid w:val="37584E1B"/>
    <w:rsid w:val="3761767C"/>
    <w:rsid w:val="376C4B50"/>
    <w:rsid w:val="37731472"/>
    <w:rsid w:val="37770147"/>
    <w:rsid w:val="377C3ECB"/>
    <w:rsid w:val="377F0281"/>
    <w:rsid w:val="378347A0"/>
    <w:rsid w:val="378827F5"/>
    <w:rsid w:val="378C087B"/>
    <w:rsid w:val="379832ED"/>
    <w:rsid w:val="379B3F72"/>
    <w:rsid w:val="379C3687"/>
    <w:rsid w:val="37A012B3"/>
    <w:rsid w:val="37A20571"/>
    <w:rsid w:val="37A84193"/>
    <w:rsid w:val="37A8536E"/>
    <w:rsid w:val="37C13C9E"/>
    <w:rsid w:val="37CF745B"/>
    <w:rsid w:val="37D145CA"/>
    <w:rsid w:val="37E00298"/>
    <w:rsid w:val="37E17DB3"/>
    <w:rsid w:val="37E97C79"/>
    <w:rsid w:val="37F24828"/>
    <w:rsid w:val="37F25055"/>
    <w:rsid w:val="37F60FE9"/>
    <w:rsid w:val="37FE7E9E"/>
    <w:rsid w:val="3809239F"/>
    <w:rsid w:val="38471D9E"/>
    <w:rsid w:val="38484676"/>
    <w:rsid w:val="38745C4C"/>
    <w:rsid w:val="38784E1B"/>
    <w:rsid w:val="38897AA9"/>
    <w:rsid w:val="389E342F"/>
    <w:rsid w:val="38AF1181"/>
    <w:rsid w:val="38B11C1E"/>
    <w:rsid w:val="38B21B07"/>
    <w:rsid w:val="38B302F9"/>
    <w:rsid w:val="38BF1E4C"/>
    <w:rsid w:val="38C5302D"/>
    <w:rsid w:val="38CE1405"/>
    <w:rsid w:val="38D534B1"/>
    <w:rsid w:val="38E30E42"/>
    <w:rsid w:val="38E86CF9"/>
    <w:rsid w:val="38EA3045"/>
    <w:rsid w:val="38ED188E"/>
    <w:rsid w:val="38F12CD3"/>
    <w:rsid w:val="38F94775"/>
    <w:rsid w:val="38FC2B25"/>
    <w:rsid w:val="390F4678"/>
    <w:rsid w:val="39186D3D"/>
    <w:rsid w:val="391B4A7F"/>
    <w:rsid w:val="39217BFC"/>
    <w:rsid w:val="392204A6"/>
    <w:rsid w:val="3929719C"/>
    <w:rsid w:val="392971ED"/>
    <w:rsid w:val="39325651"/>
    <w:rsid w:val="393578EF"/>
    <w:rsid w:val="393B548D"/>
    <w:rsid w:val="395778F0"/>
    <w:rsid w:val="395A1104"/>
    <w:rsid w:val="39674A5C"/>
    <w:rsid w:val="396950C3"/>
    <w:rsid w:val="396B5955"/>
    <w:rsid w:val="396D0A5D"/>
    <w:rsid w:val="396F59A8"/>
    <w:rsid w:val="397C4793"/>
    <w:rsid w:val="397D1296"/>
    <w:rsid w:val="3980016E"/>
    <w:rsid w:val="398A01FC"/>
    <w:rsid w:val="39956510"/>
    <w:rsid w:val="39A56973"/>
    <w:rsid w:val="39A9718C"/>
    <w:rsid w:val="39B05B3D"/>
    <w:rsid w:val="39BD3D6E"/>
    <w:rsid w:val="39D23390"/>
    <w:rsid w:val="39F620BB"/>
    <w:rsid w:val="3A0B790E"/>
    <w:rsid w:val="3A180B78"/>
    <w:rsid w:val="3A1E37E0"/>
    <w:rsid w:val="3A215308"/>
    <w:rsid w:val="3A2B484E"/>
    <w:rsid w:val="3A2D7A6D"/>
    <w:rsid w:val="3A3001A8"/>
    <w:rsid w:val="3A375110"/>
    <w:rsid w:val="3A3C3A77"/>
    <w:rsid w:val="3A3C5253"/>
    <w:rsid w:val="3A5045E6"/>
    <w:rsid w:val="3A59760D"/>
    <w:rsid w:val="3A5C0C67"/>
    <w:rsid w:val="3A5C3FAE"/>
    <w:rsid w:val="3A64617D"/>
    <w:rsid w:val="3A6E1E57"/>
    <w:rsid w:val="3A8717D6"/>
    <w:rsid w:val="3A872856"/>
    <w:rsid w:val="3A89085B"/>
    <w:rsid w:val="3A8A5D21"/>
    <w:rsid w:val="3A8B25A5"/>
    <w:rsid w:val="3AA30888"/>
    <w:rsid w:val="3AA37DA0"/>
    <w:rsid w:val="3AAB7E7D"/>
    <w:rsid w:val="3AB605BC"/>
    <w:rsid w:val="3ABE1B66"/>
    <w:rsid w:val="3AC0143A"/>
    <w:rsid w:val="3AD60758"/>
    <w:rsid w:val="3ADE7333"/>
    <w:rsid w:val="3AEB4673"/>
    <w:rsid w:val="3AF026B8"/>
    <w:rsid w:val="3AFC5C0D"/>
    <w:rsid w:val="3B061336"/>
    <w:rsid w:val="3B1A3654"/>
    <w:rsid w:val="3B2D5FF9"/>
    <w:rsid w:val="3B345984"/>
    <w:rsid w:val="3B3763D1"/>
    <w:rsid w:val="3B3A4A12"/>
    <w:rsid w:val="3B530501"/>
    <w:rsid w:val="3B54160D"/>
    <w:rsid w:val="3B553F16"/>
    <w:rsid w:val="3B5953EB"/>
    <w:rsid w:val="3B691657"/>
    <w:rsid w:val="3B6B584A"/>
    <w:rsid w:val="3B707504"/>
    <w:rsid w:val="3B81161D"/>
    <w:rsid w:val="3B8F0EB8"/>
    <w:rsid w:val="3B9C15AB"/>
    <w:rsid w:val="3BA84619"/>
    <w:rsid w:val="3BAC24B3"/>
    <w:rsid w:val="3BAC42DC"/>
    <w:rsid w:val="3BB1360D"/>
    <w:rsid w:val="3BB51A69"/>
    <w:rsid w:val="3BB94B6B"/>
    <w:rsid w:val="3BBF693A"/>
    <w:rsid w:val="3BD129B5"/>
    <w:rsid w:val="3BD57952"/>
    <w:rsid w:val="3BFE75B3"/>
    <w:rsid w:val="3C027831"/>
    <w:rsid w:val="3C090BBF"/>
    <w:rsid w:val="3C0A3807"/>
    <w:rsid w:val="3C0E4427"/>
    <w:rsid w:val="3C0F399A"/>
    <w:rsid w:val="3C2F6E1E"/>
    <w:rsid w:val="3C3261E8"/>
    <w:rsid w:val="3C342F50"/>
    <w:rsid w:val="3C3C2D43"/>
    <w:rsid w:val="3C3D6ABB"/>
    <w:rsid w:val="3C424796"/>
    <w:rsid w:val="3C4D3FA2"/>
    <w:rsid w:val="3C4F64BA"/>
    <w:rsid w:val="3C5E7A5A"/>
    <w:rsid w:val="3C666012"/>
    <w:rsid w:val="3C667DC0"/>
    <w:rsid w:val="3C7B3E8B"/>
    <w:rsid w:val="3C7C39D8"/>
    <w:rsid w:val="3C7E7255"/>
    <w:rsid w:val="3C905550"/>
    <w:rsid w:val="3CA92F71"/>
    <w:rsid w:val="3CAD146C"/>
    <w:rsid w:val="3CAD59EE"/>
    <w:rsid w:val="3CAE210E"/>
    <w:rsid w:val="3CB05FF7"/>
    <w:rsid w:val="3CB71729"/>
    <w:rsid w:val="3CBF56BE"/>
    <w:rsid w:val="3CCB3D66"/>
    <w:rsid w:val="3CD31D48"/>
    <w:rsid w:val="3CDA245A"/>
    <w:rsid w:val="3CDC3D84"/>
    <w:rsid w:val="3CE2002A"/>
    <w:rsid w:val="3CE27DA1"/>
    <w:rsid w:val="3CE401B1"/>
    <w:rsid w:val="3CF950D8"/>
    <w:rsid w:val="3CFB0E50"/>
    <w:rsid w:val="3D0E2675"/>
    <w:rsid w:val="3D0F4168"/>
    <w:rsid w:val="3D14591D"/>
    <w:rsid w:val="3D1C397D"/>
    <w:rsid w:val="3D1E06B7"/>
    <w:rsid w:val="3D243F8B"/>
    <w:rsid w:val="3D270EF8"/>
    <w:rsid w:val="3D272194"/>
    <w:rsid w:val="3D392695"/>
    <w:rsid w:val="3D393792"/>
    <w:rsid w:val="3D476ECF"/>
    <w:rsid w:val="3D5A67FD"/>
    <w:rsid w:val="3D7D7AB7"/>
    <w:rsid w:val="3D863050"/>
    <w:rsid w:val="3D891FB8"/>
    <w:rsid w:val="3D951173"/>
    <w:rsid w:val="3D9804D9"/>
    <w:rsid w:val="3D9B7F3D"/>
    <w:rsid w:val="3D9C3168"/>
    <w:rsid w:val="3D9D5CD0"/>
    <w:rsid w:val="3DA85915"/>
    <w:rsid w:val="3DB134B8"/>
    <w:rsid w:val="3DB159B2"/>
    <w:rsid w:val="3DB556F2"/>
    <w:rsid w:val="3DBC3CC3"/>
    <w:rsid w:val="3DBE5519"/>
    <w:rsid w:val="3DCD5EA8"/>
    <w:rsid w:val="3DCE0A9F"/>
    <w:rsid w:val="3DD863BC"/>
    <w:rsid w:val="3DD8705E"/>
    <w:rsid w:val="3DDC1352"/>
    <w:rsid w:val="3DE262C3"/>
    <w:rsid w:val="3DEC4C2B"/>
    <w:rsid w:val="3DFA09A2"/>
    <w:rsid w:val="3E050448"/>
    <w:rsid w:val="3E173A67"/>
    <w:rsid w:val="3E3068D7"/>
    <w:rsid w:val="3E38043C"/>
    <w:rsid w:val="3E432AAE"/>
    <w:rsid w:val="3E473A24"/>
    <w:rsid w:val="3E527626"/>
    <w:rsid w:val="3E585563"/>
    <w:rsid w:val="3E592FDE"/>
    <w:rsid w:val="3E5A5067"/>
    <w:rsid w:val="3E612F38"/>
    <w:rsid w:val="3E622809"/>
    <w:rsid w:val="3E684C43"/>
    <w:rsid w:val="3E6A46DB"/>
    <w:rsid w:val="3E7465CE"/>
    <w:rsid w:val="3E7659D8"/>
    <w:rsid w:val="3E8135D7"/>
    <w:rsid w:val="3E99733F"/>
    <w:rsid w:val="3EA0686C"/>
    <w:rsid w:val="3EA62261"/>
    <w:rsid w:val="3EB32098"/>
    <w:rsid w:val="3EDA0523"/>
    <w:rsid w:val="3EE37ACF"/>
    <w:rsid w:val="3EEE438A"/>
    <w:rsid w:val="3EF62BA4"/>
    <w:rsid w:val="3EFF3F9C"/>
    <w:rsid w:val="3F096B0E"/>
    <w:rsid w:val="3F1D6997"/>
    <w:rsid w:val="3F1F1507"/>
    <w:rsid w:val="3F2521B4"/>
    <w:rsid w:val="3F275DC3"/>
    <w:rsid w:val="3F2E6058"/>
    <w:rsid w:val="3F333A30"/>
    <w:rsid w:val="3F426617"/>
    <w:rsid w:val="3F5B05CE"/>
    <w:rsid w:val="3F5C316A"/>
    <w:rsid w:val="3F665631"/>
    <w:rsid w:val="3F6B6669"/>
    <w:rsid w:val="3F6E52AC"/>
    <w:rsid w:val="3F6F1681"/>
    <w:rsid w:val="3F6F1E30"/>
    <w:rsid w:val="3F7A49B1"/>
    <w:rsid w:val="3F88058A"/>
    <w:rsid w:val="3F8832EB"/>
    <w:rsid w:val="3F8E63BE"/>
    <w:rsid w:val="3F946AA7"/>
    <w:rsid w:val="3FA62B83"/>
    <w:rsid w:val="3FAE35EC"/>
    <w:rsid w:val="3FBD23EC"/>
    <w:rsid w:val="3FDD5E79"/>
    <w:rsid w:val="3FEB3743"/>
    <w:rsid w:val="3FF12613"/>
    <w:rsid w:val="3FF4638E"/>
    <w:rsid w:val="3FF86EF2"/>
    <w:rsid w:val="40143DCE"/>
    <w:rsid w:val="40145235"/>
    <w:rsid w:val="402E2678"/>
    <w:rsid w:val="40363D89"/>
    <w:rsid w:val="40485FDD"/>
    <w:rsid w:val="404E31E7"/>
    <w:rsid w:val="405D772B"/>
    <w:rsid w:val="406940F8"/>
    <w:rsid w:val="40791D8B"/>
    <w:rsid w:val="407A6407"/>
    <w:rsid w:val="409F7425"/>
    <w:rsid w:val="40B530C4"/>
    <w:rsid w:val="40BB2DD0"/>
    <w:rsid w:val="40C65FC8"/>
    <w:rsid w:val="40C817D6"/>
    <w:rsid w:val="40D7019F"/>
    <w:rsid w:val="40E431D0"/>
    <w:rsid w:val="40F82340"/>
    <w:rsid w:val="40FB4225"/>
    <w:rsid w:val="410507AD"/>
    <w:rsid w:val="41071C63"/>
    <w:rsid w:val="410D3AD4"/>
    <w:rsid w:val="41251E84"/>
    <w:rsid w:val="412B0839"/>
    <w:rsid w:val="41301F61"/>
    <w:rsid w:val="413C02C1"/>
    <w:rsid w:val="414138D6"/>
    <w:rsid w:val="414327FB"/>
    <w:rsid w:val="414A0978"/>
    <w:rsid w:val="417C2DCB"/>
    <w:rsid w:val="41846510"/>
    <w:rsid w:val="418A4B95"/>
    <w:rsid w:val="418C13C1"/>
    <w:rsid w:val="419468EC"/>
    <w:rsid w:val="419C7563"/>
    <w:rsid w:val="41A34241"/>
    <w:rsid w:val="41A66CC9"/>
    <w:rsid w:val="41B10AEB"/>
    <w:rsid w:val="41B81377"/>
    <w:rsid w:val="41BF36E8"/>
    <w:rsid w:val="41C5215E"/>
    <w:rsid w:val="41C66CEA"/>
    <w:rsid w:val="41E304D3"/>
    <w:rsid w:val="41E9410A"/>
    <w:rsid w:val="41F071AD"/>
    <w:rsid w:val="41F12A49"/>
    <w:rsid w:val="41F955AE"/>
    <w:rsid w:val="41FE4420"/>
    <w:rsid w:val="41FF0A9A"/>
    <w:rsid w:val="41FF6CEC"/>
    <w:rsid w:val="4200449D"/>
    <w:rsid w:val="42010CB6"/>
    <w:rsid w:val="42027DA9"/>
    <w:rsid w:val="42093E0C"/>
    <w:rsid w:val="42175B8C"/>
    <w:rsid w:val="421D3616"/>
    <w:rsid w:val="422C73C4"/>
    <w:rsid w:val="423156CE"/>
    <w:rsid w:val="423A3BCC"/>
    <w:rsid w:val="423A5F76"/>
    <w:rsid w:val="424E57D2"/>
    <w:rsid w:val="426A7BC7"/>
    <w:rsid w:val="428117E3"/>
    <w:rsid w:val="42896E6B"/>
    <w:rsid w:val="429947A2"/>
    <w:rsid w:val="429D02B3"/>
    <w:rsid w:val="42A057E2"/>
    <w:rsid w:val="42B26C49"/>
    <w:rsid w:val="42D44B5C"/>
    <w:rsid w:val="42D77FDF"/>
    <w:rsid w:val="42DE5353"/>
    <w:rsid w:val="42E61E56"/>
    <w:rsid w:val="42EA14AB"/>
    <w:rsid w:val="42F02924"/>
    <w:rsid w:val="42FA621E"/>
    <w:rsid w:val="42FC7797"/>
    <w:rsid w:val="430C2BFD"/>
    <w:rsid w:val="430E178E"/>
    <w:rsid w:val="43121681"/>
    <w:rsid w:val="43133FB3"/>
    <w:rsid w:val="43142F4E"/>
    <w:rsid w:val="431A4724"/>
    <w:rsid w:val="431C0341"/>
    <w:rsid w:val="431C0C38"/>
    <w:rsid w:val="431C2305"/>
    <w:rsid w:val="43223120"/>
    <w:rsid w:val="43291E77"/>
    <w:rsid w:val="432E041B"/>
    <w:rsid w:val="433A6FE6"/>
    <w:rsid w:val="43411337"/>
    <w:rsid w:val="43480868"/>
    <w:rsid w:val="4350713C"/>
    <w:rsid w:val="436653E0"/>
    <w:rsid w:val="436D5ED7"/>
    <w:rsid w:val="437252D2"/>
    <w:rsid w:val="43817CD9"/>
    <w:rsid w:val="43850761"/>
    <w:rsid w:val="43861DCA"/>
    <w:rsid w:val="439F0C3E"/>
    <w:rsid w:val="43A8641B"/>
    <w:rsid w:val="43AD6C5F"/>
    <w:rsid w:val="43C4245E"/>
    <w:rsid w:val="43C4431A"/>
    <w:rsid w:val="43C57AC2"/>
    <w:rsid w:val="43C66112"/>
    <w:rsid w:val="43CD3D97"/>
    <w:rsid w:val="43CE781A"/>
    <w:rsid w:val="43F45A72"/>
    <w:rsid w:val="43F64732"/>
    <w:rsid w:val="43FB44BF"/>
    <w:rsid w:val="441D3589"/>
    <w:rsid w:val="442D7CF1"/>
    <w:rsid w:val="443E45BB"/>
    <w:rsid w:val="44467DC5"/>
    <w:rsid w:val="44685685"/>
    <w:rsid w:val="446D1C84"/>
    <w:rsid w:val="44843071"/>
    <w:rsid w:val="44896D41"/>
    <w:rsid w:val="448A22A1"/>
    <w:rsid w:val="448C41F1"/>
    <w:rsid w:val="449666CC"/>
    <w:rsid w:val="449C50B2"/>
    <w:rsid w:val="44B00772"/>
    <w:rsid w:val="44B72A72"/>
    <w:rsid w:val="44B951CC"/>
    <w:rsid w:val="44BA2F92"/>
    <w:rsid w:val="44C2231B"/>
    <w:rsid w:val="44C922B6"/>
    <w:rsid w:val="44CD14E0"/>
    <w:rsid w:val="44D07125"/>
    <w:rsid w:val="44D16CA0"/>
    <w:rsid w:val="44D34460"/>
    <w:rsid w:val="44D94EEE"/>
    <w:rsid w:val="44DD1F00"/>
    <w:rsid w:val="44F20B0B"/>
    <w:rsid w:val="44F867C4"/>
    <w:rsid w:val="450F1931"/>
    <w:rsid w:val="4515248C"/>
    <w:rsid w:val="451A0FFC"/>
    <w:rsid w:val="452B01AC"/>
    <w:rsid w:val="452E5F4C"/>
    <w:rsid w:val="452F11BA"/>
    <w:rsid w:val="4530540F"/>
    <w:rsid w:val="455B0474"/>
    <w:rsid w:val="45612018"/>
    <w:rsid w:val="45631A53"/>
    <w:rsid w:val="45684BA8"/>
    <w:rsid w:val="456E5D9E"/>
    <w:rsid w:val="457377A0"/>
    <w:rsid w:val="457E617A"/>
    <w:rsid w:val="458946E9"/>
    <w:rsid w:val="45907ECA"/>
    <w:rsid w:val="45941E41"/>
    <w:rsid w:val="45A47C0E"/>
    <w:rsid w:val="45A61D26"/>
    <w:rsid w:val="45A6530F"/>
    <w:rsid w:val="45AA1D47"/>
    <w:rsid w:val="45AC0F39"/>
    <w:rsid w:val="45AE149A"/>
    <w:rsid w:val="45BA4699"/>
    <w:rsid w:val="45BC2C35"/>
    <w:rsid w:val="45CA13BF"/>
    <w:rsid w:val="45D40283"/>
    <w:rsid w:val="45E411C7"/>
    <w:rsid w:val="45E8717C"/>
    <w:rsid w:val="45EA1A61"/>
    <w:rsid w:val="46256F3D"/>
    <w:rsid w:val="462F76BE"/>
    <w:rsid w:val="46343FCC"/>
    <w:rsid w:val="46346BC5"/>
    <w:rsid w:val="46413258"/>
    <w:rsid w:val="46577FD6"/>
    <w:rsid w:val="46592743"/>
    <w:rsid w:val="46646B38"/>
    <w:rsid w:val="466A3095"/>
    <w:rsid w:val="466F0FC8"/>
    <w:rsid w:val="467A1037"/>
    <w:rsid w:val="468233F1"/>
    <w:rsid w:val="46837861"/>
    <w:rsid w:val="469B5B26"/>
    <w:rsid w:val="46AC119C"/>
    <w:rsid w:val="46B3057F"/>
    <w:rsid w:val="46BC2B7C"/>
    <w:rsid w:val="46D407EA"/>
    <w:rsid w:val="46D87F99"/>
    <w:rsid w:val="46D955A7"/>
    <w:rsid w:val="46E11BF8"/>
    <w:rsid w:val="46FC2DB3"/>
    <w:rsid w:val="4711461B"/>
    <w:rsid w:val="47133957"/>
    <w:rsid w:val="47393F5C"/>
    <w:rsid w:val="473C004B"/>
    <w:rsid w:val="47413570"/>
    <w:rsid w:val="47413903"/>
    <w:rsid w:val="47453951"/>
    <w:rsid w:val="47465DA3"/>
    <w:rsid w:val="47497CA6"/>
    <w:rsid w:val="47504F42"/>
    <w:rsid w:val="475C5BA9"/>
    <w:rsid w:val="475F3D89"/>
    <w:rsid w:val="47697A3A"/>
    <w:rsid w:val="477318DA"/>
    <w:rsid w:val="4792434A"/>
    <w:rsid w:val="47A07E0C"/>
    <w:rsid w:val="47A3636C"/>
    <w:rsid w:val="47AB7098"/>
    <w:rsid w:val="47AF15F0"/>
    <w:rsid w:val="47B972D2"/>
    <w:rsid w:val="47C61316"/>
    <w:rsid w:val="47CD0E12"/>
    <w:rsid w:val="47CD788F"/>
    <w:rsid w:val="47CE4885"/>
    <w:rsid w:val="47D14C87"/>
    <w:rsid w:val="47F3549D"/>
    <w:rsid w:val="47F40F55"/>
    <w:rsid w:val="47FE18FD"/>
    <w:rsid w:val="480663B2"/>
    <w:rsid w:val="480D64B5"/>
    <w:rsid w:val="48117779"/>
    <w:rsid w:val="48163BF2"/>
    <w:rsid w:val="48183A6C"/>
    <w:rsid w:val="48344333"/>
    <w:rsid w:val="485A39B9"/>
    <w:rsid w:val="48656450"/>
    <w:rsid w:val="4870272E"/>
    <w:rsid w:val="487E2178"/>
    <w:rsid w:val="48936277"/>
    <w:rsid w:val="48943F06"/>
    <w:rsid w:val="489B6391"/>
    <w:rsid w:val="48A62992"/>
    <w:rsid w:val="48AE776F"/>
    <w:rsid w:val="48B122FB"/>
    <w:rsid w:val="48B65B6A"/>
    <w:rsid w:val="48C641F5"/>
    <w:rsid w:val="48CA4EAD"/>
    <w:rsid w:val="48D662CD"/>
    <w:rsid w:val="48DA4754"/>
    <w:rsid w:val="48EA4DA8"/>
    <w:rsid w:val="48EB6A34"/>
    <w:rsid w:val="48F42D19"/>
    <w:rsid w:val="491155AE"/>
    <w:rsid w:val="49156F4F"/>
    <w:rsid w:val="49172B6D"/>
    <w:rsid w:val="491C63D6"/>
    <w:rsid w:val="49334858"/>
    <w:rsid w:val="493A3AC3"/>
    <w:rsid w:val="493F5AC9"/>
    <w:rsid w:val="49407C65"/>
    <w:rsid w:val="494D2A33"/>
    <w:rsid w:val="4954051F"/>
    <w:rsid w:val="496A0C72"/>
    <w:rsid w:val="496A250A"/>
    <w:rsid w:val="49795102"/>
    <w:rsid w:val="498413AD"/>
    <w:rsid w:val="499441BE"/>
    <w:rsid w:val="49A53D6E"/>
    <w:rsid w:val="49A83247"/>
    <w:rsid w:val="49B616A7"/>
    <w:rsid w:val="49B82568"/>
    <w:rsid w:val="49CA4084"/>
    <w:rsid w:val="49DB003F"/>
    <w:rsid w:val="49DC7715"/>
    <w:rsid w:val="49DF11B1"/>
    <w:rsid w:val="49E85645"/>
    <w:rsid w:val="49ED7F9F"/>
    <w:rsid w:val="49F40624"/>
    <w:rsid w:val="49F819DA"/>
    <w:rsid w:val="49FC3D65"/>
    <w:rsid w:val="4A023139"/>
    <w:rsid w:val="4A051658"/>
    <w:rsid w:val="4A085ECC"/>
    <w:rsid w:val="4A1E7366"/>
    <w:rsid w:val="4A271BA8"/>
    <w:rsid w:val="4A2861F7"/>
    <w:rsid w:val="4A2A0E71"/>
    <w:rsid w:val="4A45195C"/>
    <w:rsid w:val="4A455BBC"/>
    <w:rsid w:val="4A510301"/>
    <w:rsid w:val="4A527BD5"/>
    <w:rsid w:val="4A5E3966"/>
    <w:rsid w:val="4A617E1F"/>
    <w:rsid w:val="4A6D0C58"/>
    <w:rsid w:val="4A776436"/>
    <w:rsid w:val="4A7B576F"/>
    <w:rsid w:val="4A830DEF"/>
    <w:rsid w:val="4A881849"/>
    <w:rsid w:val="4A8C1339"/>
    <w:rsid w:val="4A922D06"/>
    <w:rsid w:val="4A952928"/>
    <w:rsid w:val="4A9633BB"/>
    <w:rsid w:val="4A980864"/>
    <w:rsid w:val="4A9B7588"/>
    <w:rsid w:val="4AA62367"/>
    <w:rsid w:val="4ABF3E74"/>
    <w:rsid w:val="4AC20907"/>
    <w:rsid w:val="4AC24D5B"/>
    <w:rsid w:val="4AC40AD3"/>
    <w:rsid w:val="4AC565F9"/>
    <w:rsid w:val="4AD45DB1"/>
    <w:rsid w:val="4AE42460"/>
    <w:rsid w:val="4AF561A9"/>
    <w:rsid w:val="4AFD038A"/>
    <w:rsid w:val="4B060827"/>
    <w:rsid w:val="4B061159"/>
    <w:rsid w:val="4B0B4954"/>
    <w:rsid w:val="4B1618EA"/>
    <w:rsid w:val="4B1A4164"/>
    <w:rsid w:val="4B231672"/>
    <w:rsid w:val="4B240F7E"/>
    <w:rsid w:val="4B270604"/>
    <w:rsid w:val="4B2E1930"/>
    <w:rsid w:val="4B371995"/>
    <w:rsid w:val="4B3B1B5A"/>
    <w:rsid w:val="4B4552EE"/>
    <w:rsid w:val="4B4B6AFE"/>
    <w:rsid w:val="4B4D0812"/>
    <w:rsid w:val="4B5F07FC"/>
    <w:rsid w:val="4B667DDC"/>
    <w:rsid w:val="4B735938"/>
    <w:rsid w:val="4B7E44A2"/>
    <w:rsid w:val="4B937702"/>
    <w:rsid w:val="4B9571A4"/>
    <w:rsid w:val="4BA24842"/>
    <w:rsid w:val="4BBD5522"/>
    <w:rsid w:val="4BBE132D"/>
    <w:rsid w:val="4BC43509"/>
    <w:rsid w:val="4BDA60D4"/>
    <w:rsid w:val="4BE1573A"/>
    <w:rsid w:val="4BE86753"/>
    <w:rsid w:val="4BEE50DF"/>
    <w:rsid w:val="4BF0032F"/>
    <w:rsid w:val="4BF41002"/>
    <w:rsid w:val="4BF70434"/>
    <w:rsid w:val="4C126EA2"/>
    <w:rsid w:val="4C2D2174"/>
    <w:rsid w:val="4C3506D3"/>
    <w:rsid w:val="4C377F4A"/>
    <w:rsid w:val="4C392DFB"/>
    <w:rsid w:val="4C4144EB"/>
    <w:rsid w:val="4C447BCA"/>
    <w:rsid w:val="4C4A0649"/>
    <w:rsid w:val="4C4F25BE"/>
    <w:rsid w:val="4C5F1859"/>
    <w:rsid w:val="4C6A56AA"/>
    <w:rsid w:val="4C714C8A"/>
    <w:rsid w:val="4C787D29"/>
    <w:rsid w:val="4C7B0A31"/>
    <w:rsid w:val="4C7E5ECA"/>
    <w:rsid w:val="4C833406"/>
    <w:rsid w:val="4C876AA5"/>
    <w:rsid w:val="4C877BD3"/>
    <w:rsid w:val="4C982217"/>
    <w:rsid w:val="4CA23096"/>
    <w:rsid w:val="4CAA6EF6"/>
    <w:rsid w:val="4CB6269D"/>
    <w:rsid w:val="4CB70AAE"/>
    <w:rsid w:val="4CB8065F"/>
    <w:rsid w:val="4CBD0F0B"/>
    <w:rsid w:val="4CBF6F9A"/>
    <w:rsid w:val="4CD8797A"/>
    <w:rsid w:val="4CEC7AA7"/>
    <w:rsid w:val="4CEF795D"/>
    <w:rsid w:val="4CF0322E"/>
    <w:rsid w:val="4CF17B79"/>
    <w:rsid w:val="4CFD02CC"/>
    <w:rsid w:val="4D0359C4"/>
    <w:rsid w:val="4D0E00FB"/>
    <w:rsid w:val="4D167484"/>
    <w:rsid w:val="4D176606"/>
    <w:rsid w:val="4D183358"/>
    <w:rsid w:val="4D1D096E"/>
    <w:rsid w:val="4D29135C"/>
    <w:rsid w:val="4D2F4684"/>
    <w:rsid w:val="4D32473B"/>
    <w:rsid w:val="4D392D21"/>
    <w:rsid w:val="4D3F4AC9"/>
    <w:rsid w:val="4D473D37"/>
    <w:rsid w:val="4D51113A"/>
    <w:rsid w:val="4D5F2CDC"/>
    <w:rsid w:val="4D605D9F"/>
    <w:rsid w:val="4D657674"/>
    <w:rsid w:val="4D7553C0"/>
    <w:rsid w:val="4D8D5422"/>
    <w:rsid w:val="4D90451E"/>
    <w:rsid w:val="4D9415C3"/>
    <w:rsid w:val="4D981DA3"/>
    <w:rsid w:val="4DB318D6"/>
    <w:rsid w:val="4DB50BA7"/>
    <w:rsid w:val="4DB76DC6"/>
    <w:rsid w:val="4DC7451C"/>
    <w:rsid w:val="4DC9608A"/>
    <w:rsid w:val="4DCA28A4"/>
    <w:rsid w:val="4DCC3EE3"/>
    <w:rsid w:val="4DD70B1D"/>
    <w:rsid w:val="4DDA23BB"/>
    <w:rsid w:val="4DEC4FB0"/>
    <w:rsid w:val="4E075D8A"/>
    <w:rsid w:val="4E102FD8"/>
    <w:rsid w:val="4E230BB9"/>
    <w:rsid w:val="4E2B207B"/>
    <w:rsid w:val="4E312338"/>
    <w:rsid w:val="4E37554B"/>
    <w:rsid w:val="4E3C2C89"/>
    <w:rsid w:val="4E46150C"/>
    <w:rsid w:val="4E487D84"/>
    <w:rsid w:val="4E4A582E"/>
    <w:rsid w:val="4E4F3924"/>
    <w:rsid w:val="4E5158CF"/>
    <w:rsid w:val="4E533960"/>
    <w:rsid w:val="4E5A5099"/>
    <w:rsid w:val="4E6D76D3"/>
    <w:rsid w:val="4E7009DB"/>
    <w:rsid w:val="4E73035E"/>
    <w:rsid w:val="4E7F6DEA"/>
    <w:rsid w:val="4E831402"/>
    <w:rsid w:val="4E843C7D"/>
    <w:rsid w:val="4E870795"/>
    <w:rsid w:val="4E885A3E"/>
    <w:rsid w:val="4E94521C"/>
    <w:rsid w:val="4E95637D"/>
    <w:rsid w:val="4EA330F5"/>
    <w:rsid w:val="4EA540CD"/>
    <w:rsid w:val="4EAA6CCF"/>
    <w:rsid w:val="4EAF3ED8"/>
    <w:rsid w:val="4EC00FAD"/>
    <w:rsid w:val="4EC91D49"/>
    <w:rsid w:val="4ECF5FAD"/>
    <w:rsid w:val="4EDA6DCB"/>
    <w:rsid w:val="4EF1750D"/>
    <w:rsid w:val="4EF75933"/>
    <w:rsid w:val="4EFB6C2C"/>
    <w:rsid w:val="4EFC18B0"/>
    <w:rsid w:val="4F0313C7"/>
    <w:rsid w:val="4F117727"/>
    <w:rsid w:val="4F15145D"/>
    <w:rsid w:val="4F1638C7"/>
    <w:rsid w:val="4F184CEF"/>
    <w:rsid w:val="4F1E3A0E"/>
    <w:rsid w:val="4F1E54BC"/>
    <w:rsid w:val="4F292927"/>
    <w:rsid w:val="4F3359F8"/>
    <w:rsid w:val="4F3B1580"/>
    <w:rsid w:val="4F461B54"/>
    <w:rsid w:val="4F473B07"/>
    <w:rsid w:val="4F4C2536"/>
    <w:rsid w:val="4F4F0B87"/>
    <w:rsid w:val="4F507A2B"/>
    <w:rsid w:val="4F531265"/>
    <w:rsid w:val="4F5A6E3D"/>
    <w:rsid w:val="4F615A4A"/>
    <w:rsid w:val="4F6B58A1"/>
    <w:rsid w:val="4F701229"/>
    <w:rsid w:val="4F825528"/>
    <w:rsid w:val="4F8C7708"/>
    <w:rsid w:val="4F9843DC"/>
    <w:rsid w:val="4F99271D"/>
    <w:rsid w:val="4F9C77F0"/>
    <w:rsid w:val="4F9D5D96"/>
    <w:rsid w:val="4FAA5BF7"/>
    <w:rsid w:val="4FB21842"/>
    <w:rsid w:val="4FB70A5F"/>
    <w:rsid w:val="4FC31EC1"/>
    <w:rsid w:val="4FC62A8C"/>
    <w:rsid w:val="4FCA62BD"/>
    <w:rsid w:val="4FD25A40"/>
    <w:rsid w:val="4FD52511"/>
    <w:rsid w:val="4FDE2637"/>
    <w:rsid w:val="4FE20F0D"/>
    <w:rsid w:val="4FE51552"/>
    <w:rsid w:val="4FF268D4"/>
    <w:rsid w:val="4FF308D8"/>
    <w:rsid w:val="4FF361FE"/>
    <w:rsid w:val="4FF44001"/>
    <w:rsid w:val="4FF97471"/>
    <w:rsid w:val="4FFE2387"/>
    <w:rsid w:val="4FFF435B"/>
    <w:rsid w:val="50027A97"/>
    <w:rsid w:val="50081203"/>
    <w:rsid w:val="500E7477"/>
    <w:rsid w:val="50244235"/>
    <w:rsid w:val="50463D38"/>
    <w:rsid w:val="50504C4B"/>
    <w:rsid w:val="50516220"/>
    <w:rsid w:val="505428F9"/>
    <w:rsid w:val="50605FE1"/>
    <w:rsid w:val="50630D8E"/>
    <w:rsid w:val="50644E4B"/>
    <w:rsid w:val="5066684E"/>
    <w:rsid w:val="506B44A0"/>
    <w:rsid w:val="507B7CEA"/>
    <w:rsid w:val="508C6937"/>
    <w:rsid w:val="509176A9"/>
    <w:rsid w:val="50940B0D"/>
    <w:rsid w:val="509C6E7C"/>
    <w:rsid w:val="50AA1F51"/>
    <w:rsid w:val="50AC1D83"/>
    <w:rsid w:val="50AF5D81"/>
    <w:rsid w:val="50B3698C"/>
    <w:rsid w:val="50C03AEB"/>
    <w:rsid w:val="50CF6746"/>
    <w:rsid w:val="50D43228"/>
    <w:rsid w:val="50D90B18"/>
    <w:rsid w:val="50DA0DD8"/>
    <w:rsid w:val="50EE40F2"/>
    <w:rsid w:val="50F21DC2"/>
    <w:rsid w:val="50F419E6"/>
    <w:rsid w:val="5103085B"/>
    <w:rsid w:val="51037E7B"/>
    <w:rsid w:val="5105665C"/>
    <w:rsid w:val="510F7767"/>
    <w:rsid w:val="51114346"/>
    <w:rsid w:val="51133B47"/>
    <w:rsid w:val="512017E6"/>
    <w:rsid w:val="512B7B16"/>
    <w:rsid w:val="51320BA6"/>
    <w:rsid w:val="513D4CBA"/>
    <w:rsid w:val="51426BF5"/>
    <w:rsid w:val="514D35DF"/>
    <w:rsid w:val="51556D35"/>
    <w:rsid w:val="515A65E8"/>
    <w:rsid w:val="515F63CB"/>
    <w:rsid w:val="51603074"/>
    <w:rsid w:val="51616A57"/>
    <w:rsid w:val="5162104E"/>
    <w:rsid w:val="51641120"/>
    <w:rsid w:val="51644DBE"/>
    <w:rsid w:val="51755215"/>
    <w:rsid w:val="518510D7"/>
    <w:rsid w:val="51B16356"/>
    <w:rsid w:val="51B77244"/>
    <w:rsid w:val="51C2002B"/>
    <w:rsid w:val="51D16135"/>
    <w:rsid w:val="51D54CAF"/>
    <w:rsid w:val="51DB4AD8"/>
    <w:rsid w:val="51E6581B"/>
    <w:rsid w:val="51EA3A61"/>
    <w:rsid w:val="51F36142"/>
    <w:rsid w:val="51F417B7"/>
    <w:rsid w:val="51F54115"/>
    <w:rsid w:val="520513B0"/>
    <w:rsid w:val="520525E8"/>
    <w:rsid w:val="520C3312"/>
    <w:rsid w:val="52106C97"/>
    <w:rsid w:val="521248BB"/>
    <w:rsid w:val="5226204E"/>
    <w:rsid w:val="52287B99"/>
    <w:rsid w:val="523226EF"/>
    <w:rsid w:val="5236459B"/>
    <w:rsid w:val="526037D7"/>
    <w:rsid w:val="52610C12"/>
    <w:rsid w:val="5262110B"/>
    <w:rsid w:val="52694C4D"/>
    <w:rsid w:val="526E6A15"/>
    <w:rsid w:val="527210D0"/>
    <w:rsid w:val="52725202"/>
    <w:rsid w:val="52923265"/>
    <w:rsid w:val="52946FDD"/>
    <w:rsid w:val="52990A97"/>
    <w:rsid w:val="52AE1846"/>
    <w:rsid w:val="52BA78F3"/>
    <w:rsid w:val="52BB6C5F"/>
    <w:rsid w:val="52C635C9"/>
    <w:rsid w:val="52CF2272"/>
    <w:rsid w:val="52D03D8D"/>
    <w:rsid w:val="52D23DD4"/>
    <w:rsid w:val="52D81F66"/>
    <w:rsid w:val="52DE46FC"/>
    <w:rsid w:val="52EC1D55"/>
    <w:rsid w:val="52F00771"/>
    <w:rsid w:val="52F410B5"/>
    <w:rsid w:val="52FF6D66"/>
    <w:rsid w:val="53057EDB"/>
    <w:rsid w:val="53067BD5"/>
    <w:rsid w:val="5322508C"/>
    <w:rsid w:val="532B491B"/>
    <w:rsid w:val="532C190B"/>
    <w:rsid w:val="533378BE"/>
    <w:rsid w:val="53434A56"/>
    <w:rsid w:val="53483C49"/>
    <w:rsid w:val="534A5911"/>
    <w:rsid w:val="534C3CC0"/>
    <w:rsid w:val="534D247D"/>
    <w:rsid w:val="53542144"/>
    <w:rsid w:val="5356090F"/>
    <w:rsid w:val="535624E4"/>
    <w:rsid w:val="53566988"/>
    <w:rsid w:val="53653170"/>
    <w:rsid w:val="537204C3"/>
    <w:rsid w:val="537343CB"/>
    <w:rsid w:val="53803A05"/>
    <w:rsid w:val="538928BA"/>
    <w:rsid w:val="539A4857"/>
    <w:rsid w:val="539E600C"/>
    <w:rsid w:val="53A039CC"/>
    <w:rsid w:val="53A13774"/>
    <w:rsid w:val="53A1505A"/>
    <w:rsid w:val="53A25731"/>
    <w:rsid w:val="53AB6D87"/>
    <w:rsid w:val="53BD07B5"/>
    <w:rsid w:val="53C71634"/>
    <w:rsid w:val="53DF24DA"/>
    <w:rsid w:val="53DF5BA5"/>
    <w:rsid w:val="53E6039F"/>
    <w:rsid w:val="53E85569"/>
    <w:rsid w:val="53EA312B"/>
    <w:rsid w:val="54052E51"/>
    <w:rsid w:val="54063E08"/>
    <w:rsid w:val="54130FBF"/>
    <w:rsid w:val="54136627"/>
    <w:rsid w:val="541B2739"/>
    <w:rsid w:val="541E7711"/>
    <w:rsid w:val="54224ABF"/>
    <w:rsid w:val="54243A0B"/>
    <w:rsid w:val="542E161F"/>
    <w:rsid w:val="543437E8"/>
    <w:rsid w:val="543673C4"/>
    <w:rsid w:val="54492049"/>
    <w:rsid w:val="54534C76"/>
    <w:rsid w:val="54551E1A"/>
    <w:rsid w:val="54594650"/>
    <w:rsid w:val="546047A4"/>
    <w:rsid w:val="546C0D55"/>
    <w:rsid w:val="546E7B0A"/>
    <w:rsid w:val="54790C67"/>
    <w:rsid w:val="54796A6F"/>
    <w:rsid w:val="549C03CB"/>
    <w:rsid w:val="54A01EBB"/>
    <w:rsid w:val="54AC7508"/>
    <w:rsid w:val="54C65448"/>
    <w:rsid w:val="54C706AC"/>
    <w:rsid w:val="54D127C4"/>
    <w:rsid w:val="54D15AE7"/>
    <w:rsid w:val="54D2203E"/>
    <w:rsid w:val="54DC2EBD"/>
    <w:rsid w:val="54DE6C35"/>
    <w:rsid w:val="54E56216"/>
    <w:rsid w:val="54ED2498"/>
    <w:rsid w:val="54F73313"/>
    <w:rsid w:val="54F80955"/>
    <w:rsid w:val="55020B76"/>
    <w:rsid w:val="55027C53"/>
    <w:rsid w:val="551B1975"/>
    <w:rsid w:val="551B1C37"/>
    <w:rsid w:val="551C1193"/>
    <w:rsid w:val="551E7D14"/>
    <w:rsid w:val="552D6F21"/>
    <w:rsid w:val="553B4087"/>
    <w:rsid w:val="55503B49"/>
    <w:rsid w:val="555170A7"/>
    <w:rsid w:val="555E7088"/>
    <w:rsid w:val="55687048"/>
    <w:rsid w:val="556E620B"/>
    <w:rsid w:val="55797008"/>
    <w:rsid w:val="557D3BB1"/>
    <w:rsid w:val="557E2768"/>
    <w:rsid w:val="557E4881"/>
    <w:rsid w:val="55816F93"/>
    <w:rsid w:val="558465DA"/>
    <w:rsid w:val="5587536D"/>
    <w:rsid w:val="558C0CEB"/>
    <w:rsid w:val="558C19E5"/>
    <w:rsid w:val="55911A93"/>
    <w:rsid w:val="559B174B"/>
    <w:rsid w:val="559C01F8"/>
    <w:rsid w:val="55A21A11"/>
    <w:rsid w:val="55AD7AB6"/>
    <w:rsid w:val="55C0229A"/>
    <w:rsid w:val="55C22773"/>
    <w:rsid w:val="55C54E3C"/>
    <w:rsid w:val="55CB6607"/>
    <w:rsid w:val="55CE0CF4"/>
    <w:rsid w:val="55CE340C"/>
    <w:rsid w:val="55DC1025"/>
    <w:rsid w:val="55E224C8"/>
    <w:rsid w:val="55ED6528"/>
    <w:rsid w:val="55F34962"/>
    <w:rsid w:val="55F45B51"/>
    <w:rsid w:val="55F935FB"/>
    <w:rsid w:val="560B2976"/>
    <w:rsid w:val="560F27AD"/>
    <w:rsid w:val="561F7505"/>
    <w:rsid w:val="562F5B61"/>
    <w:rsid w:val="5630534C"/>
    <w:rsid w:val="5634613A"/>
    <w:rsid w:val="5638770B"/>
    <w:rsid w:val="563C139E"/>
    <w:rsid w:val="56473B7E"/>
    <w:rsid w:val="56493273"/>
    <w:rsid w:val="56565AB0"/>
    <w:rsid w:val="56570A4D"/>
    <w:rsid w:val="56586573"/>
    <w:rsid w:val="5659186E"/>
    <w:rsid w:val="565D6F0B"/>
    <w:rsid w:val="565E3CEE"/>
    <w:rsid w:val="5661367A"/>
    <w:rsid w:val="56707D61"/>
    <w:rsid w:val="567479AC"/>
    <w:rsid w:val="567B291E"/>
    <w:rsid w:val="567B6347"/>
    <w:rsid w:val="56875F1A"/>
    <w:rsid w:val="568C7F29"/>
    <w:rsid w:val="56A44CC9"/>
    <w:rsid w:val="56AB6FEB"/>
    <w:rsid w:val="56B22A9C"/>
    <w:rsid w:val="56B5381B"/>
    <w:rsid w:val="56C70D10"/>
    <w:rsid w:val="56CF4EE3"/>
    <w:rsid w:val="56D414F9"/>
    <w:rsid w:val="56D77906"/>
    <w:rsid w:val="56DA0E81"/>
    <w:rsid w:val="56DC25F1"/>
    <w:rsid w:val="56E66E15"/>
    <w:rsid w:val="56F81AF2"/>
    <w:rsid w:val="56F91712"/>
    <w:rsid w:val="56FC2824"/>
    <w:rsid w:val="570E12CE"/>
    <w:rsid w:val="57207CE3"/>
    <w:rsid w:val="57255484"/>
    <w:rsid w:val="574B60D8"/>
    <w:rsid w:val="574B7ABA"/>
    <w:rsid w:val="5759578D"/>
    <w:rsid w:val="575D4A71"/>
    <w:rsid w:val="57710C4F"/>
    <w:rsid w:val="577C44E3"/>
    <w:rsid w:val="57803DD3"/>
    <w:rsid w:val="578A39C6"/>
    <w:rsid w:val="5792501F"/>
    <w:rsid w:val="579F257A"/>
    <w:rsid w:val="57AC6B77"/>
    <w:rsid w:val="57AD55DD"/>
    <w:rsid w:val="57B72A76"/>
    <w:rsid w:val="57BA3465"/>
    <w:rsid w:val="57BE0F71"/>
    <w:rsid w:val="57BE68AA"/>
    <w:rsid w:val="57C3426C"/>
    <w:rsid w:val="57CE1F93"/>
    <w:rsid w:val="57D1129B"/>
    <w:rsid w:val="57D96367"/>
    <w:rsid w:val="57DF5F8B"/>
    <w:rsid w:val="580F0E92"/>
    <w:rsid w:val="581C1581"/>
    <w:rsid w:val="5820370F"/>
    <w:rsid w:val="582523B0"/>
    <w:rsid w:val="58423456"/>
    <w:rsid w:val="5842572D"/>
    <w:rsid w:val="584A41F8"/>
    <w:rsid w:val="584E5E80"/>
    <w:rsid w:val="584F64C3"/>
    <w:rsid w:val="58586CFE"/>
    <w:rsid w:val="586236D9"/>
    <w:rsid w:val="587B677A"/>
    <w:rsid w:val="587E2339"/>
    <w:rsid w:val="58831FCD"/>
    <w:rsid w:val="588743D1"/>
    <w:rsid w:val="5887701A"/>
    <w:rsid w:val="588F61F4"/>
    <w:rsid w:val="58903E5D"/>
    <w:rsid w:val="589956FF"/>
    <w:rsid w:val="58A53169"/>
    <w:rsid w:val="58A93049"/>
    <w:rsid w:val="58B048A5"/>
    <w:rsid w:val="58B23E94"/>
    <w:rsid w:val="58B53346"/>
    <w:rsid w:val="58B628F9"/>
    <w:rsid w:val="58CC0CEC"/>
    <w:rsid w:val="58CF3F27"/>
    <w:rsid w:val="58D07C3F"/>
    <w:rsid w:val="58D425E1"/>
    <w:rsid w:val="58E27DA4"/>
    <w:rsid w:val="58EB3729"/>
    <w:rsid w:val="58EE7772"/>
    <w:rsid w:val="58F5279F"/>
    <w:rsid w:val="59001A74"/>
    <w:rsid w:val="590517A7"/>
    <w:rsid w:val="590A7D68"/>
    <w:rsid w:val="590E0322"/>
    <w:rsid w:val="591025E8"/>
    <w:rsid w:val="59103135"/>
    <w:rsid w:val="59164FF5"/>
    <w:rsid w:val="591968FD"/>
    <w:rsid w:val="591B77BC"/>
    <w:rsid w:val="59260BAB"/>
    <w:rsid w:val="592C01F4"/>
    <w:rsid w:val="59353FFF"/>
    <w:rsid w:val="59357476"/>
    <w:rsid w:val="59441918"/>
    <w:rsid w:val="59450261"/>
    <w:rsid w:val="59515D0E"/>
    <w:rsid w:val="59591735"/>
    <w:rsid w:val="595E22BD"/>
    <w:rsid w:val="59641BE6"/>
    <w:rsid w:val="597162CA"/>
    <w:rsid w:val="597253D8"/>
    <w:rsid w:val="59741916"/>
    <w:rsid w:val="59792BA7"/>
    <w:rsid w:val="59874EA8"/>
    <w:rsid w:val="59A14C26"/>
    <w:rsid w:val="59C0439F"/>
    <w:rsid w:val="59C15EE6"/>
    <w:rsid w:val="59C74CE3"/>
    <w:rsid w:val="59D76613"/>
    <w:rsid w:val="59DB466E"/>
    <w:rsid w:val="59E5230C"/>
    <w:rsid w:val="59E83EFD"/>
    <w:rsid w:val="59EE16C8"/>
    <w:rsid w:val="59F514AE"/>
    <w:rsid w:val="5A1A6484"/>
    <w:rsid w:val="5A262ECA"/>
    <w:rsid w:val="5A291D38"/>
    <w:rsid w:val="5A307F33"/>
    <w:rsid w:val="5A4532B2"/>
    <w:rsid w:val="5A475250"/>
    <w:rsid w:val="5A6434EF"/>
    <w:rsid w:val="5A7366D1"/>
    <w:rsid w:val="5A750FF4"/>
    <w:rsid w:val="5A7E54AF"/>
    <w:rsid w:val="5A943338"/>
    <w:rsid w:val="5AA6642E"/>
    <w:rsid w:val="5AA810BA"/>
    <w:rsid w:val="5AA9568F"/>
    <w:rsid w:val="5AAB413F"/>
    <w:rsid w:val="5ABE2233"/>
    <w:rsid w:val="5ABE3BC9"/>
    <w:rsid w:val="5AC34F41"/>
    <w:rsid w:val="5AD22196"/>
    <w:rsid w:val="5AD76316"/>
    <w:rsid w:val="5AD95F26"/>
    <w:rsid w:val="5AE2396A"/>
    <w:rsid w:val="5B1172BA"/>
    <w:rsid w:val="5B2B0212"/>
    <w:rsid w:val="5B2B4CFE"/>
    <w:rsid w:val="5B44100D"/>
    <w:rsid w:val="5B445318"/>
    <w:rsid w:val="5B467A81"/>
    <w:rsid w:val="5B491393"/>
    <w:rsid w:val="5B4D4065"/>
    <w:rsid w:val="5B4D513D"/>
    <w:rsid w:val="5B555777"/>
    <w:rsid w:val="5B597015"/>
    <w:rsid w:val="5B680C1B"/>
    <w:rsid w:val="5B723851"/>
    <w:rsid w:val="5B80459B"/>
    <w:rsid w:val="5BB659A3"/>
    <w:rsid w:val="5BB71276"/>
    <w:rsid w:val="5BB756DE"/>
    <w:rsid w:val="5BB93F58"/>
    <w:rsid w:val="5BBA3EA6"/>
    <w:rsid w:val="5BC779A8"/>
    <w:rsid w:val="5BD47131"/>
    <w:rsid w:val="5BDF5D95"/>
    <w:rsid w:val="5BEB5ABC"/>
    <w:rsid w:val="5BEC24EE"/>
    <w:rsid w:val="5BFB1D85"/>
    <w:rsid w:val="5BFE7528"/>
    <w:rsid w:val="5BFF2507"/>
    <w:rsid w:val="5C207B33"/>
    <w:rsid w:val="5C266C75"/>
    <w:rsid w:val="5C5617A7"/>
    <w:rsid w:val="5C566FF1"/>
    <w:rsid w:val="5C5E2F67"/>
    <w:rsid w:val="5C5F6124"/>
    <w:rsid w:val="5C650774"/>
    <w:rsid w:val="5C6861CC"/>
    <w:rsid w:val="5C731A30"/>
    <w:rsid w:val="5C7550A1"/>
    <w:rsid w:val="5C8045FB"/>
    <w:rsid w:val="5C831E88"/>
    <w:rsid w:val="5CA34A4F"/>
    <w:rsid w:val="5CBA3AE4"/>
    <w:rsid w:val="5CBB4D82"/>
    <w:rsid w:val="5CC304D6"/>
    <w:rsid w:val="5CC93D27"/>
    <w:rsid w:val="5CDA7340"/>
    <w:rsid w:val="5CE2128D"/>
    <w:rsid w:val="5CE37827"/>
    <w:rsid w:val="5CEA363E"/>
    <w:rsid w:val="5CF040E2"/>
    <w:rsid w:val="5CF41A43"/>
    <w:rsid w:val="5CF8460C"/>
    <w:rsid w:val="5CF86E3A"/>
    <w:rsid w:val="5CFB453D"/>
    <w:rsid w:val="5D015EBD"/>
    <w:rsid w:val="5D061718"/>
    <w:rsid w:val="5D0F0129"/>
    <w:rsid w:val="5D135D0B"/>
    <w:rsid w:val="5D153410"/>
    <w:rsid w:val="5D1A793E"/>
    <w:rsid w:val="5D2A67FE"/>
    <w:rsid w:val="5D316697"/>
    <w:rsid w:val="5D340FE7"/>
    <w:rsid w:val="5D3972A6"/>
    <w:rsid w:val="5D3D122C"/>
    <w:rsid w:val="5D3E1CBB"/>
    <w:rsid w:val="5D3F396E"/>
    <w:rsid w:val="5D4569AE"/>
    <w:rsid w:val="5D5312BF"/>
    <w:rsid w:val="5D543F38"/>
    <w:rsid w:val="5D593549"/>
    <w:rsid w:val="5D5C474D"/>
    <w:rsid w:val="5D66039F"/>
    <w:rsid w:val="5D682C65"/>
    <w:rsid w:val="5D743800"/>
    <w:rsid w:val="5D88619C"/>
    <w:rsid w:val="5D944335"/>
    <w:rsid w:val="5D955B51"/>
    <w:rsid w:val="5D9A34D8"/>
    <w:rsid w:val="5D9B1B67"/>
    <w:rsid w:val="5DA05F7F"/>
    <w:rsid w:val="5DA14CA4"/>
    <w:rsid w:val="5DA441C8"/>
    <w:rsid w:val="5DAA7FFC"/>
    <w:rsid w:val="5DAB5A17"/>
    <w:rsid w:val="5DB751D8"/>
    <w:rsid w:val="5DBC1D1C"/>
    <w:rsid w:val="5DC95069"/>
    <w:rsid w:val="5DEF5A0F"/>
    <w:rsid w:val="5DF136C0"/>
    <w:rsid w:val="5DFD4A01"/>
    <w:rsid w:val="5E20206C"/>
    <w:rsid w:val="5E2467F1"/>
    <w:rsid w:val="5E3C57C9"/>
    <w:rsid w:val="5E437920"/>
    <w:rsid w:val="5E4A0FA4"/>
    <w:rsid w:val="5E4B3809"/>
    <w:rsid w:val="5E680560"/>
    <w:rsid w:val="5E6D51AE"/>
    <w:rsid w:val="5E8410F4"/>
    <w:rsid w:val="5E8755AF"/>
    <w:rsid w:val="5E883C01"/>
    <w:rsid w:val="5E8A5738"/>
    <w:rsid w:val="5E8B3733"/>
    <w:rsid w:val="5E8C14C9"/>
    <w:rsid w:val="5E952C5A"/>
    <w:rsid w:val="5E9F038C"/>
    <w:rsid w:val="5EA61BC8"/>
    <w:rsid w:val="5EA900AA"/>
    <w:rsid w:val="5EB427B5"/>
    <w:rsid w:val="5EB43604"/>
    <w:rsid w:val="5EBD3181"/>
    <w:rsid w:val="5EBF128F"/>
    <w:rsid w:val="5EC3697B"/>
    <w:rsid w:val="5ECA3D86"/>
    <w:rsid w:val="5ECD7E80"/>
    <w:rsid w:val="5ED0645E"/>
    <w:rsid w:val="5ED433DA"/>
    <w:rsid w:val="5ED82947"/>
    <w:rsid w:val="5EE27611"/>
    <w:rsid w:val="5EEA4A69"/>
    <w:rsid w:val="5EEF7F00"/>
    <w:rsid w:val="5EF302B9"/>
    <w:rsid w:val="5EF945A7"/>
    <w:rsid w:val="5F1A2B43"/>
    <w:rsid w:val="5F1D47FE"/>
    <w:rsid w:val="5F232BB5"/>
    <w:rsid w:val="5F242227"/>
    <w:rsid w:val="5F2913F5"/>
    <w:rsid w:val="5F3104E2"/>
    <w:rsid w:val="5F3D72BC"/>
    <w:rsid w:val="5F514364"/>
    <w:rsid w:val="5F5244A8"/>
    <w:rsid w:val="5F711AC8"/>
    <w:rsid w:val="5F797C86"/>
    <w:rsid w:val="5F7B35C7"/>
    <w:rsid w:val="5F8B7350"/>
    <w:rsid w:val="5F905CA7"/>
    <w:rsid w:val="5F9C3D5F"/>
    <w:rsid w:val="5FA665A1"/>
    <w:rsid w:val="5FAA112E"/>
    <w:rsid w:val="5FAD7930"/>
    <w:rsid w:val="5FB41298"/>
    <w:rsid w:val="5FB738F2"/>
    <w:rsid w:val="5FB837BB"/>
    <w:rsid w:val="5FB90268"/>
    <w:rsid w:val="5FBF2E48"/>
    <w:rsid w:val="5FC47EF5"/>
    <w:rsid w:val="5FC77254"/>
    <w:rsid w:val="5FDF49E2"/>
    <w:rsid w:val="5FE96AE4"/>
    <w:rsid w:val="5FF0366C"/>
    <w:rsid w:val="5FF07196"/>
    <w:rsid w:val="5FF138EE"/>
    <w:rsid w:val="60002EF7"/>
    <w:rsid w:val="60031C46"/>
    <w:rsid w:val="6014175D"/>
    <w:rsid w:val="601B1F06"/>
    <w:rsid w:val="60251A11"/>
    <w:rsid w:val="6025248F"/>
    <w:rsid w:val="603B2211"/>
    <w:rsid w:val="60455DBA"/>
    <w:rsid w:val="604712B5"/>
    <w:rsid w:val="604E3EB3"/>
    <w:rsid w:val="606D70BF"/>
    <w:rsid w:val="607D343D"/>
    <w:rsid w:val="6082700E"/>
    <w:rsid w:val="608C1C3B"/>
    <w:rsid w:val="60936B26"/>
    <w:rsid w:val="60940AF0"/>
    <w:rsid w:val="609868E2"/>
    <w:rsid w:val="60A063A5"/>
    <w:rsid w:val="60A800F7"/>
    <w:rsid w:val="60A96349"/>
    <w:rsid w:val="60AC578B"/>
    <w:rsid w:val="60AC5E39"/>
    <w:rsid w:val="60AF00D2"/>
    <w:rsid w:val="60B81ABE"/>
    <w:rsid w:val="60BA125D"/>
    <w:rsid w:val="60C2042D"/>
    <w:rsid w:val="60C3607A"/>
    <w:rsid w:val="60C771DC"/>
    <w:rsid w:val="60CC405A"/>
    <w:rsid w:val="60D47B59"/>
    <w:rsid w:val="60E23212"/>
    <w:rsid w:val="60E26EF2"/>
    <w:rsid w:val="60EA36AB"/>
    <w:rsid w:val="6102314C"/>
    <w:rsid w:val="610A13CD"/>
    <w:rsid w:val="611C1ACD"/>
    <w:rsid w:val="612562C1"/>
    <w:rsid w:val="61293241"/>
    <w:rsid w:val="61333E65"/>
    <w:rsid w:val="6135624B"/>
    <w:rsid w:val="613D4CE3"/>
    <w:rsid w:val="613D7A87"/>
    <w:rsid w:val="61560063"/>
    <w:rsid w:val="617F7D69"/>
    <w:rsid w:val="61804E4A"/>
    <w:rsid w:val="618B5028"/>
    <w:rsid w:val="618D6B50"/>
    <w:rsid w:val="61916060"/>
    <w:rsid w:val="61923281"/>
    <w:rsid w:val="61AA572D"/>
    <w:rsid w:val="61AA6A73"/>
    <w:rsid w:val="61B168CD"/>
    <w:rsid w:val="61B97A8B"/>
    <w:rsid w:val="61BB025F"/>
    <w:rsid w:val="61BF394A"/>
    <w:rsid w:val="61C23EA5"/>
    <w:rsid w:val="61C2534B"/>
    <w:rsid w:val="61C572D3"/>
    <w:rsid w:val="61C87AAF"/>
    <w:rsid w:val="61C90194"/>
    <w:rsid w:val="61CD1C1D"/>
    <w:rsid w:val="61D41DD1"/>
    <w:rsid w:val="61D84809"/>
    <w:rsid w:val="61E12435"/>
    <w:rsid w:val="61E215D8"/>
    <w:rsid w:val="61E22AA6"/>
    <w:rsid w:val="61E4134D"/>
    <w:rsid w:val="61E450E3"/>
    <w:rsid w:val="61F53810"/>
    <w:rsid w:val="61F658B1"/>
    <w:rsid w:val="621418EB"/>
    <w:rsid w:val="62176EB0"/>
    <w:rsid w:val="621B3775"/>
    <w:rsid w:val="621D7A18"/>
    <w:rsid w:val="622174CB"/>
    <w:rsid w:val="622748D6"/>
    <w:rsid w:val="622A2C55"/>
    <w:rsid w:val="622A5624"/>
    <w:rsid w:val="622B5721"/>
    <w:rsid w:val="62364782"/>
    <w:rsid w:val="625B55EB"/>
    <w:rsid w:val="62600C89"/>
    <w:rsid w:val="62605889"/>
    <w:rsid w:val="626A15C8"/>
    <w:rsid w:val="627966E0"/>
    <w:rsid w:val="627A35A1"/>
    <w:rsid w:val="628A03FC"/>
    <w:rsid w:val="628C7827"/>
    <w:rsid w:val="628F27CA"/>
    <w:rsid w:val="62957C63"/>
    <w:rsid w:val="62976D17"/>
    <w:rsid w:val="62A12F38"/>
    <w:rsid w:val="62A5446F"/>
    <w:rsid w:val="62D60F4C"/>
    <w:rsid w:val="62D809D6"/>
    <w:rsid w:val="62DB7BEE"/>
    <w:rsid w:val="62F63230"/>
    <w:rsid w:val="62F80FF1"/>
    <w:rsid w:val="62FE3813"/>
    <w:rsid w:val="6308299E"/>
    <w:rsid w:val="630B43DC"/>
    <w:rsid w:val="63180BF1"/>
    <w:rsid w:val="6319283C"/>
    <w:rsid w:val="632506DC"/>
    <w:rsid w:val="632F68AE"/>
    <w:rsid w:val="63476704"/>
    <w:rsid w:val="63503202"/>
    <w:rsid w:val="63520F1A"/>
    <w:rsid w:val="63526AFD"/>
    <w:rsid w:val="63544375"/>
    <w:rsid w:val="63596030"/>
    <w:rsid w:val="635F632C"/>
    <w:rsid w:val="636109C8"/>
    <w:rsid w:val="636522D0"/>
    <w:rsid w:val="636E73D6"/>
    <w:rsid w:val="637961D2"/>
    <w:rsid w:val="637F15E3"/>
    <w:rsid w:val="638959E2"/>
    <w:rsid w:val="638D7B34"/>
    <w:rsid w:val="6394356A"/>
    <w:rsid w:val="639533E8"/>
    <w:rsid w:val="63A92B04"/>
    <w:rsid w:val="63AF5F0C"/>
    <w:rsid w:val="63B514A9"/>
    <w:rsid w:val="63C61B2C"/>
    <w:rsid w:val="63C81DF8"/>
    <w:rsid w:val="63D218A7"/>
    <w:rsid w:val="63D25BB7"/>
    <w:rsid w:val="63D40BE9"/>
    <w:rsid w:val="63E27750"/>
    <w:rsid w:val="63E36016"/>
    <w:rsid w:val="63E547BF"/>
    <w:rsid w:val="63FC027E"/>
    <w:rsid w:val="63FF5EE3"/>
    <w:rsid w:val="640A2BEA"/>
    <w:rsid w:val="64102431"/>
    <w:rsid w:val="6416019A"/>
    <w:rsid w:val="6438191E"/>
    <w:rsid w:val="643D04D1"/>
    <w:rsid w:val="64402F8C"/>
    <w:rsid w:val="64632CB3"/>
    <w:rsid w:val="646F1658"/>
    <w:rsid w:val="6470717E"/>
    <w:rsid w:val="647130E0"/>
    <w:rsid w:val="64826DE3"/>
    <w:rsid w:val="64845364"/>
    <w:rsid w:val="648474BB"/>
    <w:rsid w:val="64850590"/>
    <w:rsid w:val="648A6492"/>
    <w:rsid w:val="648C74E3"/>
    <w:rsid w:val="649814B0"/>
    <w:rsid w:val="64990B18"/>
    <w:rsid w:val="64A5243A"/>
    <w:rsid w:val="64B33C3A"/>
    <w:rsid w:val="64B41A9D"/>
    <w:rsid w:val="64B50E15"/>
    <w:rsid w:val="64BE25DF"/>
    <w:rsid w:val="64C03C61"/>
    <w:rsid w:val="64C50777"/>
    <w:rsid w:val="64D67E0E"/>
    <w:rsid w:val="64F4459D"/>
    <w:rsid w:val="64F531DE"/>
    <w:rsid w:val="64F837CC"/>
    <w:rsid w:val="651E4E2C"/>
    <w:rsid w:val="6525440C"/>
    <w:rsid w:val="652A557F"/>
    <w:rsid w:val="652F5F01"/>
    <w:rsid w:val="65373578"/>
    <w:rsid w:val="65505F3E"/>
    <w:rsid w:val="65640B55"/>
    <w:rsid w:val="65777187"/>
    <w:rsid w:val="657841F9"/>
    <w:rsid w:val="65792117"/>
    <w:rsid w:val="6580304F"/>
    <w:rsid w:val="659006E7"/>
    <w:rsid w:val="659832B3"/>
    <w:rsid w:val="65987EBF"/>
    <w:rsid w:val="659A13EE"/>
    <w:rsid w:val="659B7EAE"/>
    <w:rsid w:val="65A60E34"/>
    <w:rsid w:val="65B32646"/>
    <w:rsid w:val="65C21C5B"/>
    <w:rsid w:val="65C40D88"/>
    <w:rsid w:val="65C77271"/>
    <w:rsid w:val="65E816C2"/>
    <w:rsid w:val="65EB5724"/>
    <w:rsid w:val="65ED4FD2"/>
    <w:rsid w:val="65FA31A3"/>
    <w:rsid w:val="65FC5490"/>
    <w:rsid w:val="661A20AA"/>
    <w:rsid w:val="661C7699"/>
    <w:rsid w:val="66233125"/>
    <w:rsid w:val="662F3C0C"/>
    <w:rsid w:val="66307700"/>
    <w:rsid w:val="663568D1"/>
    <w:rsid w:val="6646139D"/>
    <w:rsid w:val="664B2E80"/>
    <w:rsid w:val="66565D07"/>
    <w:rsid w:val="66624511"/>
    <w:rsid w:val="666929D0"/>
    <w:rsid w:val="666D4308"/>
    <w:rsid w:val="6672542F"/>
    <w:rsid w:val="66744C9A"/>
    <w:rsid w:val="6697248A"/>
    <w:rsid w:val="669727D3"/>
    <w:rsid w:val="669F0B59"/>
    <w:rsid w:val="66A365A8"/>
    <w:rsid w:val="66A51361"/>
    <w:rsid w:val="66AA6977"/>
    <w:rsid w:val="66B84901"/>
    <w:rsid w:val="66C32A1B"/>
    <w:rsid w:val="66C63E52"/>
    <w:rsid w:val="66C67AC3"/>
    <w:rsid w:val="66CE0307"/>
    <w:rsid w:val="66D103A8"/>
    <w:rsid w:val="66E64A42"/>
    <w:rsid w:val="66F05C4F"/>
    <w:rsid w:val="66F97728"/>
    <w:rsid w:val="67122238"/>
    <w:rsid w:val="671D1EEC"/>
    <w:rsid w:val="671F124A"/>
    <w:rsid w:val="672D1422"/>
    <w:rsid w:val="673E494E"/>
    <w:rsid w:val="67402A44"/>
    <w:rsid w:val="674047A3"/>
    <w:rsid w:val="675B56EB"/>
    <w:rsid w:val="675D1C3B"/>
    <w:rsid w:val="676D01E0"/>
    <w:rsid w:val="677975E8"/>
    <w:rsid w:val="677A33C6"/>
    <w:rsid w:val="678503D0"/>
    <w:rsid w:val="678E0DBF"/>
    <w:rsid w:val="67900365"/>
    <w:rsid w:val="679709DC"/>
    <w:rsid w:val="67AF6FF4"/>
    <w:rsid w:val="67B35107"/>
    <w:rsid w:val="67D9667A"/>
    <w:rsid w:val="67E1461B"/>
    <w:rsid w:val="67F160B8"/>
    <w:rsid w:val="680926DE"/>
    <w:rsid w:val="680F1A0C"/>
    <w:rsid w:val="68192BAE"/>
    <w:rsid w:val="681F6961"/>
    <w:rsid w:val="6823620F"/>
    <w:rsid w:val="682601C6"/>
    <w:rsid w:val="68331E99"/>
    <w:rsid w:val="68357C0A"/>
    <w:rsid w:val="68402A44"/>
    <w:rsid w:val="684C2F1A"/>
    <w:rsid w:val="68610A2F"/>
    <w:rsid w:val="68611E62"/>
    <w:rsid w:val="686151DE"/>
    <w:rsid w:val="686314D3"/>
    <w:rsid w:val="68662D72"/>
    <w:rsid w:val="686C6BB2"/>
    <w:rsid w:val="68725473"/>
    <w:rsid w:val="68732192"/>
    <w:rsid w:val="68794416"/>
    <w:rsid w:val="687E4A61"/>
    <w:rsid w:val="68805514"/>
    <w:rsid w:val="688E25CD"/>
    <w:rsid w:val="68983EEB"/>
    <w:rsid w:val="689C49E5"/>
    <w:rsid w:val="689D6222"/>
    <w:rsid w:val="68A64FDF"/>
    <w:rsid w:val="68AA47C4"/>
    <w:rsid w:val="68C96581"/>
    <w:rsid w:val="68D816DF"/>
    <w:rsid w:val="68DD7DE2"/>
    <w:rsid w:val="68DF7E72"/>
    <w:rsid w:val="68E52F08"/>
    <w:rsid w:val="68F02A74"/>
    <w:rsid w:val="68F13797"/>
    <w:rsid w:val="68F73775"/>
    <w:rsid w:val="6903650C"/>
    <w:rsid w:val="69073480"/>
    <w:rsid w:val="690904AD"/>
    <w:rsid w:val="690C1B6B"/>
    <w:rsid w:val="69213A3F"/>
    <w:rsid w:val="69316E2F"/>
    <w:rsid w:val="69362744"/>
    <w:rsid w:val="6947596E"/>
    <w:rsid w:val="694E2071"/>
    <w:rsid w:val="695B55A3"/>
    <w:rsid w:val="695D3827"/>
    <w:rsid w:val="69620B1A"/>
    <w:rsid w:val="696279DD"/>
    <w:rsid w:val="696C06CC"/>
    <w:rsid w:val="69766163"/>
    <w:rsid w:val="697A3B33"/>
    <w:rsid w:val="69857567"/>
    <w:rsid w:val="69904710"/>
    <w:rsid w:val="69915D43"/>
    <w:rsid w:val="699A7129"/>
    <w:rsid w:val="69A73642"/>
    <w:rsid w:val="69B8087E"/>
    <w:rsid w:val="69BA669D"/>
    <w:rsid w:val="69C7555F"/>
    <w:rsid w:val="69CA0D6F"/>
    <w:rsid w:val="69D12242"/>
    <w:rsid w:val="69D44760"/>
    <w:rsid w:val="69DB6CB2"/>
    <w:rsid w:val="69E55F18"/>
    <w:rsid w:val="69F30635"/>
    <w:rsid w:val="69FC1DD9"/>
    <w:rsid w:val="6A010FA4"/>
    <w:rsid w:val="6A053077"/>
    <w:rsid w:val="6A0942FC"/>
    <w:rsid w:val="6A0E4E95"/>
    <w:rsid w:val="6A230552"/>
    <w:rsid w:val="6A2B7DCF"/>
    <w:rsid w:val="6A2D1F2C"/>
    <w:rsid w:val="6A301E39"/>
    <w:rsid w:val="6A413E51"/>
    <w:rsid w:val="6A486E76"/>
    <w:rsid w:val="6A4B50B0"/>
    <w:rsid w:val="6A4E61B3"/>
    <w:rsid w:val="6A4F286D"/>
    <w:rsid w:val="6A520EC7"/>
    <w:rsid w:val="6A5437CA"/>
    <w:rsid w:val="6A595C5D"/>
    <w:rsid w:val="6A5F7E51"/>
    <w:rsid w:val="6A6520B9"/>
    <w:rsid w:val="6A7E6C5B"/>
    <w:rsid w:val="6A88688D"/>
    <w:rsid w:val="6A8A3554"/>
    <w:rsid w:val="6A9B36E0"/>
    <w:rsid w:val="6AA00BEA"/>
    <w:rsid w:val="6AA638F9"/>
    <w:rsid w:val="6ABC3C1E"/>
    <w:rsid w:val="6AC75530"/>
    <w:rsid w:val="6AD137D5"/>
    <w:rsid w:val="6AD93CCF"/>
    <w:rsid w:val="6AD94909"/>
    <w:rsid w:val="6ADB0366"/>
    <w:rsid w:val="6ADE0AE4"/>
    <w:rsid w:val="6AEF34F2"/>
    <w:rsid w:val="6AF26637"/>
    <w:rsid w:val="6AF87E20"/>
    <w:rsid w:val="6B0678FD"/>
    <w:rsid w:val="6B08141A"/>
    <w:rsid w:val="6B083A4E"/>
    <w:rsid w:val="6B15113D"/>
    <w:rsid w:val="6B2E3779"/>
    <w:rsid w:val="6B322639"/>
    <w:rsid w:val="6B35226A"/>
    <w:rsid w:val="6B384E8D"/>
    <w:rsid w:val="6B3D6961"/>
    <w:rsid w:val="6B482A2D"/>
    <w:rsid w:val="6B507E95"/>
    <w:rsid w:val="6B554E1D"/>
    <w:rsid w:val="6B8679B1"/>
    <w:rsid w:val="6B8974A3"/>
    <w:rsid w:val="6B9809EE"/>
    <w:rsid w:val="6BA112A1"/>
    <w:rsid w:val="6BA402D5"/>
    <w:rsid w:val="6BC02799"/>
    <w:rsid w:val="6BC06E09"/>
    <w:rsid w:val="6BD4557B"/>
    <w:rsid w:val="6BDE13D9"/>
    <w:rsid w:val="6BEA5A68"/>
    <w:rsid w:val="6BF17448"/>
    <w:rsid w:val="6BF40694"/>
    <w:rsid w:val="6BF54310"/>
    <w:rsid w:val="6BFE20A6"/>
    <w:rsid w:val="6C0243DB"/>
    <w:rsid w:val="6C074C71"/>
    <w:rsid w:val="6C0B5E4E"/>
    <w:rsid w:val="6C0C4609"/>
    <w:rsid w:val="6C1855DE"/>
    <w:rsid w:val="6C264CF2"/>
    <w:rsid w:val="6C2B6C85"/>
    <w:rsid w:val="6C3126AD"/>
    <w:rsid w:val="6C3A04AE"/>
    <w:rsid w:val="6C3B4ABE"/>
    <w:rsid w:val="6C416140"/>
    <w:rsid w:val="6C4433CA"/>
    <w:rsid w:val="6C477830"/>
    <w:rsid w:val="6C507FC1"/>
    <w:rsid w:val="6C5607A8"/>
    <w:rsid w:val="6C5F486A"/>
    <w:rsid w:val="6C6238C1"/>
    <w:rsid w:val="6C636C38"/>
    <w:rsid w:val="6C6749F1"/>
    <w:rsid w:val="6C731250"/>
    <w:rsid w:val="6C865F99"/>
    <w:rsid w:val="6C8E1FC4"/>
    <w:rsid w:val="6C906E73"/>
    <w:rsid w:val="6C9D0D2C"/>
    <w:rsid w:val="6CA41911"/>
    <w:rsid w:val="6CA72649"/>
    <w:rsid w:val="6CA72B6B"/>
    <w:rsid w:val="6CAE2ECF"/>
    <w:rsid w:val="6CD01102"/>
    <w:rsid w:val="6CEB7CE9"/>
    <w:rsid w:val="6CEC2AC4"/>
    <w:rsid w:val="6CF573BB"/>
    <w:rsid w:val="6D02406A"/>
    <w:rsid w:val="6D06067F"/>
    <w:rsid w:val="6D162FB8"/>
    <w:rsid w:val="6D196605"/>
    <w:rsid w:val="6D266F73"/>
    <w:rsid w:val="6D3960C2"/>
    <w:rsid w:val="6D40521D"/>
    <w:rsid w:val="6D452D6D"/>
    <w:rsid w:val="6D5255F9"/>
    <w:rsid w:val="6D5B2BFC"/>
    <w:rsid w:val="6D5D6243"/>
    <w:rsid w:val="6D617370"/>
    <w:rsid w:val="6D882129"/>
    <w:rsid w:val="6D8A2592"/>
    <w:rsid w:val="6D8E1340"/>
    <w:rsid w:val="6D910ED1"/>
    <w:rsid w:val="6D91263F"/>
    <w:rsid w:val="6DA73D06"/>
    <w:rsid w:val="6DB34098"/>
    <w:rsid w:val="6DB545B6"/>
    <w:rsid w:val="6DB70A92"/>
    <w:rsid w:val="6DB722A0"/>
    <w:rsid w:val="6DB94BCB"/>
    <w:rsid w:val="6DC63D25"/>
    <w:rsid w:val="6DCA78FF"/>
    <w:rsid w:val="6DD12577"/>
    <w:rsid w:val="6DD644F6"/>
    <w:rsid w:val="6DE02FB4"/>
    <w:rsid w:val="6DE25EB7"/>
    <w:rsid w:val="6DE91F09"/>
    <w:rsid w:val="6DFE0EEF"/>
    <w:rsid w:val="6E0B2899"/>
    <w:rsid w:val="6E1340F2"/>
    <w:rsid w:val="6E204931"/>
    <w:rsid w:val="6E21682C"/>
    <w:rsid w:val="6E236295"/>
    <w:rsid w:val="6E2577A1"/>
    <w:rsid w:val="6E396833"/>
    <w:rsid w:val="6E40308E"/>
    <w:rsid w:val="6E447C45"/>
    <w:rsid w:val="6E484C21"/>
    <w:rsid w:val="6E514CED"/>
    <w:rsid w:val="6E5F4ED3"/>
    <w:rsid w:val="6E674085"/>
    <w:rsid w:val="6E8470B7"/>
    <w:rsid w:val="6E8953A0"/>
    <w:rsid w:val="6E8F7994"/>
    <w:rsid w:val="6EA55B31"/>
    <w:rsid w:val="6EA70CF0"/>
    <w:rsid w:val="6EAC013A"/>
    <w:rsid w:val="6EB563D5"/>
    <w:rsid w:val="6EBB3393"/>
    <w:rsid w:val="6EC10D02"/>
    <w:rsid w:val="6EC37EB3"/>
    <w:rsid w:val="6EC40A86"/>
    <w:rsid w:val="6ECF2371"/>
    <w:rsid w:val="6ED30A35"/>
    <w:rsid w:val="6ED50C51"/>
    <w:rsid w:val="6ED92677"/>
    <w:rsid w:val="6EE110FD"/>
    <w:rsid w:val="6EF914F5"/>
    <w:rsid w:val="6EFD3A3A"/>
    <w:rsid w:val="6F037FAF"/>
    <w:rsid w:val="6F0B1BDA"/>
    <w:rsid w:val="6F0D3F47"/>
    <w:rsid w:val="6F156E93"/>
    <w:rsid w:val="6F225983"/>
    <w:rsid w:val="6F243B5E"/>
    <w:rsid w:val="6F306111"/>
    <w:rsid w:val="6F64734B"/>
    <w:rsid w:val="6F670046"/>
    <w:rsid w:val="6F731B76"/>
    <w:rsid w:val="6F76004B"/>
    <w:rsid w:val="6F7929D2"/>
    <w:rsid w:val="6F7F6D2F"/>
    <w:rsid w:val="6F8A37EA"/>
    <w:rsid w:val="6F933657"/>
    <w:rsid w:val="6F9C351D"/>
    <w:rsid w:val="6FA916F3"/>
    <w:rsid w:val="6FAB07A1"/>
    <w:rsid w:val="6FAC5D4C"/>
    <w:rsid w:val="6FB355EC"/>
    <w:rsid w:val="6FBE0863"/>
    <w:rsid w:val="6FC50034"/>
    <w:rsid w:val="6FC65010"/>
    <w:rsid w:val="6FE339F3"/>
    <w:rsid w:val="6FE5020A"/>
    <w:rsid w:val="6FEC11AE"/>
    <w:rsid w:val="6FF14C4E"/>
    <w:rsid w:val="6FFA5DFC"/>
    <w:rsid w:val="6FFB6495"/>
    <w:rsid w:val="6FFC5590"/>
    <w:rsid w:val="6FFE5F86"/>
    <w:rsid w:val="70045353"/>
    <w:rsid w:val="70090BB2"/>
    <w:rsid w:val="7014337E"/>
    <w:rsid w:val="70151BD7"/>
    <w:rsid w:val="70241CE7"/>
    <w:rsid w:val="702A6D7B"/>
    <w:rsid w:val="70343DC1"/>
    <w:rsid w:val="703731A1"/>
    <w:rsid w:val="70393445"/>
    <w:rsid w:val="703D21B9"/>
    <w:rsid w:val="703F19E8"/>
    <w:rsid w:val="70414CB2"/>
    <w:rsid w:val="704F50FD"/>
    <w:rsid w:val="70583480"/>
    <w:rsid w:val="70590B1F"/>
    <w:rsid w:val="70595296"/>
    <w:rsid w:val="70613A85"/>
    <w:rsid w:val="706D1DD0"/>
    <w:rsid w:val="70781894"/>
    <w:rsid w:val="70840475"/>
    <w:rsid w:val="70856B87"/>
    <w:rsid w:val="70910EF2"/>
    <w:rsid w:val="709A3AE6"/>
    <w:rsid w:val="709E48E6"/>
    <w:rsid w:val="70A27072"/>
    <w:rsid w:val="70A42689"/>
    <w:rsid w:val="70A7069B"/>
    <w:rsid w:val="70A775E7"/>
    <w:rsid w:val="70B76860"/>
    <w:rsid w:val="70BF0109"/>
    <w:rsid w:val="70CA00FA"/>
    <w:rsid w:val="70CD1FB7"/>
    <w:rsid w:val="70D527EE"/>
    <w:rsid w:val="70D66B68"/>
    <w:rsid w:val="70E355D7"/>
    <w:rsid w:val="70E54F3B"/>
    <w:rsid w:val="70E744D9"/>
    <w:rsid w:val="70E76A1A"/>
    <w:rsid w:val="70EB516C"/>
    <w:rsid w:val="71184DC4"/>
    <w:rsid w:val="7129539D"/>
    <w:rsid w:val="713330B6"/>
    <w:rsid w:val="714B060F"/>
    <w:rsid w:val="715B5300"/>
    <w:rsid w:val="717621D3"/>
    <w:rsid w:val="71770F3C"/>
    <w:rsid w:val="71874E92"/>
    <w:rsid w:val="719160BD"/>
    <w:rsid w:val="719B440E"/>
    <w:rsid w:val="71B763EC"/>
    <w:rsid w:val="71D27F8A"/>
    <w:rsid w:val="71D55699"/>
    <w:rsid w:val="71DC6D79"/>
    <w:rsid w:val="71ED1A91"/>
    <w:rsid w:val="71ED1C92"/>
    <w:rsid w:val="71F638BA"/>
    <w:rsid w:val="71FA4D48"/>
    <w:rsid w:val="72004920"/>
    <w:rsid w:val="7201041D"/>
    <w:rsid w:val="720F4ADF"/>
    <w:rsid w:val="721F5367"/>
    <w:rsid w:val="7224311E"/>
    <w:rsid w:val="72357D9B"/>
    <w:rsid w:val="725211EA"/>
    <w:rsid w:val="72553024"/>
    <w:rsid w:val="72562624"/>
    <w:rsid w:val="725C6BCB"/>
    <w:rsid w:val="725E2A7D"/>
    <w:rsid w:val="726B1F4B"/>
    <w:rsid w:val="726C71D7"/>
    <w:rsid w:val="726E11A1"/>
    <w:rsid w:val="72747EFB"/>
    <w:rsid w:val="727732A3"/>
    <w:rsid w:val="72901411"/>
    <w:rsid w:val="72972FDB"/>
    <w:rsid w:val="729D49BE"/>
    <w:rsid w:val="72A03324"/>
    <w:rsid w:val="72A53779"/>
    <w:rsid w:val="72AC3A77"/>
    <w:rsid w:val="72B13AFE"/>
    <w:rsid w:val="72D046E2"/>
    <w:rsid w:val="72E35CAA"/>
    <w:rsid w:val="72E476B5"/>
    <w:rsid w:val="72EA2555"/>
    <w:rsid w:val="72EE408F"/>
    <w:rsid w:val="72EF3F12"/>
    <w:rsid w:val="72F21DD2"/>
    <w:rsid w:val="72FC2B66"/>
    <w:rsid w:val="730476F0"/>
    <w:rsid w:val="730A79CC"/>
    <w:rsid w:val="730E4732"/>
    <w:rsid w:val="731175F0"/>
    <w:rsid w:val="73122968"/>
    <w:rsid w:val="731B297F"/>
    <w:rsid w:val="731F5D5E"/>
    <w:rsid w:val="732D1D10"/>
    <w:rsid w:val="73337CF4"/>
    <w:rsid w:val="733B7CEA"/>
    <w:rsid w:val="73410663"/>
    <w:rsid w:val="73427665"/>
    <w:rsid w:val="734463A5"/>
    <w:rsid w:val="73454071"/>
    <w:rsid w:val="734A767B"/>
    <w:rsid w:val="734D525A"/>
    <w:rsid w:val="734F53AC"/>
    <w:rsid w:val="73591E51"/>
    <w:rsid w:val="735A1725"/>
    <w:rsid w:val="73633FFC"/>
    <w:rsid w:val="736573E9"/>
    <w:rsid w:val="73677C34"/>
    <w:rsid w:val="73683E42"/>
    <w:rsid w:val="73895C81"/>
    <w:rsid w:val="738C257F"/>
    <w:rsid w:val="738D0D90"/>
    <w:rsid w:val="7398018D"/>
    <w:rsid w:val="739F75E3"/>
    <w:rsid w:val="73A0137D"/>
    <w:rsid w:val="73A11102"/>
    <w:rsid w:val="73A429EF"/>
    <w:rsid w:val="73AD51AE"/>
    <w:rsid w:val="73B250BD"/>
    <w:rsid w:val="73B94134"/>
    <w:rsid w:val="73C51AD5"/>
    <w:rsid w:val="73C63868"/>
    <w:rsid w:val="73D27C21"/>
    <w:rsid w:val="73DC213A"/>
    <w:rsid w:val="73E17999"/>
    <w:rsid w:val="73E455C0"/>
    <w:rsid w:val="73E62FB9"/>
    <w:rsid w:val="73E80E61"/>
    <w:rsid w:val="73EF00BF"/>
    <w:rsid w:val="73F37E67"/>
    <w:rsid w:val="740403EF"/>
    <w:rsid w:val="74063B48"/>
    <w:rsid w:val="74093BB4"/>
    <w:rsid w:val="740C0C71"/>
    <w:rsid w:val="740E1324"/>
    <w:rsid w:val="741E793C"/>
    <w:rsid w:val="742C2D16"/>
    <w:rsid w:val="744E31D5"/>
    <w:rsid w:val="744F2D1D"/>
    <w:rsid w:val="74501BFC"/>
    <w:rsid w:val="745443C6"/>
    <w:rsid w:val="74546797"/>
    <w:rsid w:val="745E3944"/>
    <w:rsid w:val="7464627A"/>
    <w:rsid w:val="74666EE0"/>
    <w:rsid w:val="746962D1"/>
    <w:rsid w:val="746E5661"/>
    <w:rsid w:val="747761DC"/>
    <w:rsid w:val="74890514"/>
    <w:rsid w:val="74A05010"/>
    <w:rsid w:val="74A76BEC"/>
    <w:rsid w:val="74AC5FB0"/>
    <w:rsid w:val="74B103A7"/>
    <w:rsid w:val="74B254C2"/>
    <w:rsid w:val="74B60BDD"/>
    <w:rsid w:val="74B72962"/>
    <w:rsid w:val="74B771BF"/>
    <w:rsid w:val="74C224FA"/>
    <w:rsid w:val="74C33B40"/>
    <w:rsid w:val="74CB6028"/>
    <w:rsid w:val="74D806E7"/>
    <w:rsid w:val="74E34BCA"/>
    <w:rsid w:val="74E6509A"/>
    <w:rsid w:val="74EA1964"/>
    <w:rsid w:val="7508755B"/>
    <w:rsid w:val="752057EA"/>
    <w:rsid w:val="752306B6"/>
    <w:rsid w:val="752D51B1"/>
    <w:rsid w:val="7548217D"/>
    <w:rsid w:val="75483F2B"/>
    <w:rsid w:val="75590C84"/>
    <w:rsid w:val="755922BA"/>
    <w:rsid w:val="755A73AA"/>
    <w:rsid w:val="755C48BD"/>
    <w:rsid w:val="755E020C"/>
    <w:rsid w:val="755F71DD"/>
    <w:rsid w:val="75714CA9"/>
    <w:rsid w:val="75B51DBC"/>
    <w:rsid w:val="75C612F4"/>
    <w:rsid w:val="75CA15CD"/>
    <w:rsid w:val="75DB2E7A"/>
    <w:rsid w:val="75E308CD"/>
    <w:rsid w:val="75E517F3"/>
    <w:rsid w:val="75EC395D"/>
    <w:rsid w:val="75EF25F8"/>
    <w:rsid w:val="75FB1FCF"/>
    <w:rsid w:val="760E1754"/>
    <w:rsid w:val="760F67F7"/>
    <w:rsid w:val="761B1C60"/>
    <w:rsid w:val="762326B4"/>
    <w:rsid w:val="7635099D"/>
    <w:rsid w:val="76435269"/>
    <w:rsid w:val="76657D15"/>
    <w:rsid w:val="767568EF"/>
    <w:rsid w:val="7682521B"/>
    <w:rsid w:val="768D63E4"/>
    <w:rsid w:val="7697293C"/>
    <w:rsid w:val="769B452E"/>
    <w:rsid w:val="769B62DC"/>
    <w:rsid w:val="769F0F3F"/>
    <w:rsid w:val="76AE4262"/>
    <w:rsid w:val="76AF2641"/>
    <w:rsid w:val="76C01CE2"/>
    <w:rsid w:val="76C4100C"/>
    <w:rsid w:val="76CF2B2C"/>
    <w:rsid w:val="76D614D6"/>
    <w:rsid w:val="76D86C89"/>
    <w:rsid w:val="76D87530"/>
    <w:rsid w:val="76DF415B"/>
    <w:rsid w:val="76F14A06"/>
    <w:rsid w:val="76F433BC"/>
    <w:rsid w:val="76F51E90"/>
    <w:rsid w:val="772265F9"/>
    <w:rsid w:val="77377932"/>
    <w:rsid w:val="773F73D4"/>
    <w:rsid w:val="77460CDE"/>
    <w:rsid w:val="77586DC0"/>
    <w:rsid w:val="776310AF"/>
    <w:rsid w:val="7765647A"/>
    <w:rsid w:val="77680C23"/>
    <w:rsid w:val="7768146F"/>
    <w:rsid w:val="77683933"/>
    <w:rsid w:val="776E20C2"/>
    <w:rsid w:val="776F2A1A"/>
    <w:rsid w:val="777110D9"/>
    <w:rsid w:val="77762421"/>
    <w:rsid w:val="77764653"/>
    <w:rsid w:val="77786DCC"/>
    <w:rsid w:val="777B58FC"/>
    <w:rsid w:val="77862AE9"/>
    <w:rsid w:val="77A11AA0"/>
    <w:rsid w:val="77AB6DBE"/>
    <w:rsid w:val="77AE65DB"/>
    <w:rsid w:val="77B238DE"/>
    <w:rsid w:val="77B56B1F"/>
    <w:rsid w:val="77B87094"/>
    <w:rsid w:val="77C453E6"/>
    <w:rsid w:val="77D777E8"/>
    <w:rsid w:val="77DF044B"/>
    <w:rsid w:val="77E84F3F"/>
    <w:rsid w:val="77EE482A"/>
    <w:rsid w:val="77F94F8A"/>
    <w:rsid w:val="77FF753F"/>
    <w:rsid w:val="780F09F4"/>
    <w:rsid w:val="781169F6"/>
    <w:rsid w:val="781D0C58"/>
    <w:rsid w:val="781F6A99"/>
    <w:rsid w:val="78240B04"/>
    <w:rsid w:val="782A4018"/>
    <w:rsid w:val="782C7B34"/>
    <w:rsid w:val="78337EBE"/>
    <w:rsid w:val="783425F5"/>
    <w:rsid w:val="783C10A7"/>
    <w:rsid w:val="78417C09"/>
    <w:rsid w:val="784E7B43"/>
    <w:rsid w:val="78514C29"/>
    <w:rsid w:val="78583048"/>
    <w:rsid w:val="785F25EC"/>
    <w:rsid w:val="786111E5"/>
    <w:rsid w:val="78694F4C"/>
    <w:rsid w:val="786A240A"/>
    <w:rsid w:val="787B48AE"/>
    <w:rsid w:val="787F013A"/>
    <w:rsid w:val="789316AC"/>
    <w:rsid w:val="78977B00"/>
    <w:rsid w:val="7899225A"/>
    <w:rsid w:val="78993754"/>
    <w:rsid w:val="78A312D6"/>
    <w:rsid w:val="78A3477C"/>
    <w:rsid w:val="78A90480"/>
    <w:rsid w:val="78B56284"/>
    <w:rsid w:val="78BC253A"/>
    <w:rsid w:val="78BE0922"/>
    <w:rsid w:val="78CA2276"/>
    <w:rsid w:val="78CF4963"/>
    <w:rsid w:val="78E74258"/>
    <w:rsid w:val="78F13B18"/>
    <w:rsid w:val="78FD4415"/>
    <w:rsid w:val="79046DC5"/>
    <w:rsid w:val="790E13B3"/>
    <w:rsid w:val="79132AA2"/>
    <w:rsid w:val="79174EAD"/>
    <w:rsid w:val="791D52C3"/>
    <w:rsid w:val="7922119B"/>
    <w:rsid w:val="793231E2"/>
    <w:rsid w:val="79390854"/>
    <w:rsid w:val="79507FD7"/>
    <w:rsid w:val="795A1886"/>
    <w:rsid w:val="795E1EFD"/>
    <w:rsid w:val="79686159"/>
    <w:rsid w:val="796926C2"/>
    <w:rsid w:val="796A42FA"/>
    <w:rsid w:val="796A5F76"/>
    <w:rsid w:val="79773136"/>
    <w:rsid w:val="798035B6"/>
    <w:rsid w:val="79870B7F"/>
    <w:rsid w:val="79A6789E"/>
    <w:rsid w:val="79A765CE"/>
    <w:rsid w:val="79B95C7B"/>
    <w:rsid w:val="79BF15FF"/>
    <w:rsid w:val="79CE5A63"/>
    <w:rsid w:val="79CF4F27"/>
    <w:rsid w:val="79D078B1"/>
    <w:rsid w:val="79E92FE0"/>
    <w:rsid w:val="79FB10C9"/>
    <w:rsid w:val="79FC0865"/>
    <w:rsid w:val="7A0E4E57"/>
    <w:rsid w:val="7A1D5710"/>
    <w:rsid w:val="7A364017"/>
    <w:rsid w:val="7A37456E"/>
    <w:rsid w:val="7A436DCB"/>
    <w:rsid w:val="7A4847B3"/>
    <w:rsid w:val="7A5073DE"/>
    <w:rsid w:val="7A576B16"/>
    <w:rsid w:val="7A666C01"/>
    <w:rsid w:val="7A752BDD"/>
    <w:rsid w:val="7A7E7D0C"/>
    <w:rsid w:val="7A7F0907"/>
    <w:rsid w:val="7A8265E1"/>
    <w:rsid w:val="7A862E00"/>
    <w:rsid w:val="7AB3778D"/>
    <w:rsid w:val="7ABB3160"/>
    <w:rsid w:val="7ABE4C8F"/>
    <w:rsid w:val="7AD85D51"/>
    <w:rsid w:val="7AE16D5E"/>
    <w:rsid w:val="7AE821FE"/>
    <w:rsid w:val="7AED0FB1"/>
    <w:rsid w:val="7B037DEF"/>
    <w:rsid w:val="7B05710B"/>
    <w:rsid w:val="7B0F54EB"/>
    <w:rsid w:val="7B115B57"/>
    <w:rsid w:val="7B207CB9"/>
    <w:rsid w:val="7B216764"/>
    <w:rsid w:val="7B3928C9"/>
    <w:rsid w:val="7B3B4BBC"/>
    <w:rsid w:val="7B454A69"/>
    <w:rsid w:val="7B497236"/>
    <w:rsid w:val="7B4C1BE3"/>
    <w:rsid w:val="7B4E7DC1"/>
    <w:rsid w:val="7B542EFE"/>
    <w:rsid w:val="7B5978C7"/>
    <w:rsid w:val="7B5A0722"/>
    <w:rsid w:val="7B5A7969"/>
    <w:rsid w:val="7B5C34E3"/>
    <w:rsid w:val="7B686D42"/>
    <w:rsid w:val="7B694318"/>
    <w:rsid w:val="7B6A33BB"/>
    <w:rsid w:val="7B7A2430"/>
    <w:rsid w:val="7B7F4658"/>
    <w:rsid w:val="7B841746"/>
    <w:rsid w:val="7B845591"/>
    <w:rsid w:val="7B867073"/>
    <w:rsid w:val="7B870C03"/>
    <w:rsid w:val="7B873B1F"/>
    <w:rsid w:val="7B885027"/>
    <w:rsid w:val="7B89215C"/>
    <w:rsid w:val="7B9B0077"/>
    <w:rsid w:val="7BA9153A"/>
    <w:rsid w:val="7BAD2E8B"/>
    <w:rsid w:val="7BAE34BE"/>
    <w:rsid w:val="7BB464E3"/>
    <w:rsid w:val="7BB92188"/>
    <w:rsid w:val="7BBA63B5"/>
    <w:rsid w:val="7BBB7217"/>
    <w:rsid w:val="7BC80664"/>
    <w:rsid w:val="7BD217F3"/>
    <w:rsid w:val="7BE62C71"/>
    <w:rsid w:val="7BE913CC"/>
    <w:rsid w:val="7BF32717"/>
    <w:rsid w:val="7BF63CE0"/>
    <w:rsid w:val="7BF90473"/>
    <w:rsid w:val="7C004FA5"/>
    <w:rsid w:val="7C084414"/>
    <w:rsid w:val="7C0A652A"/>
    <w:rsid w:val="7C0C5976"/>
    <w:rsid w:val="7C293116"/>
    <w:rsid w:val="7C2E201F"/>
    <w:rsid w:val="7C3B7099"/>
    <w:rsid w:val="7C3E7E36"/>
    <w:rsid w:val="7C66112B"/>
    <w:rsid w:val="7C6C5AC7"/>
    <w:rsid w:val="7C7E0232"/>
    <w:rsid w:val="7C8A0E47"/>
    <w:rsid w:val="7C8D66C7"/>
    <w:rsid w:val="7C910CE8"/>
    <w:rsid w:val="7C9B6EFF"/>
    <w:rsid w:val="7CA21BC6"/>
    <w:rsid w:val="7CA74BB8"/>
    <w:rsid w:val="7CA83458"/>
    <w:rsid w:val="7CB10D61"/>
    <w:rsid w:val="7CC6544B"/>
    <w:rsid w:val="7CD21520"/>
    <w:rsid w:val="7CDE08F9"/>
    <w:rsid w:val="7CE10D11"/>
    <w:rsid w:val="7CE33239"/>
    <w:rsid w:val="7CE765D9"/>
    <w:rsid w:val="7CEF2EDE"/>
    <w:rsid w:val="7CF36E72"/>
    <w:rsid w:val="7CFC5840"/>
    <w:rsid w:val="7D0239FF"/>
    <w:rsid w:val="7D083683"/>
    <w:rsid w:val="7D0F2D38"/>
    <w:rsid w:val="7D1024BE"/>
    <w:rsid w:val="7D3354C1"/>
    <w:rsid w:val="7D351580"/>
    <w:rsid w:val="7D36043C"/>
    <w:rsid w:val="7D370572"/>
    <w:rsid w:val="7D376633"/>
    <w:rsid w:val="7D3E0641"/>
    <w:rsid w:val="7D405547"/>
    <w:rsid w:val="7D442074"/>
    <w:rsid w:val="7D4C0330"/>
    <w:rsid w:val="7D4F3314"/>
    <w:rsid w:val="7D5D253D"/>
    <w:rsid w:val="7D5E40CD"/>
    <w:rsid w:val="7D604694"/>
    <w:rsid w:val="7D626C07"/>
    <w:rsid w:val="7D6412F0"/>
    <w:rsid w:val="7D714F89"/>
    <w:rsid w:val="7D7401BE"/>
    <w:rsid w:val="7D797094"/>
    <w:rsid w:val="7D7A7D07"/>
    <w:rsid w:val="7D8E0949"/>
    <w:rsid w:val="7D9817C8"/>
    <w:rsid w:val="7D9C7CEB"/>
    <w:rsid w:val="7DA0242A"/>
    <w:rsid w:val="7DA168CE"/>
    <w:rsid w:val="7DB212A4"/>
    <w:rsid w:val="7DB3215D"/>
    <w:rsid w:val="7DB605CC"/>
    <w:rsid w:val="7DCB1BA8"/>
    <w:rsid w:val="7DCD56F2"/>
    <w:rsid w:val="7DD54060"/>
    <w:rsid w:val="7DE41504"/>
    <w:rsid w:val="7DED579E"/>
    <w:rsid w:val="7DF03D84"/>
    <w:rsid w:val="7DF67E62"/>
    <w:rsid w:val="7DF72CB2"/>
    <w:rsid w:val="7E01111B"/>
    <w:rsid w:val="7E0312C9"/>
    <w:rsid w:val="7E0E0B1F"/>
    <w:rsid w:val="7E1C2DBA"/>
    <w:rsid w:val="7E2766A8"/>
    <w:rsid w:val="7E2E4D26"/>
    <w:rsid w:val="7E59233C"/>
    <w:rsid w:val="7E5C67AA"/>
    <w:rsid w:val="7E6E2D51"/>
    <w:rsid w:val="7E7E6C0F"/>
    <w:rsid w:val="7E843AFA"/>
    <w:rsid w:val="7E92219F"/>
    <w:rsid w:val="7E926217"/>
    <w:rsid w:val="7EA178DA"/>
    <w:rsid w:val="7EA5419C"/>
    <w:rsid w:val="7EA844FD"/>
    <w:rsid w:val="7EBA34E2"/>
    <w:rsid w:val="7EC9775F"/>
    <w:rsid w:val="7ECE041A"/>
    <w:rsid w:val="7EDA4685"/>
    <w:rsid w:val="7EDB7BBE"/>
    <w:rsid w:val="7EEC20E2"/>
    <w:rsid w:val="7EF90044"/>
    <w:rsid w:val="7EFA5645"/>
    <w:rsid w:val="7F001CE7"/>
    <w:rsid w:val="7F155B18"/>
    <w:rsid w:val="7F1701C9"/>
    <w:rsid w:val="7F24502A"/>
    <w:rsid w:val="7F315A30"/>
    <w:rsid w:val="7F400484"/>
    <w:rsid w:val="7F4B7FF1"/>
    <w:rsid w:val="7F4E2C4A"/>
    <w:rsid w:val="7F657A81"/>
    <w:rsid w:val="7F6B2DC1"/>
    <w:rsid w:val="7F6E56E3"/>
    <w:rsid w:val="7F712512"/>
    <w:rsid w:val="7F7441A4"/>
    <w:rsid w:val="7F7E49ED"/>
    <w:rsid w:val="7F8246C7"/>
    <w:rsid w:val="7F982054"/>
    <w:rsid w:val="7F9F6B7C"/>
    <w:rsid w:val="7FA54746"/>
    <w:rsid w:val="7FA93818"/>
    <w:rsid w:val="7FCC3150"/>
    <w:rsid w:val="7FD92360"/>
    <w:rsid w:val="7FDD0D7E"/>
    <w:rsid w:val="7FE231CE"/>
    <w:rsid w:val="7FE47E50"/>
    <w:rsid w:val="7FE7680C"/>
    <w:rsid w:val="7FF82A10"/>
    <w:rsid w:val="7FFD3B64"/>
    <w:rsid w:val="EEB5B937"/>
    <w:rsid w:val="FBDF9A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qFormat="1"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1"/>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1"/>
    <w:pPr>
      <w:ind w:left="1194"/>
      <w:outlineLvl w:val="2"/>
    </w:pPr>
    <w:rPr>
      <w:rFonts w:ascii="宋体" w:hAnsi="宋体" w:eastAsia="宋体" w:cs="宋体"/>
      <w:b/>
      <w:bCs/>
      <w:sz w:val="24"/>
      <w:szCs w:val="24"/>
      <w:lang w:val="zh-CN" w:eastAsia="zh-CN" w:bidi="zh-CN"/>
    </w:rPr>
  </w:style>
  <w:style w:type="paragraph" w:styleId="5">
    <w:name w:val="heading 4"/>
    <w:basedOn w:val="1"/>
    <w:next w:val="1"/>
    <w:autoRedefine/>
    <w:unhideWhenUsed/>
    <w:qFormat/>
    <w:uiPriority w:val="0"/>
    <w:pPr>
      <w:keepNext/>
      <w:keepLines/>
      <w:numPr>
        <w:ilvl w:val="3"/>
        <w:numId w:val="1"/>
      </w:numPr>
      <w:spacing w:line="360" w:lineRule="auto"/>
      <w:ind w:firstLine="0" w:firstLineChars="0"/>
      <w:outlineLvl w:val="3"/>
    </w:pPr>
    <w:rPr>
      <w:rFonts w:ascii="Times New Roman" w:hAnsi="Times New Roman"/>
      <w:b/>
      <w:bCs/>
      <w:sz w:val="24"/>
      <w:szCs w:val="28"/>
    </w:rPr>
  </w:style>
  <w:style w:type="character" w:default="1" w:styleId="36">
    <w:name w:val="Default Paragraph Font"/>
    <w:autoRedefine/>
    <w:semiHidden/>
    <w:qFormat/>
    <w:uiPriority w:val="0"/>
  </w:style>
  <w:style w:type="table" w:default="1" w:styleId="33">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rPr>
      <w:rFonts w:eastAsia="宋体"/>
      <w:kern w:val="2"/>
      <w:sz w:val="21"/>
      <w:szCs w:val="24"/>
      <w:lang w:val="en-US" w:eastAsia="zh-CN" w:bidi="ar-SA"/>
    </w:rPr>
  </w:style>
  <w:style w:type="paragraph" w:styleId="7">
    <w:name w:val="caption"/>
    <w:basedOn w:val="1"/>
    <w:next w:val="1"/>
    <w:autoRedefine/>
    <w:qFormat/>
    <w:uiPriority w:val="0"/>
    <w:pPr>
      <w:spacing w:line="240" w:lineRule="auto"/>
      <w:jc w:val="center"/>
    </w:pPr>
    <w:rPr>
      <w:rFonts w:ascii="Times New Roman" w:hAnsi="Times New Roman" w:eastAsia="宋体" w:cs="Times New Roman"/>
      <w:b/>
      <w:szCs w:val="21"/>
    </w:rPr>
  </w:style>
  <w:style w:type="paragraph" w:styleId="8">
    <w:name w:val="annotation text"/>
    <w:basedOn w:val="1"/>
    <w:link w:val="52"/>
    <w:autoRedefine/>
    <w:semiHidden/>
    <w:qFormat/>
    <w:uiPriority w:val="0"/>
    <w:pPr>
      <w:jc w:val="left"/>
    </w:pPr>
    <w:rPr>
      <w:kern w:val="0"/>
      <w:sz w:val="24"/>
      <w:szCs w:val="20"/>
    </w:rPr>
  </w:style>
  <w:style w:type="paragraph" w:styleId="9">
    <w:name w:val="Salutation"/>
    <w:basedOn w:val="1"/>
    <w:next w:val="1"/>
    <w:autoRedefine/>
    <w:qFormat/>
    <w:uiPriority w:val="0"/>
  </w:style>
  <w:style w:type="paragraph" w:styleId="10">
    <w:name w:val="Body Text"/>
    <w:basedOn w:val="1"/>
    <w:next w:val="11"/>
    <w:link w:val="53"/>
    <w:autoRedefine/>
    <w:qFormat/>
    <w:uiPriority w:val="0"/>
    <w:pPr>
      <w:widowControl/>
      <w:snapToGrid w:val="0"/>
      <w:spacing w:line="360" w:lineRule="auto"/>
      <w:ind w:right="0" w:firstLine="720" w:firstLineChars="200"/>
    </w:pPr>
    <w:rPr>
      <w:rFonts w:ascii="Times New Roman" w:hAnsi="Times New Roman" w:eastAsia="宋体"/>
      <w:kern w:val="0"/>
      <w:sz w:val="24"/>
      <w:szCs w:val="20"/>
    </w:rPr>
  </w:style>
  <w:style w:type="paragraph" w:customStyle="1" w:styleId="11">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2">
    <w:name w:val="Body Text Indent"/>
    <w:basedOn w:val="1"/>
    <w:next w:val="1"/>
    <w:link w:val="54"/>
    <w:autoRedefine/>
    <w:qFormat/>
    <w:uiPriority w:val="0"/>
    <w:pPr>
      <w:spacing w:after="120"/>
      <w:ind w:left="420" w:leftChars="200"/>
    </w:pPr>
    <w:rPr>
      <w:kern w:val="0"/>
      <w:sz w:val="24"/>
      <w:szCs w:val="20"/>
    </w:rPr>
  </w:style>
  <w:style w:type="paragraph" w:styleId="13">
    <w:name w:val="List 2"/>
    <w:basedOn w:val="1"/>
    <w:autoRedefine/>
    <w:qFormat/>
    <w:uiPriority w:val="0"/>
    <w:pPr>
      <w:spacing w:line="340" w:lineRule="exact"/>
      <w:ind w:left="0" w:leftChars="0" w:firstLine="0" w:firstLineChars="0"/>
      <w:jc w:val="center"/>
    </w:pPr>
    <w:rPr>
      <w:rFonts w:ascii="Times New Roman" w:hAnsi="Times New Roman" w:eastAsia="宋体"/>
    </w:rPr>
  </w:style>
  <w:style w:type="paragraph" w:styleId="14">
    <w:name w:val="Block Text"/>
    <w:basedOn w:val="1"/>
    <w:autoRedefine/>
    <w:qFormat/>
    <w:uiPriority w:val="0"/>
    <w:pPr>
      <w:adjustRightInd w:val="0"/>
      <w:spacing w:line="500" w:lineRule="exact"/>
      <w:ind w:left="54" w:right="113"/>
      <w:textAlignment w:val="baseline"/>
    </w:pPr>
    <w:rPr>
      <w:rFonts w:ascii="楷体_GB2312" w:eastAsia="楷体_GB2312"/>
      <w:kern w:val="0"/>
      <w:sz w:val="28"/>
    </w:rPr>
  </w:style>
  <w:style w:type="paragraph" w:styleId="15">
    <w:name w:val="Plain Text"/>
    <w:basedOn w:val="1"/>
    <w:next w:val="9"/>
    <w:link w:val="50"/>
    <w:autoRedefine/>
    <w:qFormat/>
    <w:uiPriority w:val="0"/>
    <w:pPr>
      <w:adjustRightInd w:val="0"/>
      <w:spacing w:before="120" w:beforeLines="0" w:line="400" w:lineRule="exact"/>
      <w:textAlignment w:val="baseline"/>
    </w:pPr>
    <w:rPr>
      <w:rFonts w:ascii="宋体" w:hAnsi="Courier New"/>
      <w:spacing w:val="-2"/>
      <w:kern w:val="28"/>
    </w:rPr>
  </w:style>
  <w:style w:type="paragraph" w:styleId="16">
    <w:name w:val="List Bullet 5"/>
    <w:basedOn w:val="1"/>
    <w:autoRedefine/>
    <w:qFormat/>
    <w:uiPriority w:val="0"/>
    <w:pPr>
      <w:numPr>
        <w:ilvl w:val="0"/>
        <w:numId w:val="2"/>
      </w:numPr>
    </w:pPr>
  </w:style>
  <w:style w:type="paragraph" w:styleId="17">
    <w:name w:val="Date"/>
    <w:basedOn w:val="1"/>
    <w:next w:val="1"/>
    <w:link w:val="55"/>
    <w:autoRedefine/>
    <w:qFormat/>
    <w:uiPriority w:val="0"/>
    <w:pPr>
      <w:ind w:left="100" w:leftChars="2500"/>
    </w:pPr>
    <w:rPr>
      <w:kern w:val="0"/>
      <w:sz w:val="24"/>
      <w:szCs w:val="20"/>
    </w:rPr>
  </w:style>
  <w:style w:type="paragraph" w:styleId="18">
    <w:name w:val="Body Text Indent 2"/>
    <w:basedOn w:val="1"/>
    <w:autoRedefine/>
    <w:unhideWhenUsed/>
    <w:qFormat/>
    <w:uiPriority w:val="99"/>
    <w:pPr>
      <w:spacing w:after="120" w:line="480" w:lineRule="auto"/>
      <w:ind w:left="420" w:leftChars="200"/>
    </w:pPr>
  </w:style>
  <w:style w:type="paragraph" w:styleId="19">
    <w:name w:val="Balloon Text"/>
    <w:basedOn w:val="1"/>
    <w:link w:val="56"/>
    <w:autoRedefine/>
    <w:semiHidden/>
    <w:qFormat/>
    <w:uiPriority w:val="0"/>
    <w:rPr>
      <w:kern w:val="0"/>
      <w:sz w:val="18"/>
      <w:szCs w:val="20"/>
    </w:rPr>
  </w:style>
  <w:style w:type="paragraph" w:styleId="20">
    <w:name w:val="footer"/>
    <w:basedOn w:val="1"/>
    <w:link w:val="47"/>
    <w:autoRedefine/>
    <w:qFormat/>
    <w:uiPriority w:val="99"/>
    <w:pPr>
      <w:tabs>
        <w:tab w:val="center" w:pos="4153"/>
        <w:tab w:val="right" w:pos="8306"/>
      </w:tabs>
      <w:snapToGrid w:val="0"/>
      <w:jc w:val="left"/>
    </w:pPr>
    <w:rPr>
      <w:kern w:val="0"/>
      <w:sz w:val="18"/>
      <w:szCs w:val="20"/>
    </w:rPr>
  </w:style>
  <w:style w:type="paragraph" w:styleId="21">
    <w:name w:val="header"/>
    <w:basedOn w:val="1"/>
    <w:next w:val="22"/>
    <w:link w:val="48"/>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2">
    <w:name w:val="样式5"/>
    <w:basedOn w:val="1"/>
    <w:next w:val="1"/>
    <w:autoRedefine/>
    <w:qFormat/>
    <w:uiPriority w:val="0"/>
    <w:pPr>
      <w:tabs>
        <w:tab w:val="left" w:pos="601"/>
        <w:tab w:val="left" w:pos="932"/>
      </w:tabs>
      <w:spacing w:line="520" w:lineRule="exact"/>
      <w:ind w:left="181" w:firstLine="539"/>
    </w:pPr>
    <w:rPr>
      <w:szCs w:val="24"/>
    </w:rPr>
  </w:style>
  <w:style w:type="paragraph" w:styleId="23">
    <w:name w:val="toc 1"/>
    <w:basedOn w:val="1"/>
    <w:next w:val="1"/>
    <w:autoRedefine/>
    <w:qFormat/>
    <w:uiPriority w:val="0"/>
  </w:style>
  <w:style w:type="paragraph" w:styleId="24">
    <w:name w:val="List"/>
    <w:basedOn w:val="1"/>
    <w:autoRedefine/>
    <w:qFormat/>
    <w:uiPriority w:val="0"/>
    <w:pPr>
      <w:ind w:left="200" w:hanging="200" w:hangingChars="200"/>
    </w:pPr>
  </w:style>
  <w:style w:type="paragraph" w:styleId="25">
    <w:name w:val="Body Text Indent 3"/>
    <w:basedOn w:val="1"/>
    <w:autoRedefine/>
    <w:qFormat/>
    <w:uiPriority w:val="0"/>
    <w:pPr>
      <w:spacing w:before="120" w:beforeLines="0" w:line="460" w:lineRule="atLeast"/>
      <w:ind w:firstLine="480" w:firstLineChars="200"/>
    </w:pPr>
    <w:rPr>
      <w:sz w:val="24"/>
    </w:rPr>
  </w:style>
  <w:style w:type="paragraph" w:styleId="26">
    <w:name w:val="table of figures"/>
    <w:basedOn w:val="1"/>
    <w:next w:val="1"/>
    <w:autoRedefine/>
    <w:qFormat/>
    <w:uiPriority w:val="0"/>
    <w:pPr>
      <w:ind w:left="200" w:leftChars="200" w:hanging="200" w:hangingChars="200"/>
    </w:pPr>
    <w:rPr>
      <w:rFonts w:ascii="Times New Roman" w:hAnsi="Times New Roman" w:eastAsia="宋体" w:cs="Times New Roman"/>
      <w:szCs w:val="21"/>
    </w:rPr>
  </w:style>
  <w:style w:type="paragraph" w:styleId="27">
    <w:name w:val="toc 2"/>
    <w:basedOn w:val="1"/>
    <w:next w:val="1"/>
    <w:autoRedefine/>
    <w:qFormat/>
    <w:uiPriority w:val="0"/>
    <w:pPr>
      <w:ind w:left="420" w:leftChars="200"/>
    </w:pPr>
    <w:rPr>
      <w:szCs w:val="24"/>
    </w:rPr>
  </w:style>
  <w:style w:type="paragraph" w:styleId="28">
    <w:name w:val="Body Text 2"/>
    <w:basedOn w:val="1"/>
    <w:autoRedefine/>
    <w:qFormat/>
    <w:uiPriority w:val="0"/>
    <w:pPr>
      <w:spacing w:after="120" w:line="480" w:lineRule="auto"/>
    </w:pPr>
  </w:style>
  <w:style w:type="paragraph" w:styleId="29">
    <w:name w:val="Normal (Web)"/>
    <w:basedOn w:val="1"/>
    <w:link w:val="57"/>
    <w:autoRedefine/>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8"/>
    <w:next w:val="8"/>
    <w:link w:val="58"/>
    <w:autoRedefine/>
    <w:semiHidden/>
    <w:qFormat/>
    <w:uiPriority w:val="0"/>
    <w:rPr>
      <w:b/>
      <w:sz w:val="24"/>
      <w:szCs w:val="20"/>
    </w:rPr>
  </w:style>
  <w:style w:type="paragraph" w:styleId="31">
    <w:name w:val="Body Text First Indent"/>
    <w:basedOn w:val="10"/>
    <w:next w:val="26"/>
    <w:autoRedefine/>
    <w:qFormat/>
    <w:uiPriority w:val="0"/>
    <w:pPr>
      <w:spacing w:before="60"/>
      <w:ind w:firstLine="420"/>
    </w:pPr>
    <w:rPr>
      <w:rFonts w:ascii="Times New Roman" w:hAnsi="Times New Roman" w:eastAsia="宋体" w:cs="Times New Roman"/>
      <w:sz w:val="18"/>
      <w:szCs w:val="24"/>
    </w:rPr>
  </w:style>
  <w:style w:type="paragraph" w:styleId="32">
    <w:name w:val="Body Text First Indent 2"/>
    <w:basedOn w:val="12"/>
    <w:next w:val="1"/>
    <w:autoRedefine/>
    <w:qFormat/>
    <w:uiPriority w:val="0"/>
    <w:pPr>
      <w:spacing w:after="120"/>
      <w:ind w:left="420" w:leftChars="200" w:firstLine="420"/>
    </w:pPr>
  </w:style>
  <w:style w:type="table" w:styleId="34">
    <w:name w:val="Table Grid"/>
    <w:basedOn w:val="33"/>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List 3"/>
    <w:basedOn w:val="33"/>
    <w:autoRedefine/>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styleId="37">
    <w:name w:val="Strong"/>
    <w:basedOn w:val="36"/>
    <w:autoRedefine/>
    <w:qFormat/>
    <w:uiPriority w:val="0"/>
    <w:rPr>
      <w:b/>
      <w:bCs/>
    </w:rPr>
  </w:style>
  <w:style w:type="character" w:styleId="38">
    <w:name w:val="page number"/>
    <w:basedOn w:val="36"/>
    <w:autoRedefine/>
    <w:qFormat/>
    <w:uiPriority w:val="0"/>
  </w:style>
  <w:style w:type="character" w:styleId="39">
    <w:name w:val="Emphasis"/>
    <w:basedOn w:val="36"/>
    <w:autoRedefine/>
    <w:qFormat/>
    <w:uiPriority w:val="0"/>
    <w:rPr>
      <w:i/>
    </w:rPr>
  </w:style>
  <w:style w:type="character" w:styleId="40">
    <w:name w:val="Hyperlink"/>
    <w:basedOn w:val="36"/>
    <w:autoRedefine/>
    <w:qFormat/>
    <w:uiPriority w:val="0"/>
    <w:rPr>
      <w:color w:val="0000FF"/>
      <w:u w:val="single"/>
    </w:rPr>
  </w:style>
  <w:style w:type="character" w:styleId="41">
    <w:name w:val="annotation reference"/>
    <w:autoRedefine/>
    <w:semiHidden/>
    <w:qFormat/>
    <w:uiPriority w:val="0"/>
    <w:rPr>
      <w:sz w:val="21"/>
    </w:rPr>
  </w:style>
  <w:style w:type="paragraph" w:customStyle="1" w:styleId="42">
    <w:name w:val="表格五号"/>
    <w:basedOn w:val="43"/>
    <w:autoRedefine/>
    <w:qFormat/>
    <w:uiPriority w:val="0"/>
    <w:pPr>
      <w:adjustRightInd w:val="0"/>
      <w:snapToGrid w:val="0"/>
      <w:spacing w:line="240" w:lineRule="auto"/>
      <w:jc w:val="center"/>
      <w:textAlignment w:val="center"/>
    </w:pPr>
    <w:rPr>
      <w:rFonts w:ascii="Times New Roman" w:hAnsi="Times New Roman" w:eastAsia="宋体"/>
      <w:kern w:val="0"/>
      <w:sz w:val="21"/>
      <w:szCs w:val="21"/>
    </w:rPr>
  </w:style>
  <w:style w:type="paragraph" w:customStyle="1" w:styleId="43">
    <w:name w:val="表格五号1"/>
    <w:basedOn w:val="1"/>
    <w:qFormat/>
    <w:uiPriority w:val="0"/>
    <w:pPr>
      <w:spacing w:line="240" w:lineRule="auto"/>
      <w:ind w:firstLine="0"/>
      <w:jc w:val="center"/>
      <w:textAlignment w:val="center"/>
    </w:pPr>
    <w:rPr>
      <w:rFonts w:ascii="Times New Roman" w:hAnsi="Times New Roman" w:eastAsia="宋体"/>
      <w:spacing w:val="6"/>
      <w:sz w:val="21"/>
      <w:szCs w:val="21"/>
    </w:rPr>
  </w:style>
  <w:style w:type="paragraph" w:customStyle="1" w:styleId="44">
    <w:name w:val="表格文字"/>
    <w:basedOn w:val="10"/>
    <w:autoRedefine/>
    <w:qFormat/>
    <w:uiPriority w:val="0"/>
    <w:pPr>
      <w:adjustRightInd w:val="0"/>
      <w:snapToGrid w:val="0"/>
      <w:jc w:val="center"/>
    </w:pPr>
    <w:rPr>
      <w:rFonts w:hint="eastAsia" w:ascii="Times New Roman" w:hAnsi="Times New Roman" w:eastAsia="宋体" w:cs="Times New Roman"/>
      <w:sz w:val="21"/>
      <w:szCs w:val="24"/>
    </w:rPr>
  </w:style>
  <w:style w:type="paragraph" w:customStyle="1" w:styleId="45">
    <w:name w:val="正文样式"/>
    <w:basedOn w:val="1"/>
    <w:autoRedefine/>
    <w:qFormat/>
    <w:uiPriority w:val="0"/>
    <w:pPr>
      <w:spacing w:line="360" w:lineRule="auto"/>
      <w:ind w:right="170" w:firstLine="480" w:firstLineChars="200"/>
    </w:pPr>
    <w:rPr>
      <w:rFonts w:ascii="Times New Roman" w:hAnsi="Times New Roman" w:eastAsia="宋体" w:cs="Times New Roman"/>
      <w:sz w:val="24"/>
      <w:szCs w:val="24"/>
    </w:rPr>
  </w:style>
  <w:style w:type="paragraph" w:customStyle="1" w:styleId="46">
    <w:name w:val="正文123"/>
    <w:basedOn w:val="1"/>
    <w:next w:val="15"/>
    <w:autoRedefine/>
    <w:qFormat/>
    <w:uiPriority w:val="0"/>
    <w:pPr>
      <w:snapToGrid/>
      <w:spacing w:line="360" w:lineRule="auto"/>
      <w:ind w:firstLine="480" w:firstLineChars="200"/>
    </w:pPr>
    <w:rPr>
      <w:rFonts w:ascii="Times New Roman" w:hAnsi="Times New Roman" w:eastAsia="宋体"/>
      <w:sz w:val="24"/>
    </w:rPr>
  </w:style>
  <w:style w:type="character" w:customStyle="1" w:styleId="47">
    <w:name w:val="页脚 Char"/>
    <w:link w:val="20"/>
    <w:autoRedefine/>
    <w:qFormat/>
    <w:uiPriority w:val="99"/>
    <w:rPr>
      <w:sz w:val="18"/>
    </w:rPr>
  </w:style>
  <w:style w:type="character" w:customStyle="1" w:styleId="48">
    <w:name w:val="页眉 Char"/>
    <w:link w:val="21"/>
    <w:autoRedefine/>
    <w:qFormat/>
    <w:uiPriority w:val="0"/>
    <w:rPr>
      <w:sz w:val="18"/>
    </w:rPr>
  </w:style>
  <w:style w:type="paragraph" w:customStyle="1" w:styleId="49">
    <w:name w:val="W  正文"/>
    <w:basedOn w:val="1"/>
    <w:autoRedefine/>
    <w:qFormat/>
    <w:uiPriority w:val="0"/>
    <w:pPr>
      <w:wordWrap w:val="0"/>
      <w:spacing w:line="360" w:lineRule="auto"/>
      <w:ind w:firstLine="480" w:firstLineChars="200"/>
    </w:pPr>
    <w:rPr>
      <w:rFonts w:cs="Times New Roman"/>
      <w:sz w:val="24"/>
    </w:rPr>
  </w:style>
  <w:style w:type="character" w:customStyle="1" w:styleId="50">
    <w:name w:val="纯文本 Char"/>
    <w:link w:val="15"/>
    <w:autoRedefine/>
    <w:qFormat/>
    <w:uiPriority w:val="0"/>
    <w:rPr>
      <w:rFonts w:ascii="宋体" w:hAnsi="Courier New"/>
      <w:spacing w:val="-2"/>
      <w:kern w:val="28"/>
    </w:rPr>
  </w:style>
  <w:style w:type="character" w:customStyle="1" w:styleId="51">
    <w:name w:val="标题 1 Char"/>
    <w:link w:val="2"/>
    <w:autoRedefine/>
    <w:qFormat/>
    <w:uiPriority w:val="99"/>
    <w:rPr>
      <w:rFonts w:eastAsia="黑体"/>
      <w:b/>
      <w:bCs/>
      <w:color w:val="000000"/>
      <w:kern w:val="44"/>
      <w:sz w:val="30"/>
      <w:szCs w:val="30"/>
    </w:rPr>
  </w:style>
  <w:style w:type="character" w:customStyle="1" w:styleId="52">
    <w:name w:val="批注文字 Char"/>
    <w:link w:val="8"/>
    <w:autoRedefine/>
    <w:qFormat/>
    <w:uiPriority w:val="0"/>
    <w:rPr>
      <w:rFonts w:ascii="Times New Roman" w:hAnsi="Times New Roman" w:eastAsia="宋体"/>
      <w:sz w:val="24"/>
    </w:rPr>
  </w:style>
  <w:style w:type="character" w:customStyle="1" w:styleId="53">
    <w:name w:val="正文文本 Char1"/>
    <w:link w:val="10"/>
    <w:autoRedefine/>
    <w:qFormat/>
    <w:uiPriority w:val="1"/>
    <w:rPr>
      <w:rFonts w:ascii="宋体" w:hAnsi="宋体" w:eastAsia="宋体" w:cs="宋体"/>
      <w:sz w:val="24"/>
      <w:szCs w:val="24"/>
      <w:lang w:val="zh-CN" w:eastAsia="zh-CN" w:bidi="zh-CN"/>
    </w:rPr>
  </w:style>
  <w:style w:type="character" w:customStyle="1" w:styleId="54">
    <w:name w:val="正文文本缩进 Char"/>
    <w:link w:val="12"/>
    <w:autoRedefine/>
    <w:semiHidden/>
    <w:qFormat/>
    <w:uiPriority w:val="0"/>
    <w:rPr>
      <w:rFonts w:ascii="Times New Roman" w:hAnsi="Times New Roman" w:eastAsia="宋体"/>
      <w:sz w:val="24"/>
    </w:rPr>
  </w:style>
  <w:style w:type="character" w:customStyle="1" w:styleId="55">
    <w:name w:val="日期 Char"/>
    <w:link w:val="17"/>
    <w:autoRedefine/>
    <w:qFormat/>
    <w:uiPriority w:val="0"/>
    <w:rPr>
      <w:rFonts w:ascii="Times New Roman" w:hAnsi="Times New Roman" w:eastAsia="宋体"/>
      <w:sz w:val="24"/>
    </w:rPr>
  </w:style>
  <w:style w:type="character" w:customStyle="1" w:styleId="56">
    <w:name w:val="批注框文本 Char"/>
    <w:link w:val="19"/>
    <w:autoRedefine/>
    <w:semiHidden/>
    <w:qFormat/>
    <w:uiPriority w:val="0"/>
    <w:rPr>
      <w:rFonts w:ascii="Times New Roman" w:hAnsi="Times New Roman" w:eastAsia="宋体"/>
      <w:sz w:val="18"/>
    </w:rPr>
  </w:style>
  <w:style w:type="character" w:customStyle="1" w:styleId="57">
    <w:name w:val="普通(网站) Char"/>
    <w:link w:val="29"/>
    <w:autoRedefine/>
    <w:qFormat/>
    <w:uiPriority w:val="0"/>
    <w:rPr>
      <w:rFonts w:ascii="宋体" w:hAnsi="宋体" w:eastAsia="宋体"/>
      <w:sz w:val="24"/>
    </w:rPr>
  </w:style>
  <w:style w:type="character" w:customStyle="1" w:styleId="58">
    <w:name w:val="批注主题 Char"/>
    <w:link w:val="30"/>
    <w:autoRedefine/>
    <w:semiHidden/>
    <w:qFormat/>
    <w:uiPriority w:val="0"/>
    <w:rPr>
      <w:rFonts w:ascii="Times New Roman" w:hAnsi="Times New Roman" w:eastAsia="宋体"/>
      <w:b/>
      <w:kern w:val="2"/>
      <w:sz w:val="24"/>
    </w:rPr>
  </w:style>
  <w:style w:type="paragraph" w:customStyle="1" w:styleId="59">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customStyle="1" w:styleId="60">
    <w:name w:val="样式 标题 1一级标题 + 段前: 0.5 行 段后: 0.5 行"/>
    <w:basedOn w:val="2"/>
    <w:autoRedefine/>
    <w:qFormat/>
    <w:uiPriority w:val="0"/>
    <w:pPr>
      <w:spacing w:line="320" w:lineRule="exact"/>
      <w:outlineLvl w:val="9"/>
    </w:pPr>
    <w:rPr>
      <w:rFonts w:eastAsia="宋体"/>
      <w:spacing w:val="-6"/>
      <w:sz w:val="21"/>
      <w:szCs w:val="21"/>
    </w:rPr>
  </w:style>
  <w:style w:type="paragraph" w:customStyle="1" w:styleId="61">
    <w:name w:val="Default1"/>
    <w:basedOn w:val="62"/>
    <w:next w:val="6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2">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63">
    <w:name w:val="标题4"/>
    <w:basedOn w:val="1"/>
    <w:next w:val="64"/>
    <w:autoRedefine/>
    <w:qFormat/>
    <w:uiPriority w:val="0"/>
    <w:pPr>
      <w:widowControl w:val="0"/>
      <w:autoSpaceDE/>
      <w:autoSpaceDN/>
      <w:spacing w:before="0" w:after="0" w:line="360" w:lineRule="auto"/>
      <w:ind w:left="496" w:firstLine="0"/>
      <w:jc w:val="both"/>
    </w:pPr>
    <w:rPr>
      <w:rFonts w:ascii="宋体" w:eastAsia="Calibri"/>
      <w:sz w:val="24"/>
    </w:rPr>
  </w:style>
  <w:style w:type="paragraph" w:customStyle="1" w:styleId="64">
    <w:name w:val="表格内正文"/>
    <w:basedOn w:val="1"/>
    <w:next w:val="65"/>
    <w:autoRedefine/>
    <w:qFormat/>
    <w:uiPriority w:val="0"/>
    <w:pPr>
      <w:spacing w:line="360" w:lineRule="auto"/>
      <w:ind w:firstLine="493"/>
    </w:pPr>
    <w:rPr>
      <w:rFonts w:ascii="宋体" w:hAnsi="宋体"/>
      <w:spacing w:val="4"/>
      <w:kern w:val="18"/>
      <w:sz w:val="24"/>
    </w:rPr>
  </w:style>
  <w:style w:type="paragraph" w:customStyle="1" w:styleId="65">
    <w:name w:val="A 正文"/>
    <w:basedOn w:val="1"/>
    <w:next w:val="1"/>
    <w:autoRedefine/>
    <w:qFormat/>
    <w:uiPriority w:val="0"/>
    <w:pPr>
      <w:spacing w:line="360" w:lineRule="auto"/>
      <w:ind w:firstLine="200" w:firstLineChars="200"/>
    </w:pPr>
    <w:rPr>
      <w:sz w:val="24"/>
    </w:rPr>
  </w:style>
  <w:style w:type="character" w:customStyle="1" w:styleId="66">
    <w:name w:val="批注文字 字符1"/>
    <w:autoRedefine/>
    <w:semiHidden/>
    <w:qFormat/>
    <w:uiPriority w:val="0"/>
    <w:rPr>
      <w:rFonts w:ascii="Times New Roman" w:hAnsi="Times New Roman" w:eastAsia="宋体"/>
      <w:sz w:val="24"/>
    </w:rPr>
  </w:style>
  <w:style w:type="character" w:customStyle="1" w:styleId="67">
    <w:name w:val="正文文本 Char"/>
    <w:autoRedefine/>
    <w:qFormat/>
    <w:uiPriority w:val="0"/>
    <w:rPr>
      <w:rFonts w:ascii="Times New Roman" w:hAnsi="Times New Roman" w:eastAsia="宋体"/>
      <w:sz w:val="24"/>
    </w:rPr>
  </w:style>
  <w:style w:type="character" w:customStyle="1" w:styleId="68">
    <w:name w:val="表格 Char"/>
    <w:link w:val="69"/>
    <w:autoRedefine/>
    <w:qFormat/>
    <w:uiPriority w:val="0"/>
    <w:rPr>
      <w:rFonts w:ascii="宋体"/>
      <w:sz w:val="21"/>
    </w:rPr>
  </w:style>
  <w:style w:type="paragraph" w:customStyle="1" w:styleId="69">
    <w:name w:val="表格"/>
    <w:basedOn w:val="6"/>
    <w:next w:val="1"/>
    <w:link w:val="68"/>
    <w:autoRedefine/>
    <w:qFormat/>
    <w:uiPriority w:val="0"/>
    <w:pPr>
      <w:adjustRightInd w:val="0"/>
      <w:snapToGrid w:val="0"/>
      <w:spacing w:beforeLines="10" w:afterLines="10" w:line="259" w:lineRule="auto"/>
      <w:jc w:val="center"/>
    </w:pPr>
    <w:rPr>
      <w:rFonts w:ascii="宋体"/>
      <w:kern w:val="0"/>
      <w:szCs w:val="20"/>
    </w:rPr>
  </w:style>
  <w:style w:type="character" w:customStyle="1" w:styleId="70">
    <w:name w:val="日期 字符"/>
    <w:autoRedefine/>
    <w:semiHidden/>
    <w:qFormat/>
    <w:uiPriority w:val="0"/>
    <w:rPr>
      <w:rFonts w:ascii="Times New Roman" w:hAnsi="Times New Roman" w:eastAsia="宋体"/>
      <w:sz w:val="24"/>
    </w:rPr>
  </w:style>
  <w:style w:type="character" w:customStyle="1" w:styleId="71">
    <w:name w:val="正文文本 字符1"/>
    <w:autoRedefine/>
    <w:semiHidden/>
    <w:qFormat/>
    <w:uiPriority w:val="0"/>
    <w:rPr>
      <w:rFonts w:ascii="Times New Roman" w:hAnsi="Times New Roman" w:eastAsia="宋体"/>
      <w:sz w:val="24"/>
    </w:rPr>
  </w:style>
  <w:style w:type="character" w:customStyle="1" w:styleId="72">
    <w:name w:val="页脚 字符"/>
    <w:basedOn w:val="36"/>
    <w:autoRedefine/>
    <w:qFormat/>
    <w:uiPriority w:val="99"/>
  </w:style>
  <w:style w:type="paragraph" w:customStyle="1" w:styleId="73">
    <w:name w:val="Default"/>
    <w:basedOn w:val="74"/>
    <w:next w:val="32"/>
    <w:autoRedefine/>
    <w:qFormat/>
    <w:uiPriority w:val="0"/>
    <w:pPr>
      <w:keepNext w:val="0"/>
      <w:keepLines w:val="0"/>
      <w:widowControl w:val="0"/>
      <w:suppressLineNumbers w:val="0"/>
      <w:autoSpaceDE w:val="0"/>
      <w:autoSpaceDN w:val="0"/>
      <w:adjustRightInd w:val="0"/>
      <w:spacing w:before="0" w:beforeAutospacing="0" w:after="0" w:afterAutospacing="0" w:line="300" w:lineRule="auto"/>
      <w:ind w:left="0" w:right="0" w:firstLine="0" w:firstLineChars="0"/>
      <w:jc w:val="left"/>
    </w:pPr>
    <w:rPr>
      <w:rFonts w:hint="eastAsia" w:ascii="宋体" w:hAnsi="Times New Roman" w:eastAsia="宋体" w:cs="宋体"/>
      <w:color w:val="000000"/>
      <w:kern w:val="0"/>
      <w:sz w:val="24"/>
      <w:szCs w:val="24"/>
      <w:lang w:val="en-US" w:eastAsia="zh-CN" w:bidi="ar"/>
    </w:rPr>
  </w:style>
  <w:style w:type="paragraph" w:customStyle="1" w:styleId="74">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75">
    <w:name w:val="纯文本1"/>
    <w:basedOn w:val="1"/>
    <w:autoRedefine/>
    <w:qFormat/>
    <w:uiPriority w:val="0"/>
    <w:pPr>
      <w:adjustRightInd w:val="0"/>
    </w:pPr>
    <w:rPr>
      <w:rFonts w:hAnsi="Courier New"/>
      <w:szCs w:val="20"/>
    </w:rPr>
  </w:style>
  <w:style w:type="paragraph" w:customStyle="1" w:styleId="76">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77">
    <w:name w:val="六表内容"/>
    <w:basedOn w:val="1"/>
    <w:autoRedefine/>
    <w:qFormat/>
    <w:uiPriority w:val="0"/>
    <w:pPr>
      <w:spacing w:line="340" w:lineRule="exact"/>
      <w:jc w:val="center"/>
    </w:pPr>
    <w:rPr>
      <w:rFonts w:ascii="Times New Roman" w:hAnsi="Times New Roman"/>
      <w:szCs w:val="21"/>
    </w:rPr>
  </w:style>
  <w:style w:type="paragraph" w:customStyle="1" w:styleId="7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表格居中"/>
    <w:basedOn w:val="1"/>
    <w:autoRedefine/>
    <w:qFormat/>
    <w:uiPriority w:val="0"/>
    <w:pPr>
      <w:snapToGrid w:val="0"/>
      <w:spacing w:line="240" w:lineRule="auto"/>
      <w:ind w:firstLine="0" w:firstLineChars="0"/>
      <w:jc w:val="center"/>
    </w:pPr>
    <w:rPr>
      <w:spacing w:val="-4"/>
      <w:w w:val="90"/>
      <w:szCs w:val="24"/>
    </w:rPr>
  </w:style>
  <w:style w:type="paragraph" w:customStyle="1" w:styleId="80">
    <w:name w:val="简单回函地址"/>
    <w:basedOn w:val="1"/>
    <w:autoRedefine/>
    <w:qFormat/>
    <w:uiPriority w:val="0"/>
    <w:rPr>
      <w:sz w:val="24"/>
      <w:szCs w:val="20"/>
    </w:rPr>
  </w:style>
  <w:style w:type="paragraph" w:customStyle="1" w:styleId="81">
    <w:name w:val="zl正文"/>
    <w:basedOn w:val="1"/>
    <w:autoRedefine/>
    <w:qFormat/>
    <w:uiPriority w:val="0"/>
    <w:pPr>
      <w:spacing w:line="360" w:lineRule="auto"/>
      <w:ind w:firstLine="480" w:firstLineChars="200"/>
    </w:pPr>
    <w:rPr>
      <w:kern w:val="0"/>
      <w:sz w:val="24"/>
    </w:rPr>
  </w:style>
  <w:style w:type="paragraph" w:styleId="82">
    <w:name w:val="No Spacing"/>
    <w:autoRedefine/>
    <w:qFormat/>
    <w:uiPriority w:val="0"/>
    <w:rPr>
      <w:rFonts w:ascii="Calibri" w:hAnsi="Calibri" w:eastAsia="宋体" w:cs="Times New Roman"/>
      <w:kern w:val="2"/>
      <w:sz w:val="21"/>
      <w:szCs w:val="22"/>
      <w:lang w:val="en-US" w:eastAsia="zh-CN" w:bidi="ar-SA"/>
    </w:rPr>
  </w:style>
  <w:style w:type="paragraph" w:customStyle="1" w:styleId="83">
    <w:name w:val="表中文字"/>
    <w:basedOn w:val="1"/>
    <w:autoRedefine/>
    <w:qFormat/>
    <w:uiPriority w:val="0"/>
    <w:pPr>
      <w:jc w:val="center"/>
    </w:pPr>
    <w:rPr>
      <w:rFonts w:ascii="宋体" w:hAnsi="Times New Roman"/>
      <w:spacing w:val="4"/>
      <w:w w:val="90"/>
      <w:sz w:val="24"/>
    </w:rPr>
  </w:style>
  <w:style w:type="paragraph" w:customStyle="1" w:styleId="84">
    <w:name w:val="2-表格"/>
    <w:basedOn w:val="1"/>
    <w:autoRedefine/>
    <w:qFormat/>
    <w:uiPriority w:val="0"/>
    <w:pPr>
      <w:spacing w:line="240" w:lineRule="auto"/>
      <w:ind w:left="0" w:leftChars="0"/>
      <w:jc w:val="center"/>
    </w:pPr>
    <w:rPr>
      <w:rFonts w:ascii="Times New Roman"/>
      <w:kern w:val="2"/>
      <w:sz w:val="21"/>
      <w:szCs w:val="24"/>
    </w:rPr>
  </w:style>
  <w:style w:type="paragraph" w:customStyle="1" w:styleId="8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6">
    <w:name w:val="4正文"/>
    <w:basedOn w:val="1"/>
    <w:autoRedefine/>
    <w:qFormat/>
    <w:uiPriority w:val="0"/>
    <w:pPr>
      <w:ind w:firstLine="480"/>
    </w:pPr>
    <w:rPr>
      <w:szCs w:val="20"/>
    </w:rPr>
  </w:style>
  <w:style w:type="paragraph" w:customStyle="1" w:styleId="87">
    <w:name w:val="Table caption|1"/>
    <w:basedOn w:val="1"/>
    <w:autoRedefine/>
    <w:qFormat/>
    <w:uiPriority w:val="0"/>
    <w:pPr>
      <w:widowControl w:val="0"/>
      <w:shd w:val="clear" w:color="auto" w:fill="auto"/>
      <w:jc w:val="center"/>
    </w:pPr>
    <w:rPr>
      <w:rFonts w:ascii="宋体" w:hAnsi="宋体" w:eastAsia="宋体" w:cs="宋体"/>
      <w:b/>
      <w:bCs/>
      <w:sz w:val="20"/>
      <w:szCs w:val="20"/>
      <w:u w:val="none"/>
      <w:shd w:val="clear" w:color="auto" w:fill="auto"/>
      <w:lang w:val="zh-TW" w:eastAsia="zh-TW" w:bidi="zh-TW"/>
    </w:rPr>
  </w:style>
  <w:style w:type="paragraph" w:customStyle="1" w:styleId="88">
    <w:name w:val="!表格标题"/>
    <w:basedOn w:val="10"/>
    <w:next w:val="10"/>
    <w:autoRedefine/>
    <w:qFormat/>
    <w:uiPriority w:val="0"/>
    <w:pPr>
      <w:snapToGrid/>
      <w:spacing w:line="240" w:lineRule="auto"/>
      <w:ind w:firstLine="0" w:firstLineChars="0"/>
    </w:pPr>
    <w:rPr>
      <w:rFonts w:ascii="Calibri" w:hAnsi="Calibri" w:eastAsia="宋体" w:cs="Times New Roman"/>
      <w:kern w:val="2"/>
      <w:sz w:val="21"/>
      <w:szCs w:val="22"/>
    </w:rPr>
  </w:style>
  <w:style w:type="paragraph" w:customStyle="1" w:styleId="89">
    <w:name w:val="Body text|2"/>
    <w:basedOn w:val="1"/>
    <w:autoRedefine/>
    <w:qFormat/>
    <w:uiPriority w:val="0"/>
    <w:pPr>
      <w:widowControl w:val="0"/>
      <w:shd w:val="clear" w:color="auto" w:fill="auto"/>
      <w:spacing w:after="100" w:line="307" w:lineRule="exact"/>
      <w:ind w:firstLine="500"/>
    </w:pPr>
    <w:rPr>
      <w:rFonts w:ascii="宋体" w:hAnsi="宋体" w:eastAsia="宋体" w:cs="宋体"/>
      <w:sz w:val="20"/>
      <w:szCs w:val="20"/>
      <w:u w:val="none"/>
      <w:shd w:val="clear" w:color="auto" w:fill="auto"/>
      <w:lang w:val="zh-TW" w:eastAsia="zh-TW" w:bidi="zh-TW"/>
    </w:rPr>
  </w:style>
  <w:style w:type="paragraph" w:customStyle="1" w:styleId="90">
    <w:name w:val="样式1"/>
    <w:basedOn w:val="1"/>
    <w:autoRedefine/>
    <w:qFormat/>
    <w:uiPriority w:val="0"/>
    <w:pPr>
      <w:spacing w:line="360" w:lineRule="auto"/>
      <w:ind w:firstLine="425"/>
    </w:pPr>
    <w:rPr>
      <w:rFonts w:ascii="Times New Roman" w:hAnsi="Times New Roman"/>
      <w:kern w:val="44"/>
      <w:szCs w:val="20"/>
    </w:rPr>
  </w:style>
  <w:style w:type="paragraph" w:customStyle="1" w:styleId="91">
    <w:name w:val="五表头"/>
    <w:basedOn w:val="1"/>
    <w:autoRedefine/>
    <w:qFormat/>
    <w:uiPriority w:val="0"/>
    <w:pPr>
      <w:spacing w:before="156" w:beforeLines="50"/>
      <w:jc w:val="center"/>
    </w:pPr>
    <w:rPr>
      <w:rFonts w:ascii="Times New Roman" w:hAnsi="Times New Roman" w:eastAsia="黑体"/>
    </w:rPr>
  </w:style>
  <w:style w:type="paragraph" w:customStyle="1" w:styleId="92">
    <w:name w:val="表格式"/>
    <w:basedOn w:val="24"/>
    <w:autoRedefine/>
    <w:qFormat/>
    <w:uiPriority w:val="0"/>
    <w:pPr>
      <w:spacing w:line="400" w:lineRule="exact"/>
      <w:ind w:left="0" w:firstLine="0" w:firstLineChars="0"/>
      <w:jc w:val="center"/>
    </w:pPr>
    <w:rPr>
      <w:rFonts w:ascii="宋体"/>
      <w:szCs w:val="20"/>
    </w:rPr>
  </w:style>
  <w:style w:type="paragraph" w:customStyle="1" w:styleId="93">
    <w:name w:val="表格中文字"/>
    <w:basedOn w:val="1"/>
    <w:autoRedefine/>
    <w:qFormat/>
    <w:uiPriority w:val="0"/>
    <w:pPr>
      <w:snapToGrid w:val="0"/>
      <w:spacing w:line="240" w:lineRule="auto"/>
      <w:ind w:firstLine="0" w:firstLineChars="0"/>
      <w:jc w:val="center"/>
    </w:pPr>
    <w:rPr>
      <w:rFonts w:ascii="Times New Roman"/>
      <w:kern w:val="18"/>
      <w:sz w:val="21"/>
      <w:szCs w:val="21"/>
    </w:rPr>
  </w:style>
  <w:style w:type="paragraph" w:customStyle="1" w:styleId="94">
    <w:name w:val="样式 列表 2 + 华文仿宋 居中"/>
    <w:basedOn w:val="13"/>
    <w:autoRedefine/>
    <w:qFormat/>
    <w:uiPriority w:val="0"/>
    <w:pPr>
      <w:spacing w:line="500" w:lineRule="exact"/>
      <w:jc w:val="center"/>
    </w:pPr>
    <w:rPr>
      <w:rFonts w:ascii="Times New Roman" w:hAnsi="Times New Roman" w:eastAsia="宋体"/>
      <w:color w:val="auto"/>
      <w:szCs w:val="21"/>
    </w:rPr>
  </w:style>
  <w:style w:type="paragraph" w:customStyle="1" w:styleId="95">
    <w:name w:val="样式 加粗 居中 首行缩进:  2 字符"/>
    <w:basedOn w:val="1"/>
    <w:autoRedefine/>
    <w:qFormat/>
    <w:uiPriority w:val="0"/>
    <w:pPr>
      <w:spacing w:line="440" w:lineRule="exact"/>
      <w:jc w:val="center"/>
    </w:pPr>
    <w:rPr>
      <w:rFonts w:eastAsia="宋体" w:cs="宋体"/>
      <w:b/>
      <w:bCs/>
      <w:kern w:val="2"/>
      <w:sz w:val="24"/>
      <w:lang w:val="en-US" w:eastAsia="zh-CN" w:bidi="ar-SA"/>
    </w:rPr>
  </w:style>
  <w:style w:type="paragraph" w:customStyle="1" w:styleId="96">
    <w:name w:val="Body text|1"/>
    <w:basedOn w:val="1"/>
    <w:autoRedefine/>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97">
    <w:name w:val="Table Paragraph"/>
    <w:basedOn w:val="1"/>
    <w:autoRedefine/>
    <w:qFormat/>
    <w:uiPriority w:val="1"/>
    <w:rPr>
      <w:rFonts w:ascii="宋体" w:hAnsi="宋体" w:eastAsia="宋体" w:cs="宋体"/>
      <w:lang w:val="zh-CN" w:eastAsia="zh-CN" w:bidi="zh-CN"/>
    </w:rPr>
  </w:style>
  <w:style w:type="paragraph" w:customStyle="1" w:styleId="98">
    <w:name w:val="样式 首行缩进:  0.99 厘米 行距: 1.5 倍行距2"/>
    <w:basedOn w:val="1"/>
    <w:autoRedefine/>
    <w:qFormat/>
    <w:uiPriority w:val="0"/>
    <w:pPr>
      <w:adjustRightInd w:val="0"/>
      <w:snapToGrid w:val="0"/>
      <w:jc w:val="center"/>
    </w:pPr>
    <w:rPr>
      <w:rFonts w:ascii="宋体" w:hAnsi="宋体"/>
      <w:color w:val="FF0000"/>
      <w:szCs w:val="21"/>
    </w:rPr>
  </w:style>
  <w:style w:type="paragraph" w:customStyle="1" w:styleId="99">
    <w:name w:val="Other|1"/>
    <w:basedOn w:val="1"/>
    <w:autoRedefine/>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100">
    <w:name w:val="表格内容样式"/>
    <w:basedOn w:val="1"/>
    <w:autoRedefine/>
    <w:qFormat/>
    <w:uiPriority w:val="0"/>
    <w:pPr>
      <w:spacing w:line="240" w:lineRule="auto"/>
      <w:ind w:firstLine="0" w:firstLineChars="0"/>
      <w:jc w:val="center"/>
    </w:pPr>
    <w:rPr>
      <w:sz w:val="21"/>
    </w:rPr>
  </w:style>
  <w:style w:type="paragraph" w:customStyle="1" w:styleId="101">
    <w:name w:val="表内容"/>
    <w:basedOn w:val="1"/>
    <w:next w:val="1"/>
    <w:autoRedefine/>
    <w:qFormat/>
    <w:uiPriority w:val="0"/>
    <w:pPr>
      <w:spacing w:line="320" w:lineRule="exact"/>
      <w:jc w:val="center"/>
    </w:pPr>
    <w:rPr>
      <w:rFonts w:ascii="Calibri" w:hAnsi="Calibri"/>
      <w:szCs w:val="20"/>
    </w:rPr>
  </w:style>
  <w:style w:type="paragraph" w:customStyle="1" w:styleId="102">
    <w:name w:val="D正文"/>
    <w:basedOn w:val="103"/>
    <w:autoRedefine/>
    <w:qFormat/>
    <w:uiPriority w:val="0"/>
    <w:pPr>
      <w:adjustRightInd/>
      <w:spacing w:line="360" w:lineRule="auto"/>
      <w:ind w:firstLine="480" w:firstLineChars="200"/>
      <w:textAlignment w:val="auto"/>
    </w:pPr>
    <w:rPr>
      <w:kern w:val="2"/>
      <w:sz w:val="24"/>
      <w:szCs w:val="24"/>
    </w:rPr>
  </w:style>
  <w:style w:type="paragraph" w:customStyle="1" w:styleId="103">
    <w:name w:val="正文对的"/>
    <w:basedOn w:val="15"/>
    <w:autoRedefine/>
    <w:qFormat/>
    <w:uiPriority w:val="0"/>
    <w:pPr>
      <w:widowControl/>
      <w:ind w:firstLine="480"/>
      <w:jc w:val="left"/>
    </w:pPr>
    <w:rPr>
      <w:rFonts w:eastAsia="微软雅黑" w:cs="宋体"/>
      <w:sz w:val="24"/>
      <w:szCs w:val="24"/>
    </w:rPr>
  </w:style>
  <w:style w:type="paragraph" w:customStyle="1" w:styleId="104">
    <w:name w:val="v表格字体"/>
    <w:basedOn w:val="1"/>
    <w:next w:val="1"/>
    <w:autoRedefine/>
    <w:qFormat/>
    <w:uiPriority w:val="0"/>
    <w:pPr>
      <w:spacing w:before="0" w:line="240" w:lineRule="auto"/>
      <w:jc w:val="center"/>
    </w:pPr>
    <w:rPr>
      <w:rFonts w:ascii="Calibri" w:hAnsi="Calibri"/>
      <w:kern w:val="0"/>
      <w:sz w:val="20"/>
    </w:rPr>
  </w:style>
  <w:style w:type="paragraph" w:customStyle="1" w:styleId="105">
    <w:name w:val="标题2"/>
    <w:basedOn w:val="106"/>
    <w:next w:val="1"/>
    <w:autoRedefine/>
    <w:qFormat/>
    <w:uiPriority w:val="0"/>
    <w:pPr>
      <w:autoSpaceDE w:val="0"/>
      <w:autoSpaceDN w:val="0"/>
      <w:snapToGrid w:val="0"/>
      <w:spacing w:line="590" w:lineRule="atLeast"/>
      <w:jc w:val="center"/>
    </w:pPr>
    <w:rPr>
      <w:rFonts w:eastAsia="方正楷体_GBK"/>
      <w:snapToGrid w:val="0"/>
      <w:kern w:val="0"/>
      <w:sz w:val="32"/>
      <w:szCs w:val="20"/>
    </w:rPr>
  </w:style>
  <w:style w:type="paragraph" w:customStyle="1" w:styleId="106">
    <w:name w:val="报告正文"/>
    <w:basedOn w:val="1"/>
    <w:autoRedefine/>
    <w:qFormat/>
    <w:uiPriority w:val="0"/>
    <w:pPr>
      <w:spacing w:line="360" w:lineRule="auto"/>
    </w:pPr>
    <w:rPr>
      <w:rFonts w:ascii="宋体" w:hAnsi="宋体"/>
      <w:sz w:val="24"/>
      <w:szCs w:val="20"/>
      <w:lang w:val="zh-CN" w:eastAsia="zh-CN"/>
    </w:rPr>
  </w:style>
  <w:style w:type="paragraph" w:customStyle="1" w:styleId="107">
    <w:name w:val="Heading #4|1"/>
    <w:basedOn w:val="1"/>
    <w:autoRedefine/>
    <w:qFormat/>
    <w:uiPriority w:val="0"/>
    <w:pPr>
      <w:widowControl w:val="0"/>
      <w:shd w:val="clear" w:color="auto" w:fill="auto"/>
      <w:spacing w:line="468" w:lineRule="exact"/>
      <w:ind w:firstLine="490"/>
      <w:outlineLvl w:val="3"/>
    </w:pPr>
    <w:rPr>
      <w:rFonts w:ascii="宋体" w:hAnsi="宋体" w:eastAsia="宋体" w:cs="宋体"/>
      <w:b/>
      <w:bCs/>
      <w:u w:val="none"/>
      <w:shd w:val="clear" w:color="auto" w:fill="auto"/>
      <w:lang w:val="zh-TW" w:eastAsia="zh-TW" w:bidi="zh-TW"/>
    </w:rPr>
  </w:style>
  <w:style w:type="paragraph" w:styleId="108">
    <w:name w:val="List Paragraph"/>
    <w:basedOn w:val="1"/>
    <w:autoRedefine/>
    <w:qFormat/>
    <w:uiPriority w:val="1"/>
    <w:pPr>
      <w:ind w:left="1733" w:hanging="602"/>
    </w:pPr>
    <w:rPr>
      <w:rFonts w:ascii="宋体" w:hAnsi="宋体" w:eastAsia="宋体" w:cs="宋体"/>
      <w:lang w:val="zh-CN" w:eastAsia="zh-CN" w:bidi="zh-CN"/>
    </w:rPr>
  </w:style>
  <w:style w:type="paragraph" w:customStyle="1" w:styleId="109">
    <w:name w:val="表格标题"/>
    <w:basedOn w:val="1"/>
    <w:next w:val="1"/>
    <w:autoRedefine/>
    <w:qFormat/>
    <w:uiPriority w:val="0"/>
    <w:pPr>
      <w:keepNext/>
      <w:spacing w:before="50" w:beforeLines="50" w:line="240" w:lineRule="auto"/>
      <w:ind w:firstLine="0" w:firstLineChars="0"/>
      <w:jc w:val="center"/>
    </w:pPr>
    <w:rPr>
      <w:rFonts w:ascii="Times New Roman" w:hAnsi="Times New Roman" w:eastAsia="宋体" w:cs="宋体"/>
      <w:b/>
      <w:sz w:val="24"/>
      <w:szCs w:val="24"/>
    </w:rPr>
  </w:style>
  <w:style w:type="paragraph" w:customStyle="1" w:styleId="110">
    <w:name w:val="Body text|3"/>
    <w:basedOn w:val="1"/>
    <w:autoRedefine/>
    <w:qFormat/>
    <w:uiPriority w:val="0"/>
    <w:pPr>
      <w:widowControl w:val="0"/>
      <w:shd w:val="clear" w:color="auto" w:fill="auto"/>
      <w:spacing w:after="180"/>
    </w:pPr>
    <w:rPr>
      <w:u w:val="none"/>
      <w:shd w:val="clear" w:color="auto" w:fill="auto"/>
    </w:rPr>
  </w:style>
  <w:style w:type="paragraph" w:customStyle="1" w:styleId="111">
    <w:name w:val="样式 正文文本缩进 3 + 左侧:  2 字符1"/>
    <w:basedOn w:val="25"/>
    <w:autoRedefine/>
    <w:qFormat/>
    <w:uiPriority w:val="0"/>
    <w:pPr>
      <w:widowControl/>
      <w:snapToGrid/>
      <w:spacing w:after="120" w:line="360" w:lineRule="auto"/>
      <w:ind w:right="0" w:firstLine="200" w:firstLineChars="200"/>
      <w:jc w:val="left"/>
    </w:pPr>
    <w:rPr>
      <w:rFonts w:cs="PMingLiU"/>
      <w:kern w:val="0"/>
      <w:sz w:val="24"/>
    </w:rPr>
  </w:style>
  <w:style w:type="paragraph" w:customStyle="1" w:styleId="112">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113">
    <w:name w:val="font01"/>
    <w:autoRedefine/>
    <w:qFormat/>
    <w:uiPriority w:val="0"/>
    <w:rPr>
      <w:rFonts w:hint="eastAsia" w:ascii="宋体" w:hAnsi="宋体" w:eastAsia="宋体" w:cs="宋体"/>
      <w:color w:val="000000"/>
      <w:sz w:val="21"/>
      <w:szCs w:val="21"/>
      <w:u w:val="none"/>
    </w:rPr>
  </w:style>
  <w:style w:type="paragraph" w:customStyle="1" w:styleId="114">
    <w:name w:val="小四+首行缩进"/>
    <w:basedOn w:val="1"/>
    <w:autoRedefine/>
    <w:qFormat/>
    <w:uiPriority w:val="0"/>
    <w:pPr>
      <w:spacing w:line="360" w:lineRule="auto"/>
      <w:ind w:firstLine="482"/>
    </w:pPr>
    <w:rPr>
      <w:rFonts w:ascii="宋体" w:hAnsi="宋体"/>
      <w:sz w:val="24"/>
    </w:rPr>
  </w:style>
  <w:style w:type="paragraph" w:customStyle="1" w:styleId="115">
    <w:name w:val="xh常用表格文字"/>
    <w:basedOn w:val="1"/>
    <w:next w:val="116"/>
    <w:autoRedefine/>
    <w:qFormat/>
    <w:uiPriority w:val="0"/>
    <w:pPr>
      <w:spacing w:line="240" w:lineRule="auto"/>
      <w:ind w:firstLine="0" w:firstLineChars="0"/>
      <w:jc w:val="center"/>
    </w:pPr>
    <w:rPr>
      <w:rFonts w:ascii="Times New Roman" w:hAnsi="Times New Roman" w:eastAsia="宋体"/>
      <w:sz w:val="21"/>
      <w:szCs w:val="21"/>
      <w:lang w:eastAsia="en-US"/>
    </w:rPr>
  </w:style>
  <w:style w:type="paragraph" w:customStyle="1" w:styleId="116">
    <w:name w:val="xh常用正文格式"/>
    <w:autoRedefine/>
    <w:qFormat/>
    <w:uiPriority w:val="0"/>
    <w:pPr>
      <w:spacing w:line="360" w:lineRule="auto"/>
      <w:ind w:firstLine="400" w:firstLineChars="200"/>
      <w:jc w:val="both"/>
    </w:pPr>
    <w:rPr>
      <w:rFonts w:ascii="Times New Roman" w:hAnsi="Times New Roman" w:eastAsia="宋体" w:cs="Times New Roman"/>
      <w:sz w:val="24"/>
      <w:szCs w:val="24"/>
      <w:lang w:val="en-US" w:eastAsia="zh-CN" w:bidi="ar-SA"/>
    </w:rPr>
  </w:style>
  <w:style w:type="paragraph" w:customStyle="1" w:styleId="117">
    <w:name w:val="表格小四"/>
    <w:basedOn w:val="1"/>
    <w:autoRedefine/>
    <w:qFormat/>
    <w:uiPriority w:val="0"/>
    <w:pPr>
      <w:widowControl/>
      <w:spacing w:beforeLines="30" w:afterLines="20"/>
      <w:jc w:val="center"/>
    </w:pPr>
    <w:rPr>
      <w:kern w:val="0"/>
      <w:sz w:val="24"/>
    </w:rPr>
  </w:style>
  <w:style w:type="paragraph" w:customStyle="1" w:styleId="118">
    <w:name w:val="word"/>
    <w:basedOn w:val="1"/>
    <w:autoRedefine/>
    <w:qFormat/>
    <w:uiPriority w:val="0"/>
    <w:pPr>
      <w:adjustRightInd w:val="0"/>
      <w:snapToGrid w:val="0"/>
      <w:spacing w:line="360" w:lineRule="auto"/>
      <w:ind w:firstLine="480" w:firstLineChars="200"/>
    </w:pPr>
    <w:rPr>
      <w:rFonts w:ascii="宋体" w:hAnsi="宋体"/>
      <w:sz w:val="24"/>
      <w:szCs w:val="24"/>
    </w:rPr>
  </w:style>
  <w:style w:type="paragraph" w:customStyle="1" w:styleId="119">
    <w:name w:val="正文01"/>
    <w:basedOn w:val="1"/>
    <w:autoRedefine/>
    <w:qFormat/>
    <w:uiPriority w:val="0"/>
    <w:pPr>
      <w:spacing w:before="60" w:line="480" w:lineRule="exact"/>
      <w:ind w:firstLine="539"/>
    </w:pPr>
    <w:rPr>
      <w:sz w:val="27"/>
      <w:szCs w:val="24"/>
    </w:rPr>
  </w:style>
  <w:style w:type="paragraph" w:customStyle="1" w:styleId="120">
    <w:name w:val="xh常用表格标题"/>
    <w:basedOn w:val="116"/>
    <w:next w:val="73"/>
    <w:autoRedefine/>
    <w:qFormat/>
    <w:uiPriority w:val="0"/>
    <w:pPr>
      <w:ind w:firstLine="0" w:firstLineChars="0"/>
      <w:jc w:val="center"/>
    </w:pPr>
    <w:rPr>
      <w:rFonts w:ascii="Times New Roman" w:hAnsi="Times New Roman" w:eastAsia="宋体"/>
      <w:b/>
      <w:sz w:val="20"/>
      <w:szCs w:val="20"/>
    </w:rPr>
  </w:style>
  <w:style w:type="paragraph" w:customStyle="1" w:styleId="121">
    <w:name w:val="正文样式1"/>
    <w:basedOn w:val="1"/>
    <w:autoRedefine/>
    <w:qFormat/>
    <w:uiPriority w:val="0"/>
    <w:pPr>
      <w:adjustRightInd w:val="0"/>
      <w:spacing w:before="31" w:beforeLines="10" w:after="31" w:afterLines="10" w:line="312" w:lineRule="auto"/>
      <w:ind w:firstLine="200" w:firstLineChars="200"/>
      <w:textAlignment w:val="baseline"/>
    </w:pPr>
    <w:rPr>
      <w:rFonts w:eastAsia="宋体"/>
      <w:snapToGrid w:val="0"/>
      <w:kern w:val="2"/>
      <w:position w:val="-12"/>
      <w:sz w:val="24"/>
      <w:szCs w:val="24"/>
      <w:lang w:val="en-US" w:eastAsia="zh-CN" w:bidi="ar-SA"/>
    </w:rPr>
  </w:style>
  <w:style w:type="paragraph" w:customStyle="1" w:styleId="122">
    <w:name w:val="++++正文"/>
    <w:basedOn w:val="1"/>
    <w:autoRedefine/>
    <w:qFormat/>
    <w:uiPriority w:val="0"/>
    <w:pPr>
      <w:spacing w:line="360" w:lineRule="auto"/>
      <w:ind w:firstLine="200" w:firstLineChars="200"/>
    </w:pPr>
    <w:rPr>
      <w:rFonts w:eastAsia="黑体"/>
      <w:b/>
      <w:color w:val="0000FF"/>
      <w:sz w:val="24"/>
    </w:rPr>
  </w:style>
  <w:style w:type="paragraph" w:customStyle="1" w:styleId="123">
    <w:name w:val="图表标题"/>
    <w:next w:val="1"/>
    <w:autoRedefine/>
    <w:qFormat/>
    <w:uiPriority w:val="0"/>
    <w:pPr>
      <w:spacing w:line="360" w:lineRule="auto"/>
      <w:jc w:val="center"/>
    </w:pPr>
    <w:rPr>
      <w:rFonts w:ascii="Times New Roman" w:hAnsi="Times New Roman" w:eastAsia="黑体" w:cs="Times New Roman"/>
      <w:kern w:val="2"/>
      <w:sz w:val="24"/>
      <w:szCs w:val="22"/>
      <w:lang w:val="en-US" w:eastAsia="zh-CN" w:bidi="ar-SA"/>
    </w:rPr>
  </w:style>
  <w:style w:type="paragraph" w:customStyle="1" w:styleId="124">
    <w:name w:val="报告表正文W"/>
    <w:basedOn w:val="1"/>
    <w:link w:val="140"/>
    <w:autoRedefine/>
    <w:qFormat/>
    <w:uiPriority w:val="0"/>
    <w:pPr>
      <w:spacing w:line="360" w:lineRule="auto"/>
      <w:ind w:firstLine="720" w:firstLineChars="200"/>
    </w:pPr>
    <w:rPr>
      <w:rFonts w:ascii="Times New Roman" w:hAnsi="Times New Roman" w:eastAsia="宋体"/>
      <w:sz w:val="24"/>
    </w:rPr>
  </w:style>
  <w:style w:type="paragraph" w:customStyle="1" w:styleId="125">
    <w:name w:val="W表头"/>
    <w:basedOn w:val="1"/>
    <w:next w:val="49"/>
    <w:autoRedefine/>
    <w:qFormat/>
    <w:uiPriority w:val="0"/>
    <w:pPr>
      <w:jc w:val="center"/>
    </w:pPr>
    <w:rPr>
      <w:rFonts w:ascii="Times New Roman" w:hAnsi="Times New Roman" w:eastAsia="宋体"/>
      <w:b/>
    </w:rPr>
  </w:style>
  <w:style w:type="paragraph" w:customStyle="1" w:styleId="126">
    <w:name w:val="表格目录"/>
    <w:basedOn w:val="1"/>
    <w:autoRedefine/>
    <w:qFormat/>
    <w:uiPriority w:val="0"/>
    <w:pPr>
      <w:spacing w:line="264" w:lineRule="auto"/>
      <w:ind w:left="0" w:right="0"/>
      <w:jc w:val="center"/>
    </w:pPr>
    <w:rPr>
      <w:rFonts w:ascii="Times New Roman" w:hAnsi="Times New Roman" w:eastAsia="宋体"/>
      <w:b/>
      <w:bCs/>
      <w:szCs w:val="21"/>
    </w:rPr>
  </w:style>
  <w:style w:type="paragraph" w:customStyle="1" w:styleId="127">
    <w:name w:val="表"/>
    <w:basedOn w:val="1"/>
    <w:autoRedefine/>
    <w:qFormat/>
    <w:uiPriority w:val="0"/>
    <w:pPr>
      <w:snapToGrid/>
      <w:spacing w:line="240" w:lineRule="auto"/>
      <w:ind w:left="0" w:leftChars="0" w:right="0" w:rightChars="0"/>
      <w:jc w:val="center"/>
    </w:pPr>
    <w:rPr>
      <w:rFonts w:ascii="Times New Roman" w:hAnsi="Times New Roman" w:eastAsia="宋体"/>
      <w:szCs w:val="21"/>
    </w:rPr>
  </w:style>
  <w:style w:type="table" w:customStyle="1" w:styleId="128">
    <w:name w:val="Table Normal"/>
    <w:autoRedefine/>
    <w:unhideWhenUsed/>
    <w:qFormat/>
    <w:uiPriority w:val="0"/>
    <w:tblPr>
      <w:tblCellMar>
        <w:top w:w="0" w:type="dxa"/>
        <w:left w:w="0" w:type="dxa"/>
        <w:bottom w:w="0" w:type="dxa"/>
        <w:right w:w="0" w:type="dxa"/>
      </w:tblCellMar>
    </w:tblPr>
  </w:style>
  <w:style w:type="paragraph" w:customStyle="1" w:styleId="129">
    <w:name w:val="表头W"/>
    <w:basedOn w:val="1"/>
    <w:next w:val="1"/>
    <w:autoRedefine/>
    <w:qFormat/>
    <w:uiPriority w:val="0"/>
    <w:pPr>
      <w:jc w:val="center"/>
    </w:pPr>
    <w:rPr>
      <w:rFonts w:ascii="Times New Roman" w:hAnsi="Times New Roman" w:eastAsia="宋体"/>
      <w:b/>
    </w:rPr>
  </w:style>
  <w:style w:type="character" w:customStyle="1" w:styleId="130">
    <w:name w:val="NormalCharacter"/>
    <w:autoRedefine/>
    <w:semiHidden/>
    <w:qFormat/>
    <w:uiPriority w:val="0"/>
  </w:style>
  <w:style w:type="paragraph" w:customStyle="1" w:styleId="131">
    <w:name w:val="首行缩进"/>
    <w:basedOn w:val="1"/>
    <w:autoRedefine/>
    <w:qFormat/>
    <w:uiPriority w:val="0"/>
    <w:pPr>
      <w:spacing w:line="360" w:lineRule="auto"/>
      <w:ind w:firstLine="480" w:firstLineChars="200"/>
    </w:pPr>
    <w:rPr>
      <w:rFonts w:ascii="宋体" w:hAnsi="宋体" w:cs="宋体"/>
      <w:kern w:val="0"/>
    </w:rPr>
  </w:style>
  <w:style w:type="paragraph" w:customStyle="1" w:styleId="132">
    <w:name w:val="环评正文"/>
    <w:basedOn w:val="1"/>
    <w:autoRedefine/>
    <w:qFormat/>
    <w:uiPriority w:val="0"/>
    <w:pPr>
      <w:spacing w:beforeLines="30"/>
      <w:ind w:firstLine="480" w:firstLineChars="200"/>
    </w:pPr>
    <w:rPr>
      <w:rFonts w:ascii="Tahoma" w:hAnsi="Tahoma" w:cs="Tahoma"/>
      <w:kern w:val="0"/>
      <w:sz w:val="24"/>
      <w:szCs w:val="20"/>
    </w:rPr>
  </w:style>
  <w:style w:type="paragraph" w:customStyle="1" w:styleId="133">
    <w:name w:val="正本文字"/>
    <w:basedOn w:val="1"/>
    <w:autoRedefine/>
    <w:qFormat/>
    <w:uiPriority w:val="0"/>
    <w:pPr>
      <w:adjustRightInd w:val="0"/>
      <w:snapToGrid w:val="0"/>
      <w:spacing w:line="360" w:lineRule="auto"/>
      <w:ind w:firstLine="200" w:firstLineChars="200"/>
      <w:jc w:val="left"/>
    </w:pPr>
    <w:rPr>
      <w:rFonts w:cs="宋体"/>
      <w:kern w:val="18"/>
      <w:sz w:val="24"/>
    </w:rPr>
  </w:style>
  <w:style w:type="paragraph" w:customStyle="1" w:styleId="134">
    <w:name w:val="Z表格"/>
    <w:basedOn w:val="1"/>
    <w:autoRedefine/>
    <w:qFormat/>
    <w:uiPriority w:val="0"/>
    <w:pPr>
      <w:snapToGrid w:val="0"/>
      <w:spacing w:line="240" w:lineRule="auto"/>
      <w:ind w:firstLine="0" w:firstLineChars="0"/>
      <w:jc w:val="center"/>
    </w:pPr>
    <w:rPr>
      <w:rFonts w:eastAsia="宋体"/>
      <w:sz w:val="21"/>
    </w:rPr>
  </w:style>
  <w:style w:type="paragraph" w:customStyle="1" w:styleId="135">
    <w:name w:val="新表标题"/>
    <w:basedOn w:val="1"/>
    <w:autoRedefine/>
    <w:qFormat/>
    <w:uiPriority w:val="0"/>
    <w:pPr>
      <w:spacing w:beforeLines="50"/>
      <w:jc w:val="center"/>
    </w:pPr>
    <w:rPr>
      <w:rFonts w:ascii="Times New Roman" w:hAnsi="Times New Roman"/>
      <w:b/>
    </w:rPr>
  </w:style>
  <w:style w:type="paragraph" w:customStyle="1" w:styleId="136">
    <w:name w:val="新表格"/>
    <w:basedOn w:val="1"/>
    <w:autoRedefine/>
    <w:qFormat/>
    <w:uiPriority w:val="0"/>
    <w:pPr>
      <w:spacing w:line="240" w:lineRule="auto"/>
      <w:ind w:firstLine="0" w:firstLineChars="0"/>
      <w:jc w:val="center"/>
    </w:pPr>
    <w:rPr>
      <w:rFonts w:cs="Times New Roman"/>
      <w:sz w:val="21"/>
      <w:szCs w:val="24"/>
    </w:rPr>
  </w:style>
  <w:style w:type="paragraph" w:customStyle="1" w:styleId="137">
    <w:name w:val="Z表题注"/>
    <w:basedOn w:val="7"/>
    <w:autoRedefine/>
    <w:qFormat/>
    <w:uiPriority w:val="0"/>
    <w:pPr>
      <w:keepNext/>
      <w:ind w:firstLine="422"/>
      <w:jc w:val="center"/>
    </w:pPr>
    <w:rPr>
      <w:rFonts w:ascii="Times New Roman" w:hAnsi="Times New Roman" w:eastAsia="宋体"/>
      <w:sz w:val="24"/>
    </w:rPr>
  </w:style>
  <w:style w:type="paragraph" w:customStyle="1" w:styleId="138">
    <w:name w:val="AONormal"/>
    <w:autoRedefine/>
    <w:qFormat/>
    <w:uiPriority w:val="0"/>
    <w:pPr>
      <w:spacing w:line="260" w:lineRule="atLeast"/>
    </w:pPr>
    <w:rPr>
      <w:rFonts w:ascii="Times New Roman" w:hAnsi="Times New Roman" w:eastAsia="宋体" w:cs="Times New Roman"/>
      <w:sz w:val="22"/>
      <w:szCs w:val="22"/>
      <w:lang w:val="en-GB" w:eastAsia="en-US" w:bidi="ar-SA"/>
    </w:rPr>
  </w:style>
  <w:style w:type="paragraph" w:customStyle="1" w:styleId="139">
    <w:name w:val="表格内容"/>
    <w:basedOn w:val="109"/>
    <w:next w:val="1"/>
    <w:autoRedefine/>
    <w:qFormat/>
    <w:uiPriority w:val="99"/>
    <w:pPr>
      <w:widowControl/>
      <w:adjustRightInd/>
      <w:snapToGrid/>
      <w:spacing w:before="60" w:after="60"/>
    </w:pPr>
    <w:rPr>
      <w:rFonts w:eastAsia="宋体" w:cs="宋体"/>
      <w:b w:val="0"/>
      <w:sz w:val="24"/>
    </w:rPr>
  </w:style>
  <w:style w:type="character" w:customStyle="1" w:styleId="140">
    <w:name w:val="报告表正文W Char"/>
    <w:link w:val="124"/>
    <w:autoRedefine/>
    <w:qFormat/>
    <w:uiPriority w:val="0"/>
    <w:rPr>
      <w:rFonts w:ascii="Times New Roman" w:hAnsi="Times New Roman" w:eastAsia="宋体"/>
      <w:sz w:val="24"/>
    </w:rPr>
  </w:style>
  <w:style w:type="paragraph" w:customStyle="1" w:styleId="141">
    <w:name w:val="R22表格"/>
    <w:basedOn w:val="1"/>
    <w:autoRedefine/>
    <w:qFormat/>
    <w:uiPriority w:val="0"/>
    <w:pPr>
      <w:widowControl/>
      <w:autoSpaceDE w:val="0"/>
      <w:autoSpaceDN w:val="0"/>
      <w:adjustRightInd w:val="0"/>
      <w:spacing w:line="360" w:lineRule="exact"/>
      <w:jc w:val="center"/>
    </w:pPr>
    <w:rPr>
      <w:color w:val="000000"/>
      <w:kern w:val="0"/>
      <w:szCs w:val="21"/>
    </w:rPr>
  </w:style>
  <w:style w:type="paragraph" w:customStyle="1" w:styleId="142">
    <w:name w:val="表格正文"/>
    <w:basedOn w:val="1"/>
    <w:autoRedefine/>
    <w:qFormat/>
    <w:uiPriority w:val="0"/>
    <w:pPr>
      <w:spacing w:line="360" w:lineRule="exact"/>
      <w:jc w:val="center"/>
    </w:pPr>
  </w:style>
  <w:style w:type="character" w:customStyle="1" w:styleId="143">
    <w:name w:val="表头 Char1"/>
    <w:link w:val="144"/>
    <w:autoRedefine/>
    <w:qFormat/>
    <w:uiPriority w:val="0"/>
    <w:rPr>
      <w:rFonts w:ascii="Times New Roman" w:hAnsi="Times New Roman" w:eastAsia="宋体" w:cs="Times New Roman"/>
      <w:b/>
    </w:rPr>
  </w:style>
  <w:style w:type="paragraph" w:customStyle="1" w:styleId="144">
    <w:name w:val="表头"/>
    <w:basedOn w:val="10"/>
    <w:next w:val="1"/>
    <w:link w:val="143"/>
    <w:autoRedefine/>
    <w:qFormat/>
    <w:uiPriority w:val="0"/>
    <w:pPr>
      <w:spacing w:before="120"/>
      <w:ind w:firstLine="0" w:firstLineChars="0"/>
      <w:jc w:val="center"/>
    </w:pPr>
    <w:rPr>
      <w:rFonts w:ascii="Times New Roman" w:hAnsi="Times New Roman" w:eastAsia="宋体" w:cs="Times New Roman"/>
      <w:b/>
    </w:rPr>
  </w:style>
  <w:style w:type="paragraph" w:customStyle="1" w:styleId="145">
    <w:name w:val="环评表名"/>
    <w:basedOn w:val="15"/>
    <w:autoRedefine/>
    <w:qFormat/>
    <w:uiPriority w:val="0"/>
    <w:pPr>
      <w:adjustRightInd w:val="0"/>
      <w:spacing w:line="400" w:lineRule="exact"/>
      <w:jc w:val="center"/>
    </w:pPr>
    <w:rPr>
      <w:rFonts w:ascii="Times New Roman" w:hAnsi="Times New Roman" w:eastAsia="黑体" w:cs="Times New Roman"/>
      <w:sz w:val="24"/>
    </w:rPr>
  </w:style>
  <w:style w:type="paragraph" w:customStyle="1" w:styleId="146">
    <w:name w:val="环评表格"/>
    <w:basedOn w:val="15"/>
    <w:autoRedefine/>
    <w:qFormat/>
    <w:uiPriority w:val="0"/>
    <w:pPr>
      <w:spacing w:line="320" w:lineRule="exact"/>
      <w:jc w:val="center"/>
    </w:pPr>
    <w:rPr>
      <w:rFonts w:ascii="Times New Roman" w:hAnsi="Times New Roman" w:eastAsia="宋体" w:cs="Times New Roman"/>
      <w:szCs w:val="21"/>
    </w:rPr>
  </w:style>
  <w:style w:type="paragraph" w:customStyle="1" w:styleId="147">
    <w:name w:val="【表内字】"/>
    <w:basedOn w:val="1"/>
    <w:qFormat/>
    <w:uiPriority w:val="0"/>
    <w:pPr>
      <w:jc w:val="center"/>
    </w:pPr>
    <w:rPr>
      <w:rFonts w:ascii="Times New Roman" w:hAnsi="Times New Roman" w:eastAsia="宋体" w:cs="Times New Roman"/>
      <w:kern w:val="0"/>
    </w:rPr>
  </w:style>
  <w:style w:type="character" w:customStyle="1" w:styleId="148">
    <w:name w:val="font61"/>
    <w:basedOn w:val="36"/>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footer" Target="footer3.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wmf"/><Relationship Id="rId42" Type="http://schemas.openxmlformats.org/officeDocument/2006/relationships/oleObject" Target="embeddings/oleObject15.bin"/><Relationship Id="rId41" Type="http://schemas.openxmlformats.org/officeDocument/2006/relationships/image" Target="media/image19.png"/><Relationship Id="rId40" Type="http://schemas.openxmlformats.org/officeDocument/2006/relationships/image" Target="media/image18.wmf"/><Relationship Id="rId4" Type="http://schemas.openxmlformats.org/officeDocument/2006/relationships/footer" Target="footer2.xml"/><Relationship Id="rId39" Type="http://schemas.openxmlformats.org/officeDocument/2006/relationships/oleObject" Target="embeddings/oleObject14.bin"/><Relationship Id="rId38" Type="http://schemas.openxmlformats.org/officeDocument/2006/relationships/image" Target="media/image17.wmf"/><Relationship Id="rId37" Type="http://schemas.openxmlformats.org/officeDocument/2006/relationships/oleObject" Target="embeddings/oleObject13.bin"/><Relationship Id="rId36" Type="http://schemas.openxmlformats.org/officeDocument/2006/relationships/image" Target="media/image16.emf"/><Relationship Id="rId35" Type="http://schemas.openxmlformats.org/officeDocument/2006/relationships/oleObject" Target="embeddings/oleObject12.bin"/><Relationship Id="rId34" Type="http://schemas.openxmlformats.org/officeDocument/2006/relationships/image" Target="media/image15.png"/><Relationship Id="rId33" Type="http://schemas.openxmlformats.org/officeDocument/2006/relationships/image" Target="media/image14.wmf"/><Relationship Id="rId32" Type="http://schemas.openxmlformats.org/officeDocument/2006/relationships/oleObject" Target="embeddings/oleObject11.bin"/><Relationship Id="rId31" Type="http://schemas.openxmlformats.org/officeDocument/2006/relationships/image" Target="media/image13.w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9.bin"/><Relationship Id="rId27" Type="http://schemas.openxmlformats.org/officeDocument/2006/relationships/image" Target="media/image11.wmf"/><Relationship Id="rId26" Type="http://schemas.openxmlformats.org/officeDocument/2006/relationships/oleObject" Target="embeddings/oleObject8.bin"/><Relationship Id="rId25" Type="http://schemas.openxmlformats.org/officeDocument/2006/relationships/image" Target="media/image10.wmf"/><Relationship Id="rId24" Type="http://schemas.openxmlformats.org/officeDocument/2006/relationships/oleObject" Target="embeddings/oleObject7.bin"/><Relationship Id="rId23" Type="http://schemas.openxmlformats.org/officeDocument/2006/relationships/image" Target="media/image9.wmf"/><Relationship Id="rId22" Type="http://schemas.openxmlformats.org/officeDocument/2006/relationships/oleObject" Target="embeddings/oleObject6.bin"/><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jpeg"/><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121</Pages>
  <Words>67664</Words>
  <Characters>80874</Characters>
  <Lines>13</Lines>
  <Paragraphs>3</Paragraphs>
  <TotalTime>1</TotalTime>
  <ScaleCrop>false</ScaleCrop>
  <LinksUpToDate>false</LinksUpToDate>
  <CharactersWithSpaces>81893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2021-01-04T21:53:00Z</dcterms:created>
  <dc:creator>lhj</dc:creator>
  <cp:lastModifiedBy>绝念</cp:lastModifiedBy>
  <cp:lastPrinted>2021-04-03T06:37:00Z</cp:lastPrinted>
  <dcterms:modified xsi:type="dcterms:W3CDTF">2024-09-29T06:42:54Z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E6B7D1EC134A42109DBBD604F090E64F_13</vt:lpwstr>
  </property>
</Properties>
</file>