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424D5">
      <w:pPr>
        <w:rPr>
          <w:rFonts w:hint="eastAsia" w:ascii="仿宋_GB2312" w:hAnsi="仿宋_GB2312" w:eastAsia="仿宋_GB2312" w:cs="仿宋_GB2312"/>
          <w:snapToGrid/>
          <w:color w:val="000000" w:themeColor="text1"/>
          <w:spacing w:val="0"/>
          <w:kern w:val="0"/>
          <w:position w:val="0"/>
          <w:sz w:val="36"/>
          <w:szCs w:val="36"/>
          <w:lang w:val="en-US" w:eastAsia="zh-CN"/>
          <w14:textFill>
            <w14:solidFill>
              <w14:schemeClr w14:val="tx1"/>
            </w14:solidFill>
          </w14:textFill>
        </w:rPr>
      </w:pPr>
    </w:p>
    <w:p w14:paraId="38D9BD5B">
      <w:pPr>
        <w:rPr>
          <w:rFonts w:ascii="仿宋_GB2312" w:hAnsi="仿宋_GB2312" w:eastAsia="仿宋_GB2312" w:cs="仿宋_GB2312"/>
          <w:snapToGrid/>
          <w:color w:val="000000" w:themeColor="text1"/>
          <w:spacing w:val="0"/>
          <w:kern w:val="0"/>
          <w:position w:val="0"/>
          <w:sz w:val="36"/>
          <w:szCs w:val="36"/>
          <w14:textFill>
            <w14:solidFill>
              <w14:schemeClr w14:val="tx1"/>
            </w14:solidFill>
          </w14:textFill>
        </w:rPr>
      </w:pPr>
    </w:p>
    <w:p w14:paraId="048C3081">
      <w:pPr>
        <w:rPr>
          <w:rFonts w:ascii="仿宋_GB2312" w:hAnsi="仿宋_GB2312" w:eastAsia="仿宋_GB2312" w:cs="仿宋_GB2312"/>
          <w:snapToGrid/>
          <w:color w:val="000000" w:themeColor="text1"/>
          <w:spacing w:val="0"/>
          <w:kern w:val="0"/>
          <w:position w:val="0"/>
          <w:sz w:val="36"/>
          <w:szCs w:val="36"/>
          <w14:textFill>
            <w14:solidFill>
              <w14:schemeClr w14:val="tx1"/>
            </w14:solidFill>
          </w14:textFill>
        </w:rPr>
      </w:pPr>
    </w:p>
    <w:p w14:paraId="1895ECD8">
      <w:pPr>
        <w:rPr>
          <w:rFonts w:ascii="仿宋_GB2312" w:hAnsi="仿宋_GB2312" w:eastAsia="仿宋_GB2312" w:cs="仿宋_GB2312"/>
          <w:snapToGrid/>
          <w:color w:val="000000" w:themeColor="text1"/>
          <w:spacing w:val="0"/>
          <w:kern w:val="0"/>
          <w:position w:val="0"/>
          <w:sz w:val="36"/>
          <w:szCs w:val="36"/>
          <w14:textFill>
            <w14:solidFill>
              <w14:schemeClr w14:val="tx1"/>
            </w14:solidFill>
          </w14:textFill>
        </w:rPr>
      </w:pPr>
    </w:p>
    <w:p w14:paraId="4B5DDEBD">
      <w:pPr>
        <w:keepNext w:val="0"/>
        <w:keepLines w:val="0"/>
        <w:pageBreakBefore w:val="0"/>
        <w:widowControl w:val="0"/>
        <w:kinsoku/>
        <w:wordWrap/>
        <w:overflowPunct/>
        <w:topLinePunct w:val="0"/>
        <w:autoSpaceDE/>
        <w:autoSpaceDN/>
        <w:bidi w:val="0"/>
        <w:adjustRightInd w:val="0"/>
        <w:snapToGrid w:val="0"/>
        <w:jc w:val="center"/>
        <w:textAlignment w:val="auto"/>
        <w:outlineLvl w:val="0"/>
        <w:rPr>
          <w:rFonts w:hint="eastAsia" w:ascii="方正小标宋_GBK" w:eastAsia="方正小标宋_GBK"/>
          <w:bCs/>
          <w:snapToGrid/>
          <w:color w:val="000000" w:themeColor="text1"/>
          <w:spacing w:val="0"/>
          <w:kern w:val="0"/>
          <w:position w:val="0"/>
          <w:sz w:val="72"/>
          <w:szCs w:val="72"/>
          <w14:textFill>
            <w14:solidFill>
              <w14:schemeClr w14:val="tx1"/>
            </w14:solidFill>
          </w14:textFill>
        </w:rPr>
      </w:pPr>
      <w:bookmarkStart w:id="0" w:name="_Toc16698"/>
      <w:r>
        <w:rPr>
          <w:rFonts w:hint="eastAsia" w:ascii="方正小标宋_GBK" w:eastAsia="方正小标宋_GBK"/>
          <w:bCs/>
          <w:snapToGrid/>
          <w:color w:val="000000" w:themeColor="text1"/>
          <w:spacing w:val="0"/>
          <w:kern w:val="0"/>
          <w:position w:val="0"/>
          <w:sz w:val="72"/>
          <w:szCs w:val="72"/>
          <w14:textFill>
            <w14:solidFill>
              <w14:schemeClr w14:val="tx1"/>
            </w14:solidFill>
          </w14:textFill>
        </w:rPr>
        <w:t>建设项目环境影响报告表</w:t>
      </w:r>
      <w:bookmarkEnd w:id="0"/>
    </w:p>
    <w:p w14:paraId="0980923B">
      <w:pPr>
        <w:adjustRightInd w:val="0"/>
        <w:snapToGrid w:val="0"/>
        <w:spacing w:before="192" w:beforeLines="80"/>
        <w:jc w:val="center"/>
        <w:rPr>
          <w:rFonts w:hint="eastAsia" w:ascii="方正仿宋_GB2312" w:eastAsia="方正仿宋_GB2312"/>
          <w:bCs/>
          <w:snapToGrid/>
          <w:color w:val="000000" w:themeColor="text1"/>
          <w:spacing w:val="0"/>
          <w:kern w:val="0"/>
          <w:position w:val="0"/>
          <w:sz w:val="48"/>
          <w:szCs w:val="48"/>
          <w14:textFill>
            <w14:solidFill>
              <w14:schemeClr w14:val="tx1"/>
            </w14:solidFill>
          </w14:textFill>
        </w:rPr>
      </w:pPr>
      <w:r>
        <w:rPr>
          <w:rFonts w:hint="eastAsia" w:ascii="方正仿宋_GB2312" w:eastAsia="方正仿宋_GB2312"/>
          <w:bCs/>
          <w:snapToGrid/>
          <w:color w:val="000000" w:themeColor="text1"/>
          <w:spacing w:val="0"/>
          <w:kern w:val="0"/>
          <w:position w:val="0"/>
          <w:sz w:val="48"/>
          <w:szCs w:val="48"/>
          <w14:textFill>
            <w14:solidFill>
              <w14:schemeClr w14:val="tx1"/>
            </w14:solidFill>
          </w14:textFill>
        </w:rPr>
        <w:t>（污染影响类）</w:t>
      </w:r>
    </w:p>
    <w:p w14:paraId="0A1D558D">
      <w:pPr>
        <w:jc w:val="center"/>
        <w:rPr>
          <w:rFonts w:hint="eastAsia" w:eastAsia="仿宋"/>
          <w:snapToGrid/>
          <w:color w:val="000000" w:themeColor="text1"/>
          <w:spacing w:val="0"/>
          <w:kern w:val="0"/>
          <w:position w:val="0"/>
          <w:sz w:val="36"/>
          <w:szCs w:val="36"/>
          <w:lang w:eastAsia="zh-CN"/>
          <w14:textFill>
            <w14:solidFill>
              <w14:schemeClr w14:val="tx1"/>
            </w14:solidFill>
          </w14:textFill>
        </w:rPr>
      </w:pPr>
      <w:r>
        <w:rPr>
          <w:rFonts w:hint="eastAsia" w:eastAsia="仿宋"/>
          <w:snapToGrid/>
          <w:color w:val="000000" w:themeColor="text1"/>
          <w:spacing w:val="0"/>
          <w:kern w:val="0"/>
          <w:position w:val="0"/>
          <w:sz w:val="36"/>
          <w:szCs w:val="36"/>
          <w:lang w:eastAsia="zh-CN"/>
          <w14:textFill>
            <w14:solidFill>
              <w14:schemeClr w14:val="tx1"/>
            </w14:solidFill>
          </w14:textFill>
        </w:rPr>
        <w:t>（</w:t>
      </w:r>
      <w:r>
        <w:rPr>
          <w:rFonts w:hint="eastAsia" w:eastAsia="仿宋"/>
          <w:snapToGrid/>
          <w:color w:val="000000" w:themeColor="text1"/>
          <w:spacing w:val="0"/>
          <w:kern w:val="0"/>
          <w:position w:val="0"/>
          <w:sz w:val="36"/>
          <w:szCs w:val="36"/>
          <w:lang w:val="en-US" w:eastAsia="zh-CN"/>
          <w14:textFill>
            <w14:solidFill>
              <w14:schemeClr w14:val="tx1"/>
            </w14:solidFill>
          </w14:textFill>
        </w:rPr>
        <w:t>送审稿</w:t>
      </w:r>
      <w:r>
        <w:rPr>
          <w:rFonts w:hint="eastAsia" w:eastAsia="仿宋"/>
          <w:snapToGrid/>
          <w:color w:val="000000" w:themeColor="text1"/>
          <w:spacing w:val="0"/>
          <w:kern w:val="0"/>
          <w:position w:val="0"/>
          <w:sz w:val="36"/>
          <w:szCs w:val="36"/>
          <w:lang w:eastAsia="zh-CN"/>
          <w14:textFill>
            <w14:solidFill>
              <w14:schemeClr w14:val="tx1"/>
            </w14:solidFill>
          </w14:textFill>
        </w:rPr>
        <w:t>）</w:t>
      </w:r>
    </w:p>
    <w:p w14:paraId="5C2A81AA">
      <w:pPr>
        <w:jc w:val="center"/>
        <w:rPr>
          <w:rFonts w:eastAsia="仿宋"/>
          <w:snapToGrid/>
          <w:color w:val="000000" w:themeColor="text1"/>
          <w:spacing w:val="0"/>
          <w:kern w:val="0"/>
          <w:position w:val="0"/>
          <w:sz w:val="52"/>
          <w:szCs w:val="52"/>
          <w14:textFill>
            <w14:solidFill>
              <w14:schemeClr w14:val="tx1"/>
            </w14:solidFill>
          </w14:textFill>
        </w:rPr>
      </w:pPr>
    </w:p>
    <w:p w14:paraId="2C3B3E68">
      <w:pPr>
        <w:jc w:val="center"/>
        <w:rPr>
          <w:rFonts w:eastAsia="仿宋"/>
          <w:snapToGrid/>
          <w:color w:val="000000" w:themeColor="text1"/>
          <w:spacing w:val="0"/>
          <w:kern w:val="0"/>
          <w:position w:val="0"/>
          <w:sz w:val="52"/>
          <w:szCs w:val="52"/>
          <w14:textFill>
            <w14:solidFill>
              <w14:schemeClr w14:val="tx1"/>
            </w14:solidFill>
          </w14:textFill>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16"/>
      </w:tblGrid>
      <w:tr w14:paraId="5E121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16" w:type="dxa"/>
            <w:tcBorders>
              <w:tl2br w:val="nil"/>
              <w:tr2bl w:val="nil"/>
            </w:tcBorders>
            <w:noWrap w:val="0"/>
            <w:vAlign w:val="center"/>
          </w:tcPr>
          <w:p w14:paraId="0C9CF122">
            <w:pPr>
              <w:keepNext w:val="0"/>
              <w:keepLines w:val="0"/>
              <w:pageBreakBefore w:val="0"/>
              <w:widowControl w:val="0"/>
              <w:kinsoku/>
              <w:wordWrap/>
              <w:overflowPunct/>
              <w:topLinePunct w:val="0"/>
              <w:autoSpaceDE/>
              <w:autoSpaceDN/>
              <w:bidi w:val="0"/>
              <w:adjustRightInd/>
              <w:snapToGrid/>
              <w:spacing w:line="360" w:lineRule="auto"/>
              <w:ind w:left="0" w:hanging="1606" w:hangingChars="500"/>
              <w:textAlignment w:val="auto"/>
              <w:rPr>
                <w:rFonts w:hint="default" w:eastAsia="仿宋"/>
                <w:snapToGrid/>
                <w:color w:val="000000" w:themeColor="text1"/>
                <w:spacing w:val="0"/>
                <w:kern w:val="0"/>
                <w:position w:val="0"/>
                <w:sz w:val="32"/>
                <w:szCs w:val="32"/>
                <w:vertAlign w:val="baseline"/>
                <w:lang w:val="en-US"/>
                <w14:textFill>
                  <w14:solidFill>
                    <w14:schemeClr w14:val="tx1"/>
                  </w14:solidFill>
                </w14:textFill>
              </w:rPr>
            </w:pPr>
            <w:r>
              <w:rPr>
                <w:rFonts w:hint="eastAsia" w:ascii="宋体" w:hAnsi="宋体" w:eastAsia="宋体" w:cs="宋体"/>
                <w:b/>
                <w:bCs/>
                <w:snapToGrid/>
                <w:color w:val="000000" w:themeColor="text1"/>
                <w:spacing w:val="0"/>
                <w:kern w:val="0"/>
                <w:position w:val="0"/>
                <w:sz w:val="32"/>
                <w:szCs w:val="32"/>
                <w14:textFill>
                  <w14:solidFill>
                    <w14:schemeClr w14:val="tx1"/>
                  </w14:solidFill>
                </w14:textFill>
              </w:rPr>
              <w:t>项目名称</w:t>
            </w:r>
            <w:r>
              <w:rPr>
                <w:rFonts w:hint="eastAsia" w:ascii="宋体" w:hAnsi="宋体" w:eastAsia="宋体" w:cs="宋体"/>
                <w:snapToGrid/>
                <w:color w:val="000000" w:themeColor="text1"/>
                <w:spacing w:val="0"/>
                <w:kern w:val="0"/>
                <w:position w:val="0"/>
                <w:sz w:val="32"/>
                <w:szCs w:val="32"/>
                <w14:textFill>
                  <w14:solidFill>
                    <w14:schemeClr w14:val="tx1"/>
                  </w14:solidFill>
                </w14:textFill>
              </w:rPr>
              <w:t>：</w:t>
            </w:r>
            <w:r>
              <w:rPr>
                <w:rFonts w:hint="eastAsia" w:ascii="宋体" w:hAnsi="宋体" w:cs="宋体"/>
                <w:b/>
                <w:bCs w:val="0"/>
                <w:snapToGrid/>
                <w:color w:val="000000" w:themeColor="text1"/>
                <w:spacing w:val="0"/>
                <w:kern w:val="0"/>
                <w:position w:val="0"/>
                <w:sz w:val="32"/>
                <w:szCs w:val="32"/>
                <w:u w:val="single"/>
                <w:lang w:eastAsia="zh-CN"/>
                <w14:textFill>
                  <w14:solidFill>
                    <w14:schemeClr w14:val="tx1"/>
                  </w14:solidFill>
                </w14:textFill>
              </w:rPr>
              <w:t>宁都县城投混凝土有限公司年产60万立方商品混凝土搅拌站项目</w:t>
            </w:r>
          </w:p>
        </w:tc>
      </w:tr>
      <w:tr w14:paraId="67885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16" w:type="dxa"/>
            <w:tcBorders>
              <w:tl2br w:val="nil"/>
              <w:tr2bl w:val="nil"/>
            </w:tcBorders>
            <w:noWrap w:val="0"/>
            <w:vAlign w:val="center"/>
          </w:tcPr>
          <w:p w14:paraId="0AC956A7">
            <w:pPr>
              <w:keepNext w:val="0"/>
              <w:keepLines w:val="0"/>
              <w:pageBreakBefore w:val="0"/>
              <w:widowControl w:val="0"/>
              <w:kinsoku/>
              <w:wordWrap/>
              <w:overflowPunct/>
              <w:topLinePunct w:val="0"/>
              <w:autoSpaceDE/>
              <w:autoSpaceDN/>
              <w:bidi w:val="0"/>
              <w:adjustRightInd/>
              <w:snapToGrid/>
              <w:spacing w:line="240" w:lineRule="auto"/>
              <w:ind w:left="2891" w:hanging="2891" w:hangingChars="900"/>
              <w:textAlignment w:val="auto"/>
              <w:rPr>
                <w:rFonts w:eastAsia="仿宋"/>
                <w:snapToGrid/>
                <w:color w:val="000000" w:themeColor="text1"/>
                <w:spacing w:val="0"/>
                <w:kern w:val="0"/>
                <w:position w:val="0"/>
                <w:sz w:val="32"/>
                <w:szCs w:val="32"/>
                <w:vertAlign w:val="baseline"/>
                <w14:textFill>
                  <w14:solidFill>
                    <w14:schemeClr w14:val="tx1"/>
                  </w14:solidFill>
                </w14:textFill>
              </w:rPr>
            </w:pPr>
            <w:r>
              <w:rPr>
                <w:rFonts w:hint="eastAsia" w:ascii="宋体" w:hAnsi="宋体" w:eastAsia="宋体" w:cs="宋体"/>
                <w:b/>
                <w:bCs/>
                <w:snapToGrid/>
                <w:color w:val="000000" w:themeColor="text1"/>
                <w:spacing w:val="0"/>
                <w:kern w:val="0"/>
                <w:position w:val="0"/>
                <w:sz w:val="32"/>
                <w:szCs w:val="32"/>
                <w14:textFill>
                  <w14:solidFill>
                    <w14:schemeClr w14:val="tx1"/>
                  </w14:solidFill>
                </w14:textFill>
              </w:rPr>
              <w:t>建设单位（盖章）</w:t>
            </w:r>
            <w:r>
              <w:rPr>
                <w:rFonts w:hint="eastAsia" w:ascii="宋体" w:hAnsi="宋体" w:eastAsia="宋体" w:cs="宋体"/>
                <w:snapToGrid/>
                <w:color w:val="000000" w:themeColor="text1"/>
                <w:spacing w:val="0"/>
                <w:kern w:val="0"/>
                <w:position w:val="0"/>
                <w:sz w:val="32"/>
                <w:szCs w:val="32"/>
                <w14:textFill>
                  <w14:solidFill>
                    <w14:schemeClr w14:val="tx1"/>
                  </w14:solidFill>
                </w14:textFill>
              </w:rPr>
              <w:t>：</w:t>
            </w:r>
            <w:r>
              <w:rPr>
                <w:rFonts w:hint="eastAsia" w:cs="Times New Roman"/>
                <w:b/>
                <w:snapToGrid/>
                <w:color w:val="000000" w:themeColor="text1"/>
                <w:spacing w:val="0"/>
                <w:kern w:val="0"/>
                <w:position w:val="0"/>
                <w:sz w:val="32"/>
                <w:szCs w:val="32"/>
                <w:u w:val="single"/>
                <w:lang w:eastAsia="zh-CN"/>
                <w14:textFill>
                  <w14:solidFill>
                    <w14:schemeClr w14:val="tx1"/>
                  </w14:solidFill>
                </w14:textFill>
              </w:rPr>
              <w:t>宁都县城市建设投资集团有限公司</w:t>
            </w:r>
          </w:p>
        </w:tc>
      </w:tr>
      <w:tr w14:paraId="6D2B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16" w:type="dxa"/>
            <w:tcBorders>
              <w:tl2br w:val="nil"/>
              <w:tr2bl w:val="nil"/>
            </w:tcBorders>
            <w:noWrap w:val="0"/>
            <w:vAlign w:val="center"/>
          </w:tcPr>
          <w:p w14:paraId="1E22DF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snapToGrid/>
                <w:color w:val="000000" w:themeColor="text1"/>
                <w:spacing w:val="0"/>
                <w:kern w:val="0"/>
                <w:position w:val="0"/>
                <w:sz w:val="32"/>
                <w:szCs w:val="32"/>
                <w:vertAlign w:val="baseline"/>
                <w:lang w:val="en-US" w:eastAsia="zh-CN"/>
                <w14:textFill>
                  <w14:solidFill>
                    <w14:schemeClr w14:val="tx1"/>
                  </w14:solidFill>
                </w14:textFill>
              </w:rPr>
            </w:pPr>
            <w:r>
              <w:rPr>
                <w:rFonts w:hint="eastAsia" w:ascii="宋体" w:hAnsi="宋体" w:eastAsia="宋体" w:cs="宋体"/>
                <w:b/>
                <w:bCs/>
                <w:snapToGrid/>
                <w:color w:val="000000" w:themeColor="text1"/>
                <w:spacing w:val="0"/>
                <w:kern w:val="0"/>
                <w:position w:val="0"/>
                <w:sz w:val="32"/>
                <w:szCs w:val="32"/>
                <w14:textFill>
                  <w14:solidFill>
                    <w14:schemeClr w14:val="tx1"/>
                  </w14:solidFill>
                </w14:textFill>
              </w:rPr>
              <w:t>编制日期：</w:t>
            </w:r>
            <w:r>
              <w:rPr>
                <w:rFonts w:hint="eastAsia" w:ascii="宋体" w:hAnsi="宋体" w:eastAsia="宋体" w:cs="宋体"/>
                <w:b/>
                <w:bCs/>
                <w:snapToGrid/>
                <w:color w:val="000000" w:themeColor="text1"/>
                <w:spacing w:val="0"/>
                <w:kern w:val="0"/>
                <w:position w:val="0"/>
                <w:sz w:val="32"/>
                <w:szCs w:val="32"/>
                <w:u w:val="single"/>
                <w:lang w:eastAsia="zh-CN"/>
                <w14:textFill>
                  <w14:solidFill>
                    <w14:schemeClr w14:val="tx1"/>
                  </w14:solidFill>
                </w14:textFill>
              </w:rPr>
              <w:t>二〇二</w:t>
            </w:r>
            <w:r>
              <w:rPr>
                <w:rFonts w:hint="eastAsia" w:ascii="宋体" w:hAnsi="宋体" w:cs="宋体"/>
                <w:b/>
                <w:bCs/>
                <w:snapToGrid/>
                <w:color w:val="000000" w:themeColor="text1"/>
                <w:spacing w:val="0"/>
                <w:kern w:val="0"/>
                <w:position w:val="0"/>
                <w:sz w:val="32"/>
                <w:szCs w:val="32"/>
                <w:u w:val="single"/>
                <w:lang w:val="en-US" w:eastAsia="zh-CN"/>
                <w14:textFill>
                  <w14:solidFill>
                    <w14:schemeClr w14:val="tx1"/>
                  </w14:solidFill>
                </w14:textFill>
              </w:rPr>
              <w:t>五</w:t>
            </w:r>
            <w:r>
              <w:rPr>
                <w:rFonts w:hint="eastAsia" w:ascii="宋体" w:hAnsi="宋体" w:eastAsia="宋体" w:cs="宋体"/>
                <w:b/>
                <w:bCs/>
                <w:snapToGrid/>
                <w:color w:val="000000" w:themeColor="text1"/>
                <w:spacing w:val="0"/>
                <w:kern w:val="0"/>
                <w:position w:val="0"/>
                <w:sz w:val="32"/>
                <w:szCs w:val="32"/>
                <w:u w:val="single"/>
                <w:lang w:eastAsia="zh-CN"/>
                <w14:textFill>
                  <w14:solidFill>
                    <w14:schemeClr w14:val="tx1"/>
                  </w14:solidFill>
                </w14:textFill>
              </w:rPr>
              <w:t>年</w:t>
            </w:r>
            <w:r>
              <w:rPr>
                <w:rFonts w:hint="eastAsia" w:ascii="宋体" w:hAnsi="宋体" w:cs="宋体"/>
                <w:b/>
                <w:bCs/>
                <w:snapToGrid/>
                <w:color w:val="000000" w:themeColor="text1"/>
                <w:spacing w:val="0"/>
                <w:kern w:val="0"/>
                <w:position w:val="0"/>
                <w:sz w:val="32"/>
                <w:szCs w:val="32"/>
                <w:u w:val="single"/>
                <w:lang w:val="en-US" w:eastAsia="zh-CN"/>
                <w14:textFill>
                  <w14:solidFill>
                    <w14:schemeClr w14:val="tx1"/>
                  </w14:solidFill>
                </w14:textFill>
              </w:rPr>
              <w:t>一</w:t>
            </w:r>
            <w:r>
              <w:rPr>
                <w:rFonts w:hint="eastAsia" w:ascii="宋体" w:hAnsi="宋体" w:eastAsia="宋体" w:cs="宋体"/>
                <w:b/>
                <w:bCs/>
                <w:snapToGrid/>
                <w:color w:val="000000" w:themeColor="text1"/>
                <w:spacing w:val="0"/>
                <w:kern w:val="0"/>
                <w:position w:val="0"/>
                <w:sz w:val="32"/>
                <w:szCs w:val="32"/>
                <w:u w:val="single"/>
                <w:lang w:eastAsia="zh-CN"/>
                <w14:textFill>
                  <w14:solidFill>
                    <w14:schemeClr w14:val="tx1"/>
                  </w14:solidFill>
                </w14:textFill>
              </w:rPr>
              <w:t>月</w:t>
            </w:r>
          </w:p>
        </w:tc>
      </w:tr>
    </w:tbl>
    <w:p w14:paraId="4801691B">
      <w:pPr>
        <w:ind w:firstLine="1040"/>
        <w:rPr>
          <w:rFonts w:eastAsia="仿宋"/>
          <w:snapToGrid/>
          <w:color w:val="000000" w:themeColor="text1"/>
          <w:spacing w:val="0"/>
          <w:kern w:val="0"/>
          <w:position w:val="0"/>
          <w:sz w:val="44"/>
          <w:szCs w:val="44"/>
          <w14:textFill>
            <w14:solidFill>
              <w14:schemeClr w14:val="tx1"/>
            </w14:solidFill>
          </w14:textFill>
        </w:rPr>
      </w:pPr>
    </w:p>
    <w:p w14:paraId="409D4526">
      <w:pPr>
        <w:ind w:firstLine="1040"/>
        <w:rPr>
          <w:rFonts w:eastAsia="仿宋"/>
          <w:snapToGrid/>
          <w:color w:val="000000" w:themeColor="text1"/>
          <w:spacing w:val="0"/>
          <w:kern w:val="0"/>
          <w:position w:val="0"/>
          <w:sz w:val="44"/>
          <w:szCs w:val="44"/>
          <w14:textFill>
            <w14:solidFill>
              <w14:schemeClr w14:val="tx1"/>
            </w14:solidFill>
          </w14:textFill>
        </w:rPr>
      </w:pPr>
    </w:p>
    <w:p w14:paraId="6C85427D">
      <w:pPr>
        <w:ind w:firstLine="1040"/>
        <w:rPr>
          <w:rFonts w:eastAsia="仿宋"/>
          <w:snapToGrid/>
          <w:color w:val="000000" w:themeColor="text1"/>
          <w:spacing w:val="0"/>
          <w:kern w:val="0"/>
          <w:position w:val="0"/>
          <w:sz w:val="44"/>
          <w:szCs w:val="44"/>
          <w14:textFill>
            <w14:solidFill>
              <w14:schemeClr w14:val="tx1"/>
            </w14:solidFill>
          </w14:textFill>
        </w:rPr>
      </w:pPr>
    </w:p>
    <w:p w14:paraId="39DFC19F">
      <w:pPr>
        <w:adjustRightInd w:val="0"/>
        <w:snapToGrid w:val="0"/>
        <w:spacing w:line="288" w:lineRule="auto"/>
        <w:ind w:firstLine="1040"/>
        <w:rPr>
          <w:rFonts w:ascii="仿宋_GB2312" w:eastAsia="仿宋_GB2312"/>
          <w:snapToGrid/>
          <w:color w:val="000000" w:themeColor="text1"/>
          <w:spacing w:val="0"/>
          <w:kern w:val="0"/>
          <w:position w:val="0"/>
          <w:sz w:val="32"/>
          <w:szCs w:val="32"/>
          <w:u w:val="single"/>
          <w14:textFill>
            <w14:solidFill>
              <w14:schemeClr w14:val="tx1"/>
            </w14:solidFill>
          </w14:textFill>
        </w:rPr>
      </w:pPr>
      <w:bookmarkStart w:id="1" w:name="_Hlk57884087"/>
    </w:p>
    <w:p w14:paraId="58B2D09D">
      <w:pPr>
        <w:adjustRightInd w:val="0"/>
        <w:snapToGrid w:val="0"/>
        <w:spacing w:line="288" w:lineRule="auto"/>
        <w:ind w:firstLine="1040"/>
        <w:rPr>
          <w:rFonts w:ascii="仿宋_GB2312" w:eastAsia="仿宋_GB2312"/>
          <w:snapToGrid/>
          <w:color w:val="000000" w:themeColor="text1"/>
          <w:spacing w:val="0"/>
          <w:kern w:val="0"/>
          <w:position w:val="0"/>
          <w:sz w:val="36"/>
          <w:szCs w:val="36"/>
          <w14:textFill>
            <w14:solidFill>
              <w14:schemeClr w14:val="tx1"/>
            </w14:solidFill>
          </w14:textFill>
        </w:rPr>
      </w:pPr>
    </w:p>
    <w:p w14:paraId="512D258A">
      <w:pPr>
        <w:pStyle w:val="54"/>
        <w:rPr>
          <w:rFonts w:hint="eastAsia" w:ascii="仿宋_GB2312" w:eastAsia="仿宋_GB2312"/>
          <w:snapToGrid/>
          <w:color w:val="000000" w:themeColor="text1"/>
          <w:spacing w:val="0"/>
          <w:kern w:val="0"/>
          <w:position w:val="0"/>
          <w:sz w:val="36"/>
          <w:szCs w:val="36"/>
          <w14:textFill>
            <w14:solidFill>
              <w14:schemeClr w14:val="tx1"/>
            </w14:solidFill>
          </w14:textFill>
        </w:rPr>
      </w:pPr>
    </w:p>
    <w:p w14:paraId="43C1C8D1">
      <w:pPr>
        <w:pStyle w:val="54"/>
        <w:rPr>
          <w:rFonts w:hint="eastAsia" w:ascii="仿宋_GB2312" w:eastAsia="仿宋_GB2312"/>
          <w:snapToGrid/>
          <w:color w:val="000000" w:themeColor="text1"/>
          <w:spacing w:val="0"/>
          <w:kern w:val="0"/>
          <w:position w:val="0"/>
          <w:sz w:val="36"/>
          <w:szCs w:val="36"/>
          <w14:textFill>
            <w14:solidFill>
              <w14:schemeClr w14:val="tx1"/>
            </w14:solidFill>
          </w14:textFill>
        </w:rPr>
      </w:pPr>
    </w:p>
    <w:p w14:paraId="69E70EAF">
      <w:pPr>
        <w:pStyle w:val="54"/>
        <w:rPr>
          <w:rFonts w:hint="eastAsia" w:ascii="仿宋_GB2312" w:eastAsia="仿宋_GB2312"/>
          <w:snapToGrid/>
          <w:color w:val="000000" w:themeColor="text1"/>
          <w:spacing w:val="0"/>
          <w:kern w:val="0"/>
          <w:position w:val="0"/>
          <w:sz w:val="36"/>
          <w:szCs w:val="36"/>
          <w14:textFill>
            <w14:solidFill>
              <w14:schemeClr w14:val="tx1"/>
            </w14:solidFill>
          </w14:textFill>
        </w:rPr>
      </w:pPr>
    </w:p>
    <w:p w14:paraId="076C3A72">
      <w:pPr>
        <w:pStyle w:val="54"/>
        <w:rPr>
          <w:rFonts w:hint="eastAsia" w:ascii="仿宋_GB2312" w:eastAsia="仿宋_GB2312"/>
          <w:snapToGrid/>
          <w:color w:val="000000" w:themeColor="text1"/>
          <w:spacing w:val="0"/>
          <w:kern w:val="0"/>
          <w:position w:val="0"/>
          <w:sz w:val="36"/>
          <w:szCs w:val="36"/>
          <w14:textFill>
            <w14:solidFill>
              <w14:schemeClr w14:val="tx1"/>
            </w14:solidFill>
          </w14:textFill>
        </w:rPr>
      </w:pPr>
    </w:p>
    <w:bookmarkEnd w:id="1"/>
    <w:p w14:paraId="63F87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napToGrid/>
          <w:color w:val="000000" w:themeColor="text1"/>
          <w:spacing w:val="0"/>
          <w:kern w:val="0"/>
          <w:position w:val="0"/>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宋体" w:hAnsi="宋体" w:eastAsia="宋体" w:cs="宋体"/>
          <w:b/>
          <w:bCs/>
          <w:snapToGrid/>
          <w:color w:val="000000" w:themeColor="text1"/>
          <w:spacing w:val="0"/>
          <w:kern w:val="0"/>
          <w:position w:val="0"/>
          <w:sz w:val="36"/>
          <w:szCs w:val="36"/>
          <w14:textFill>
            <w14:solidFill>
              <w14:schemeClr w14:val="tx1"/>
            </w14:solidFill>
          </w14:textFill>
        </w:rPr>
        <w:t>中华人民共和国生态环境部制</w:t>
      </w:r>
    </w:p>
    <w:sdt>
      <w:sdtPr>
        <w:rPr>
          <w:rFonts w:ascii="宋体" w:hAnsi="宋体" w:eastAsia="宋体" w:cs="Times New Roman"/>
          <w:b/>
          <w:bCs/>
          <w:snapToGrid/>
          <w:color w:val="000000" w:themeColor="text1"/>
          <w:spacing w:val="0"/>
          <w:kern w:val="0"/>
          <w:position w:val="0"/>
          <w:sz w:val="28"/>
          <w:szCs w:val="28"/>
          <w:lang w:val="en-US" w:eastAsia="zh-CN" w:bidi="ar-SA"/>
          <w14:textFill>
            <w14:solidFill>
              <w14:schemeClr w14:val="tx1"/>
            </w14:solidFill>
          </w14:textFill>
        </w:rPr>
        <w:id w:val="147475863"/>
        <w15:color w:val="DBDBDB"/>
        <w:docPartObj>
          <w:docPartGallery w:val="Table of Contents"/>
          <w:docPartUnique/>
        </w:docPartObj>
      </w:sdtPr>
      <w:sdtEndPr>
        <w:rPr>
          <w:rFonts w:hint="eastAsia" w:ascii="Times New Roman" w:hAnsi="Times New Roman" w:eastAsia="宋体" w:cs="Times New Roman"/>
          <w:b/>
          <w:bCs/>
          <w:snapToGrid/>
          <w:color w:val="000000" w:themeColor="text1"/>
          <w:spacing w:val="0"/>
          <w:kern w:val="0"/>
          <w:position w:val="0"/>
          <w:sz w:val="24"/>
          <w:szCs w:val="20"/>
          <w:lang w:val="en-US" w:eastAsia="zh-CN" w:bidi="ar-SA"/>
          <w14:textFill>
            <w14:solidFill>
              <w14:schemeClr w14:val="tx1"/>
            </w14:solidFill>
          </w14:textFill>
        </w:rPr>
      </w:sdtEndPr>
      <w:sdtContent>
        <w:p w14:paraId="6C0D7C92">
          <w:pPr>
            <w:spacing w:before="0" w:beforeLines="0" w:after="0" w:afterLines="0" w:line="240" w:lineRule="auto"/>
            <w:ind w:left="0" w:leftChars="0" w:right="0" w:rightChars="0" w:firstLine="0" w:firstLineChars="0"/>
            <w:jc w:val="center"/>
            <w:rPr>
              <w:b/>
              <w:bCs/>
              <w:snapToGrid/>
              <w:color w:val="000000" w:themeColor="text1"/>
              <w:spacing w:val="0"/>
              <w:kern w:val="0"/>
              <w:position w:val="0"/>
              <w:sz w:val="28"/>
              <w:szCs w:val="28"/>
              <w14:textFill>
                <w14:solidFill>
                  <w14:schemeClr w14:val="tx1"/>
                </w14:solidFill>
              </w14:textFill>
            </w:rPr>
          </w:pPr>
          <w:r>
            <w:rPr>
              <w:rFonts w:ascii="宋体" w:hAnsi="宋体" w:eastAsia="宋体"/>
              <w:b/>
              <w:bCs/>
              <w:snapToGrid/>
              <w:color w:val="000000" w:themeColor="text1"/>
              <w:spacing w:val="0"/>
              <w:kern w:val="0"/>
              <w:position w:val="0"/>
              <w:sz w:val="28"/>
              <w:szCs w:val="28"/>
              <w14:textFill>
                <w14:solidFill>
                  <w14:schemeClr w14:val="tx1"/>
                </w14:solidFill>
              </w14:textFill>
            </w:rPr>
            <w:t>目</w:t>
          </w:r>
          <w:r>
            <w:rPr>
              <w:rFonts w:hint="eastAsia" w:ascii="宋体" w:hAnsi="宋体" w:eastAsia="宋体"/>
              <w:b/>
              <w:bCs/>
              <w:snapToGrid/>
              <w:color w:val="000000" w:themeColor="text1"/>
              <w:spacing w:val="0"/>
              <w:kern w:val="0"/>
              <w:position w:val="0"/>
              <w:sz w:val="28"/>
              <w:szCs w:val="28"/>
              <w:lang w:val="en-US" w:eastAsia="zh-CN"/>
              <w14:textFill>
                <w14:solidFill>
                  <w14:schemeClr w14:val="tx1"/>
                </w14:solidFill>
              </w14:textFill>
            </w:rPr>
            <w:t xml:space="preserve">    </w:t>
          </w:r>
          <w:r>
            <w:rPr>
              <w:rFonts w:ascii="宋体" w:hAnsi="宋体" w:eastAsia="宋体"/>
              <w:b/>
              <w:bCs/>
              <w:snapToGrid/>
              <w:color w:val="000000" w:themeColor="text1"/>
              <w:spacing w:val="0"/>
              <w:kern w:val="0"/>
              <w:position w:val="0"/>
              <w:sz w:val="28"/>
              <w:szCs w:val="28"/>
              <w14:textFill>
                <w14:solidFill>
                  <w14:schemeClr w14:val="tx1"/>
                </w14:solidFill>
              </w14:textFill>
            </w:rPr>
            <w:t>录</w:t>
          </w:r>
        </w:p>
        <w:p w14:paraId="00FF65EA">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TOC \o "1-3" \h \u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_Toc9858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一、建设项目基本情况</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_Toc9858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1</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78891466">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_Toc30157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二、建设项目工程分析</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_Toc30157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16</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648AD987">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_Toc20790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_Toc20790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31</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58124844">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_Toc18631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四、主要环境影响和保护措施</w:t>
          </w:r>
          <w:bookmarkStart w:id="14" w:name="_GoBack"/>
          <w:bookmarkEnd w:id="14"/>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_Toc18631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36</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5524530B">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_Toc25517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五、环境保护措施监督检查清单</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_Toc25517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44</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104E6502">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_Toc4103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六、结论</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_Toc4103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70</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3053AEF8">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HYPERLINK \l _Toc26054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附表</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ab/>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instrText xml:space="preserve"> PAGEREF _Toc26054 \h </w:instrTex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71</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p w14:paraId="146EF497">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cs="Times New Roman"/>
              <w:b/>
              <w:bCs/>
              <w:i w:val="0"/>
              <w:iCs w:val="0"/>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i w:val="0"/>
              <w:iCs w:val="0"/>
              <w:snapToGrid/>
              <w:color w:val="000000" w:themeColor="text1"/>
              <w:spacing w:val="0"/>
              <w:kern w:val="0"/>
              <w:position w:val="0"/>
              <w:sz w:val="24"/>
              <w:szCs w:val="24"/>
              <w:lang w:val="en-US" w:eastAsia="zh-CN"/>
              <w14:textFill>
                <w14:solidFill>
                  <w14:schemeClr w14:val="tx1"/>
                </w14:solidFill>
              </w14:textFill>
            </w:rPr>
            <w:t>附图</w:t>
          </w:r>
        </w:p>
        <w:p w14:paraId="34766721">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pP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附图1  </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t>项目地理位置图</w:t>
          </w:r>
        </w:p>
        <w:p w14:paraId="7260DA2D">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2</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项目总平面布置图</w:t>
          </w:r>
        </w:p>
        <w:p w14:paraId="2BC327CC">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项目区域敏感</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目标分布</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p>
        <w:p w14:paraId="4C9F0916">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4</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项目卫生防护距离包络线</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p>
        <w:p w14:paraId="042E7B6B">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5</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项目分区防渗</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p>
        <w:p w14:paraId="43639B63">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6</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项目雨污水管网图</w:t>
          </w:r>
        </w:p>
        <w:p w14:paraId="046BC146">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7</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宁都县</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域</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生态保护红线划定范围</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p>
        <w:p w14:paraId="249CAF65">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8</w:t>
          </w: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宁都县环境管控单元</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图</w:t>
          </w:r>
        </w:p>
        <w:p w14:paraId="6C6B44EE">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cs="Times New Roman"/>
              <w:b/>
              <w:bCs/>
              <w:i w:val="0"/>
              <w:iCs w:val="0"/>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i w:val="0"/>
              <w:iCs w:val="0"/>
              <w:snapToGrid/>
              <w:color w:val="000000" w:themeColor="text1"/>
              <w:spacing w:val="0"/>
              <w:kern w:val="0"/>
              <w:position w:val="0"/>
              <w:sz w:val="24"/>
              <w:szCs w:val="24"/>
              <w:lang w:val="en-US" w:eastAsia="zh-CN"/>
              <w14:textFill>
                <w14:solidFill>
                  <w14:schemeClr w14:val="tx1"/>
                </w14:solidFill>
              </w14:textFill>
            </w:rPr>
            <w:t>附件</w:t>
          </w:r>
        </w:p>
        <w:p w14:paraId="066236EE">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附件1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委托书</w:t>
          </w:r>
        </w:p>
        <w:p w14:paraId="17EFCE2B">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附件2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备案通知书</w:t>
          </w:r>
        </w:p>
        <w:p w14:paraId="29A8E7F0">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附件</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规划条件通知书</w:t>
          </w:r>
        </w:p>
        <w:p w14:paraId="3C35EA90">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附件</w:t>
          </w:r>
          <w:r>
            <w:rPr>
              <w:rFonts w:hint="eastAsia" w:cs="Times New Roman"/>
              <w:b w:val="0"/>
              <w:bCs w:val="0"/>
              <w:snapToGrid/>
              <w:color w:val="000000" w:themeColor="text1"/>
              <w:spacing w:val="0"/>
              <w:kern w:val="0"/>
              <w:position w:val="0"/>
              <w:sz w:val="24"/>
              <w:szCs w:val="24"/>
              <w:lang w:val="en-US" w:eastAsia="zh-CN"/>
              <w14:textFill>
                <w14:solidFill>
                  <w14:schemeClr w14:val="tx1"/>
                </w14:solidFill>
              </w14:textFill>
            </w:rPr>
            <w:t>4</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 xml:space="preserve">  营业执照</w:t>
          </w:r>
        </w:p>
        <w:p w14:paraId="7E9420F2">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附件5  引用的环境现状监测报告</w:t>
          </w:r>
        </w:p>
        <w:p w14:paraId="602545F5">
          <w:pPr>
            <w:rPr>
              <w:rFonts w:hint="eastAsia"/>
              <w:lang w:val="en-US" w:eastAsia="zh-CN"/>
            </w:rPr>
          </w:pPr>
        </w:p>
        <w:p w14:paraId="060D4712">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default" w:cs="Times New Roman"/>
              <w:b/>
              <w:bCs/>
              <w:i w:val="0"/>
              <w:iCs w:val="0"/>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i w:val="0"/>
              <w:iCs w:val="0"/>
              <w:snapToGrid/>
              <w:color w:val="000000" w:themeColor="text1"/>
              <w:spacing w:val="0"/>
              <w:kern w:val="0"/>
              <w:position w:val="0"/>
              <w:sz w:val="24"/>
              <w:szCs w:val="24"/>
              <w:lang w:val="en-US" w:eastAsia="zh-CN"/>
              <w14:textFill>
                <w14:solidFill>
                  <w14:schemeClr w14:val="tx1"/>
                </w14:solidFill>
              </w14:textFill>
            </w:rPr>
            <w:t>附表</w:t>
          </w:r>
        </w:p>
        <w:p w14:paraId="35128894">
          <w:pPr>
            <w:pStyle w:val="20"/>
            <w:keepNext w:val="0"/>
            <w:keepLines w:val="0"/>
            <w:pageBreakBefore w:val="0"/>
            <w:widowControl w:val="0"/>
            <w:tabs>
              <w:tab w:val="right" w:leader="dot" w:pos="8844"/>
            </w:tabs>
            <w:kinsoku/>
            <w:wordWrap/>
            <w:overflowPunct/>
            <w:topLinePunct w:val="0"/>
            <w:autoSpaceDE/>
            <w:autoSpaceDN/>
            <w:bidi w:val="0"/>
            <w:adjustRightInd/>
            <w:snapToGrid/>
            <w:spacing w:line="440" w:lineRule="exact"/>
            <w:textAlignment w:val="auto"/>
            <w:rPr>
              <w:rFonts w:hint="eastAsia"/>
              <w:snapToGrid/>
              <w:color w:val="000000" w:themeColor="text1"/>
              <w:spacing w:val="0"/>
              <w:kern w:val="0"/>
              <w:position w:val="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建设项目环评审批基础信息表</w:t>
          </w:r>
          <w:r>
            <w:rPr>
              <w:rFonts w:hint="default" w:ascii="Times New Roman" w:hAnsi="Times New Roman" w:eastAsia="宋体" w:cs="Times New Roman"/>
              <w:b w:val="0"/>
              <w:bCs w:val="0"/>
              <w:snapToGrid/>
              <w:color w:val="000000" w:themeColor="text1"/>
              <w:spacing w:val="0"/>
              <w:kern w:val="0"/>
              <w:position w:val="0"/>
              <w:sz w:val="24"/>
              <w:szCs w:val="24"/>
              <w14:textFill>
                <w14:solidFill>
                  <w14:schemeClr w14:val="tx1"/>
                </w14:solidFill>
              </w14:textFill>
            </w:rPr>
            <w:fldChar w:fldCharType="end"/>
          </w:r>
        </w:p>
      </w:sdtContent>
    </w:sdt>
    <w:p w14:paraId="600669E6">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pPr>
      <w:bookmarkStart w:id="2" w:name="_Toc9858"/>
      <w:r>
        <w:rPr>
          <w:rFonts w:hint="eastAsia" w:ascii="黑体" w:hAnsi="黑体" w:eastAsia="黑体"/>
          <w:snapToGrid/>
          <w:color w:val="000000" w:themeColor="text1"/>
          <w:spacing w:val="0"/>
          <w:kern w:val="0"/>
          <w:position w:val="0"/>
          <w:sz w:val="30"/>
          <w:szCs w:val="30"/>
          <w14:textFill>
            <w14:solidFill>
              <w14:schemeClr w14:val="tx1"/>
            </w14:solidFill>
          </w14:textFill>
        </w:rPr>
        <w:t>一、建设项目基本情况</w:t>
      </w:r>
      <w:bookmarkEnd w:id="2"/>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87"/>
        <w:gridCol w:w="1985"/>
        <w:gridCol w:w="1881"/>
        <w:gridCol w:w="3212"/>
      </w:tblGrid>
      <w:tr w14:paraId="10BF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134C470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建设项目名称</w:t>
            </w:r>
          </w:p>
        </w:tc>
        <w:tc>
          <w:tcPr>
            <w:tcW w:w="7078" w:type="dxa"/>
            <w:gridSpan w:val="3"/>
            <w:tcBorders>
              <w:tl2br w:val="nil"/>
              <w:tr2bl w:val="nil"/>
            </w:tcBorders>
            <w:noWrap w:val="0"/>
            <w:vAlign w:val="center"/>
          </w:tcPr>
          <w:p w14:paraId="3599855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宁都县城投混凝土有限公司年产60万立方商品混凝土搅拌站项目</w:t>
            </w:r>
          </w:p>
        </w:tc>
      </w:tr>
      <w:tr w14:paraId="2569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3B8C4BE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项目代码</w:t>
            </w:r>
          </w:p>
        </w:tc>
        <w:tc>
          <w:tcPr>
            <w:tcW w:w="7078" w:type="dxa"/>
            <w:gridSpan w:val="3"/>
            <w:tcBorders>
              <w:tl2br w:val="nil"/>
              <w:tr2bl w:val="nil"/>
            </w:tcBorders>
            <w:noWrap w:val="0"/>
            <w:vAlign w:val="center"/>
          </w:tcPr>
          <w:p w14:paraId="4F18FA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2112-360730-04-01-761464</w:t>
            </w:r>
          </w:p>
        </w:tc>
      </w:tr>
      <w:tr w14:paraId="6A05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0C43512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建设单位联系人</w:t>
            </w:r>
          </w:p>
        </w:tc>
        <w:tc>
          <w:tcPr>
            <w:tcW w:w="1985" w:type="dxa"/>
            <w:tcBorders>
              <w:tl2br w:val="nil"/>
              <w:tr2bl w:val="nil"/>
            </w:tcBorders>
            <w:noWrap w:val="0"/>
            <w:vAlign w:val="center"/>
          </w:tcPr>
          <w:p w14:paraId="3B5B104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邓凡凡</w:t>
            </w:r>
          </w:p>
        </w:tc>
        <w:tc>
          <w:tcPr>
            <w:tcW w:w="1881" w:type="dxa"/>
            <w:tcBorders>
              <w:tl2br w:val="nil"/>
              <w:tr2bl w:val="nil"/>
            </w:tcBorders>
            <w:noWrap w:val="0"/>
            <w:vAlign w:val="center"/>
          </w:tcPr>
          <w:p w14:paraId="3DEA22E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联系方式</w:t>
            </w:r>
          </w:p>
        </w:tc>
        <w:tc>
          <w:tcPr>
            <w:tcW w:w="3212" w:type="dxa"/>
            <w:tcBorders>
              <w:tl2br w:val="nil"/>
              <w:tr2bl w:val="nil"/>
            </w:tcBorders>
            <w:noWrap w:val="0"/>
            <w:vAlign w:val="center"/>
          </w:tcPr>
          <w:p w14:paraId="6FE46932">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19979786727</w:t>
            </w:r>
          </w:p>
        </w:tc>
      </w:tr>
      <w:tr w14:paraId="38DE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2F54C78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建设地点</w:t>
            </w:r>
          </w:p>
        </w:tc>
        <w:tc>
          <w:tcPr>
            <w:tcW w:w="7078" w:type="dxa"/>
            <w:gridSpan w:val="3"/>
            <w:tcBorders>
              <w:tl2br w:val="nil"/>
              <w:tr2bl w:val="nil"/>
            </w:tcBorders>
            <w:noWrap w:val="0"/>
            <w:vAlign w:val="center"/>
          </w:tcPr>
          <w:p w14:paraId="4DD0E1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p>
        </w:tc>
      </w:tr>
      <w:tr w14:paraId="495F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030665E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地理坐标</w:t>
            </w:r>
          </w:p>
        </w:tc>
        <w:tc>
          <w:tcPr>
            <w:tcW w:w="7078" w:type="dxa"/>
            <w:gridSpan w:val="3"/>
            <w:tcBorders>
              <w:tl2br w:val="nil"/>
              <w:tr2bl w:val="nil"/>
            </w:tcBorders>
            <w:noWrap w:val="0"/>
            <w:vAlign w:val="center"/>
          </w:tcPr>
          <w:p w14:paraId="734305E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u w:val="single"/>
                <w:shd w:val="clear" w:color="auto" w:fill="auto"/>
                <w:lang w:eastAsia="zh-CN"/>
                <w14:textFill>
                  <w14:solidFill>
                    <w14:schemeClr w14:val="tx1"/>
                  </w14:solidFill>
                </w14:textFill>
              </w:rPr>
              <w:t>11</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5</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度</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59</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分</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2.044</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秒</w:t>
            </w:r>
            <w:r>
              <w:rPr>
                <w:rFonts w:hint="default" w:ascii="Times New Roman" w:hAnsi="Times New Roman" w:eastAsia="宋体" w:cs="Times New Roman"/>
                <w:snapToGrid/>
                <w:color w:val="000000" w:themeColor="text1"/>
                <w:spacing w:val="0"/>
                <w:kern w:val="0"/>
                <w:position w:val="0"/>
                <w:sz w:val="24"/>
                <w:szCs w:val="24"/>
                <w:shd w:val="clear" w:color="auto" w:fill="auto"/>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u w:val="single"/>
                <w:shd w:val="clear" w:color="auto" w:fill="auto"/>
                <w:lang w:eastAsia="zh-CN"/>
                <w14:textFill>
                  <w14:solidFill>
                    <w14:schemeClr w14:val="tx1"/>
                  </w14:solidFill>
                </w14:textFill>
              </w:rPr>
              <w:t>2</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6</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度</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27</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分</w:t>
            </w:r>
            <w:r>
              <w:rPr>
                <w:rFonts w:hint="eastAsia" w:cs="Times New Roman"/>
                <w:snapToGrid/>
                <w:color w:val="000000" w:themeColor="text1"/>
                <w:spacing w:val="0"/>
                <w:kern w:val="0"/>
                <w:position w:val="0"/>
                <w:sz w:val="24"/>
                <w:szCs w:val="24"/>
                <w:u w:val="single"/>
                <w:shd w:val="clear" w:color="auto" w:fill="auto"/>
                <w:lang w:val="en-US" w:eastAsia="zh-CN"/>
                <w14:textFill>
                  <w14:solidFill>
                    <w14:schemeClr w14:val="tx1"/>
                  </w14:solidFill>
                </w14:textFill>
              </w:rPr>
              <w:t>3.983</w:t>
            </w:r>
            <w:r>
              <w:rPr>
                <w:rFonts w:hint="default" w:ascii="Times New Roman" w:hAnsi="Times New Roman" w:eastAsia="宋体" w:cs="Times New Roman"/>
                <w:snapToGrid/>
                <w:color w:val="000000" w:themeColor="text1"/>
                <w:spacing w:val="0"/>
                <w:kern w:val="0"/>
                <w:position w:val="0"/>
                <w:sz w:val="24"/>
                <w:szCs w:val="24"/>
                <w:shd w:val="clear" w:color="auto" w:fill="auto"/>
                <w:lang w:eastAsia="zh-CN"/>
                <w14:textFill>
                  <w14:solidFill>
                    <w14:schemeClr w14:val="tx1"/>
                  </w14:solidFill>
                </w14:textFill>
              </w:rPr>
              <w:t>秒</w:t>
            </w:r>
          </w:p>
        </w:tc>
      </w:tr>
      <w:tr w14:paraId="16C6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51610BB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国民经济</w:t>
            </w:r>
          </w:p>
          <w:p w14:paraId="72FD66F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行业类别</w:t>
            </w:r>
          </w:p>
        </w:tc>
        <w:tc>
          <w:tcPr>
            <w:tcW w:w="1985" w:type="dxa"/>
            <w:tcBorders>
              <w:tl2br w:val="nil"/>
              <w:tr2bl w:val="nil"/>
            </w:tcBorders>
            <w:noWrap w:val="0"/>
            <w:vAlign w:val="center"/>
          </w:tcPr>
          <w:p w14:paraId="5DA5FD2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
                <w14:textFill>
                  <w14:solidFill>
                    <w14:schemeClr w14:val="tx1"/>
                  </w14:solidFill>
                </w14:textFill>
              </w:rPr>
              <w:t>C3021 水泥制品制造；C3029 其他水泥类似制品制造</w:t>
            </w:r>
          </w:p>
        </w:tc>
        <w:tc>
          <w:tcPr>
            <w:tcW w:w="1881" w:type="dxa"/>
            <w:tcBorders>
              <w:tl2br w:val="nil"/>
              <w:tr2bl w:val="nil"/>
            </w:tcBorders>
            <w:noWrap w:val="0"/>
            <w:vAlign w:val="center"/>
          </w:tcPr>
          <w:p w14:paraId="2BB95B0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bookmarkStart w:id="3" w:name="_Hlk49843745"/>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建设项目</w:t>
            </w:r>
          </w:p>
          <w:p w14:paraId="1F338FD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行业类别</w:t>
            </w:r>
            <w:bookmarkEnd w:id="3"/>
          </w:p>
        </w:tc>
        <w:tc>
          <w:tcPr>
            <w:tcW w:w="3212" w:type="dxa"/>
            <w:tcBorders>
              <w:tl2br w:val="nil"/>
              <w:tr2bl w:val="nil"/>
            </w:tcBorders>
            <w:noWrap w:val="0"/>
            <w:vAlign w:val="center"/>
          </w:tcPr>
          <w:p w14:paraId="1BCA10B2">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二十七、非金属矿物制品业30，55.石膏、水泥制品及类似制品制造302，商品混凝土；水泥制品制造</w:t>
            </w:r>
          </w:p>
        </w:tc>
      </w:tr>
      <w:tr w14:paraId="53E9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1DDB618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建设性质</w:t>
            </w:r>
          </w:p>
        </w:tc>
        <w:tc>
          <w:tcPr>
            <w:tcW w:w="1985" w:type="dxa"/>
            <w:tcBorders>
              <w:tl2br w:val="nil"/>
              <w:tr2bl w:val="nil"/>
            </w:tcBorders>
            <w:noWrap w:val="0"/>
            <w:vAlign w:val="center"/>
          </w:tcPr>
          <w:p w14:paraId="7A3935CC">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52"/>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新建（迁建）</w:t>
            </w:r>
          </w:p>
          <w:p w14:paraId="15B8C36E">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改建</w:t>
            </w:r>
          </w:p>
          <w:p w14:paraId="50B45BE5">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扩建</w:t>
            </w:r>
          </w:p>
          <w:p w14:paraId="799E63CA">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技术改造</w:t>
            </w:r>
          </w:p>
        </w:tc>
        <w:tc>
          <w:tcPr>
            <w:tcW w:w="1881" w:type="dxa"/>
            <w:tcBorders>
              <w:tl2br w:val="nil"/>
              <w:tr2bl w:val="nil"/>
            </w:tcBorders>
            <w:noWrap w:val="0"/>
            <w:vAlign w:val="center"/>
          </w:tcPr>
          <w:p w14:paraId="6C03B4B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建设项目</w:t>
            </w:r>
          </w:p>
          <w:p w14:paraId="257344B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申报情形</w:t>
            </w:r>
          </w:p>
        </w:tc>
        <w:tc>
          <w:tcPr>
            <w:tcW w:w="3212" w:type="dxa"/>
            <w:tcBorders>
              <w:tl2br w:val="nil"/>
              <w:tr2bl w:val="nil"/>
            </w:tcBorders>
            <w:noWrap w:val="0"/>
            <w:vAlign w:val="center"/>
          </w:tcPr>
          <w:p w14:paraId="55D83DCF">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52"/>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首次申报项目</w:t>
            </w:r>
          </w:p>
          <w:p w14:paraId="28E440AC">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不予批准后再次申报项目</w:t>
            </w:r>
          </w:p>
          <w:p w14:paraId="4B3C3F41">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超五年重新审核项目</w:t>
            </w:r>
          </w:p>
          <w:p w14:paraId="10C47580">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重大变动重新报批项目</w:t>
            </w:r>
          </w:p>
        </w:tc>
      </w:tr>
      <w:tr w14:paraId="3B09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48CB319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项目审批（核准/备案）部门</w:t>
            </w:r>
          </w:p>
          <w:p w14:paraId="0CCFFE6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（选填）</w:t>
            </w:r>
          </w:p>
        </w:tc>
        <w:tc>
          <w:tcPr>
            <w:tcW w:w="1985" w:type="dxa"/>
            <w:tcBorders>
              <w:tl2br w:val="nil"/>
              <w:tr2bl w:val="nil"/>
            </w:tcBorders>
            <w:noWrap w:val="0"/>
            <w:vAlign w:val="center"/>
          </w:tcPr>
          <w:p w14:paraId="7D5513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宁都县行政审批局</w:t>
            </w:r>
          </w:p>
        </w:tc>
        <w:tc>
          <w:tcPr>
            <w:tcW w:w="1881" w:type="dxa"/>
            <w:tcBorders>
              <w:tl2br w:val="nil"/>
              <w:tr2bl w:val="nil"/>
            </w:tcBorders>
            <w:noWrap w:val="0"/>
            <w:vAlign w:val="center"/>
          </w:tcPr>
          <w:p w14:paraId="4A2BA97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项目审批（核准/备案）文号（选填）</w:t>
            </w:r>
          </w:p>
        </w:tc>
        <w:tc>
          <w:tcPr>
            <w:tcW w:w="3212" w:type="dxa"/>
            <w:tcBorders>
              <w:tl2br w:val="nil"/>
              <w:tr2bl w:val="nil"/>
            </w:tcBorders>
            <w:noWrap w:val="0"/>
            <w:vAlign w:val="center"/>
          </w:tcPr>
          <w:p w14:paraId="0C5CB3F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2112-360730-04-01-761464</w:t>
            </w:r>
          </w:p>
        </w:tc>
      </w:tr>
      <w:tr w14:paraId="4C81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0CE383A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总投资</w:t>
            </w:r>
          </w:p>
          <w:p w14:paraId="65FC451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（万元）</w:t>
            </w:r>
          </w:p>
        </w:tc>
        <w:tc>
          <w:tcPr>
            <w:tcW w:w="1985" w:type="dxa"/>
            <w:tcBorders>
              <w:tl2br w:val="nil"/>
              <w:tr2bl w:val="nil"/>
            </w:tcBorders>
            <w:noWrap w:val="0"/>
            <w:vAlign w:val="center"/>
          </w:tcPr>
          <w:p w14:paraId="71DC7EB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6000</w:t>
            </w:r>
          </w:p>
        </w:tc>
        <w:tc>
          <w:tcPr>
            <w:tcW w:w="1881" w:type="dxa"/>
            <w:tcBorders>
              <w:tl2br w:val="nil"/>
              <w:tr2bl w:val="nil"/>
            </w:tcBorders>
            <w:noWrap w:val="0"/>
            <w:tcMar>
              <w:top w:w="16" w:type="dxa"/>
              <w:left w:w="16" w:type="dxa"/>
              <w:right w:w="16" w:type="dxa"/>
            </w:tcMar>
            <w:vAlign w:val="center"/>
          </w:tcPr>
          <w:p w14:paraId="1AEC9AC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环保投资</w:t>
            </w:r>
          </w:p>
          <w:p w14:paraId="510DE3F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（万元）</w:t>
            </w:r>
          </w:p>
        </w:tc>
        <w:tc>
          <w:tcPr>
            <w:tcW w:w="3212" w:type="dxa"/>
            <w:tcBorders>
              <w:tl2br w:val="nil"/>
              <w:tr2bl w:val="nil"/>
            </w:tcBorders>
            <w:noWrap w:val="0"/>
            <w:vAlign w:val="center"/>
          </w:tcPr>
          <w:p w14:paraId="01F109A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150</w:t>
            </w:r>
          </w:p>
        </w:tc>
      </w:tr>
      <w:tr w14:paraId="4367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0E0658A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环保投资占比（%）</w:t>
            </w:r>
          </w:p>
        </w:tc>
        <w:tc>
          <w:tcPr>
            <w:tcW w:w="1985" w:type="dxa"/>
            <w:tcBorders>
              <w:tl2br w:val="nil"/>
              <w:tr2bl w:val="nil"/>
            </w:tcBorders>
            <w:noWrap w:val="0"/>
            <w:vAlign w:val="center"/>
          </w:tcPr>
          <w:p w14:paraId="21BE57A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2.5</w:t>
            </w:r>
          </w:p>
        </w:tc>
        <w:tc>
          <w:tcPr>
            <w:tcW w:w="1881" w:type="dxa"/>
            <w:tcBorders>
              <w:tl2br w:val="nil"/>
              <w:tr2bl w:val="nil"/>
            </w:tcBorders>
            <w:noWrap w:val="0"/>
            <w:tcMar>
              <w:top w:w="16" w:type="dxa"/>
              <w:left w:w="16" w:type="dxa"/>
              <w:right w:w="16" w:type="dxa"/>
            </w:tcMar>
            <w:vAlign w:val="center"/>
          </w:tcPr>
          <w:p w14:paraId="45C0743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施工工期</w:t>
            </w:r>
          </w:p>
        </w:tc>
        <w:tc>
          <w:tcPr>
            <w:tcW w:w="3212" w:type="dxa"/>
            <w:tcBorders>
              <w:tl2br w:val="nil"/>
              <w:tr2bl w:val="nil"/>
            </w:tcBorders>
            <w:noWrap w:val="0"/>
            <w:vAlign w:val="center"/>
          </w:tcPr>
          <w:p w14:paraId="2426A63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12</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个月</w:t>
            </w:r>
          </w:p>
        </w:tc>
      </w:tr>
      <w:tr w14:paraId="0CF2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87" w:type="dxa"/>
            <w:tcBorders>
              <w:tl2br w:val="nil"/>
              <w:tr2bl w:val="nil"/>
            </w:tcBorders>
            <w:noWrap w:val="0"/>
            <w:tcMar>
              <w:top w:w="16" w:type="dxa"/>
              <w:left w:w="16" w:type="dxa"/>
              <w:right w:w="16" w:type="dxa"/>
            </w:tcMar>
            <w:vAlign w:val="center"/>
          </w:tcPr>
          <w:p w14:paraId="1910E3E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是否开工建设</w:t>
            </w:r>
          </w:p>
        </w:tc>
        <w:tc>
          <w:tcPr>
            <w:tcW w:w="1985" w:type="dxa"/>
            <w:tcBorders>
              <w:tl2br w:val="nil"/>
              <w:tr2bl w:val="nil"/>
            </w:tcBorders>
            <w:noWrap w:val="0"/>
            <w:vAlign w:val="center"/>
          </w:tcPr>
          <w:p w14:paraId="3527088D">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52"/>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否</w:t>
            </w:r>
          </w:p>
          <w:p w14:paraId="0B88EF4F">
            <w:pPr>
              <w:keepNext w:val="0"/>
              <w:keepLines w:val="0"/>
              <w:pageBreakBefore w:val="0"/>
              <w:kinsoku/>
              <w:wordWrap/>
              <w:overflowPunct/>
              <w:topLinePunct w:val="0"/>
              <w:autoSpaceDE/>
              <w:autoSpaceDN/>
              <w:bidi w:val="0"/>
              <w:adjustRightInd/>
              <w:snapToGrid/>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sym w:font="Wingdings 2" w:char="00A3"/>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是：</w:t>
            </w:r>
            <w:r>
              <w:rPr>
                <w:rFonts w:hint="eastAsia" w:cs="Times New Roman"/>
                <w:snapToGrid/>
                <w:color w:val="000000" w:themeColor="text1"/>
                <w:spacing w:val="0"/>
                <w:kern w:val="0"/>
                <w:position w:val="0"/>
                <w:sz w:val="24"/>
                <w:szCs w:val="24"/>
                <w:u w:val="single"/>
                <w:lang w:val="en-US" w:eastAsia="zh-CN"/>
                <w14:textFill>
                  <w14:solidFill>
                    <w14:schemeClr w14:val="tx1"/>
                  </w14:solidFill>
                </w14:textFill>
              </w:rPr>
              <w:t xml:space="preserve">        </w:t>
            </w:r>
          </w:p>
        </w:tc>
        <w:tc>
          <w:tcPr>
            <w:tcW w:w="1881" w:type="dxa"/>
            <w:tcBorders>
              <w:tl2br w:val="nil"/>
              <w:tr2bl w:val="nil"/>
            </w:tcBorders>
            <w:noWrap w:val="0"/>
            <w:tcMar>
              <w:top w:w="16" w:type="dxa"/>
              <w:left w:w="16" w:type="dxa"/>
              <w:right w:w="16" w:type="dxa"/>
            </w:tcMar>
            <w:vAlign w:val="center"/>
          </w:tcPr>
          <w:p w14:paraId="159320C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用地（用海）</w:t>
            </w:r>
          </w:p>
          <w:p w14:paraId="2AB69AE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面积（m</w:t>
            </w:r>
            <w:r>
              <w:rPr>
                <w:rFonts w:hint="default" w:ascii="Times New Roman" w:hAnsi="Times New Roman" w:eastAsia="宋体" w:cs="Times New Roman"/>
                <w:snapToGrid/>
                <w:color w:val="000000" w:themeColor="text1"/>
                <w:spacing w:val="0"/>
                <w:kern w:val="0"/>
                <w:position w:val="0"/>
                <w:sz w:val="24"/>
                <w:szCs w:val="24"/>
                <w:vertAlign w:val="superscript"/>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p>
        </w:tc>
        <w:tc>
          <w:tcPr>
            <w:tcW w:w="3212" w:type="dxa"/>
            <w:tcBorders>
              <w:tl2br w:val="nil"/>
              <w:tr2bl w:val="nil"/>
            </w:tcBorders>
            <w:noWrap w:val="0"/>
            <w:vAlign w:val="center"/>
          </w:tcPr>
          <w:p w14:paraId="27479A2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41932.11</w:t>
            </w:r>
          </w:p>
        </w:tc>
      </w:tr>
      <w:tr w14:paraId="0FC9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787" w:type="dxa"/>
            <w:tcBorders>
              <w:tl2br w:val="nil"/>
              <w:tr2bl w:val="nil"/>
            </w:tcBorders>
            <w:noWrap w:val="0"/>
            <w:vAlign w:val="center"/>
          </w:tcPr>
          <w:p w14:paraId="31A17A52">
            <w:pPr>
              <w:autoSpaceDE w:val="0"/>
              <w:autoSpaceDN w:val="0"/>
              <w:adjustRightInd w:val="0"/>
              <w:snapToGrid w:val="0"/>
              <w:jc w:val="cente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专项评价设置情况</w:t>
            </w:r>
          </w:p>
        </w:tc>
        <w:tc>
          <w:tcPr>
            <w:tcW w:w="7078" w:type="dxa"/>
            <w:gridSpan w:val="3"/>
            <w:tcBorders>
              <w:tl2br w:val="nil"/>
              <w:tr2bl w:val="nil"/>
            </w:tcBorders>
            <w:noWrap w:val="0"/>
            <w:vAlign w:val="center"/>
          </w:tcPr>
          <w:p w14:paraId="7B42E681">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lang w:eastAsia="zh-CN"/>
                <w14:textFill>
                  <w14:solidFill>
                    <w14:schemeClr w14:val="tx1"/>
                  </w14:solidFill>
                </w14:textFill>
              </w:rPr>
              <w:t>表</w:t>
            </w:r>
            <w:r>
              <w:rPr>
                <w:rFonts w:hint="default"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1-1  专项评价设置分析判定表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623"/>
              <w:gridCol w:w="2374"/>
              <w:gridCol w:w="899"/>
            </w:tblGrid>
            <w:tr w14:paraId="24ED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5AF18863">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vertAlign w:val="baseline"/>
                      <w:lang w:eastAsia="zh-CN"/>
                      <w14:textFill>
                        <w14:solidFill>
                          <w14:schemeClr w14:val="tx1"/>
                        </w14:solidFill>
                      </w14:textFill>
                    </w:rPr>
                    <w:t>专项评价类别</w:t>
                  </w:r>
                </w:p>
              </w:tc>
              <w:tc>
                <w:tcPr>
                  <w:tcW w:w="1914" w:type="pct"/>
                  <w:noWrap w:val="0"/>
                  <w:vAlign w:val="center"/>
                </w:tcPr>
                <w:p w14:paraId="02351A0B">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vertAlign w:val="baseline"/>
                      <w:lang w:eastAsia="zh-CN"/>
                      <w14:textFill>
                        <w14:solidFill>
                          <w14:schemeClr w14:val="tx1"/>
                        </w14:solidFill>
                      </w14:textFill>
                    </w:rPr>
                    <w:t>设置原则</w:t>
                  </w:r>
                </w:p>
              </w:tc>
              <w:tc>
                <w:tcPr>
                  <w:tcW w:w="1733" w:type="pct"/>
                  <w:noWrap w:val="0"/>
                  <w:vAlign w:val="center"/>
                </w:tcPr>
                <w:p w14:paraId="1C322AAE">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vertAlign w:val="baseline"/>
                      <w:lang w:eastAsia="zh-CN"/>
                      <w14:textFill>
                        <w14:solidFill>
                          <w14:schemeClr w14:val="tx1"/>
                        </w14:solidFill>
                      </w14:textFill>
                    </w:rPr>
                    <w:t>项目说明</w:t>
                  </w:r>
                </w:p>
              </w:tc>
              <w:tc>
                <w:tcPr>
                  <w:tcW w:w="656" w:type="pct"/>
                  <w:noWrap w:val="0"/>
                  <w:vAlign w:val="center"/>
                </w:tcPr>
                <w:p w14:paraId="0B9DA276">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vertAlign w:val="baseline"/>
                      <w:lang w:eastAsia="zh-CN"/>
                      <w14:textFill>
                        <w14:solidFill>
                          <w14:schemeClr w14:val="tx1"/>
                        </w14:solidFill>
                      </w14:textFill>
                    </w:rPr>
                    <w:t>判定是否开展</w:t>
                  </w:r>
                </w:p>
              </w:tc>
            </w:tr>
            <w:tr w14:paraId="494A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74D2B2EE">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大气</w:t>
                  </w:r>
                </w:p>
              </w:tc>
              <w:tc>
                <w:tcPr>
                  <w:tcW w:w="1914" w:type="pct"/>
                  <w:noWrap w:val="0"/>
                  <w:vAlign w:val="center"/>
                </w:tcPr>
                <w:p w14:paraId="7589D618">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排放废气含有毒有害污染物、二噁英、苯并[a]芘、氰化物、氯气且厂界外500</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范围内有环境空气保护目标的建设项目</w:t>
                  </w: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p>
              </w:tc>
              <w:tc>
                <w:tcPr>
                  <w:tcW w:w="1733" w:type="pct"/>
                  <w:noWrap w:val="0"/>
                  <w:vAlign w:val="center"/>
                </w:tcPr>
                <w:p w14:paraId="6788F807">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本项目排放废气</w:t>
                  </w:r>
                  <w:r>
                    <w:rPr>
                      <w:rFonts w:hint="default" w:ascii="Times New Roman" w:hAnsi="Times New Roman" w:cs="Times New Roman"/>
                      <w:snapToGrid/>
                      <w:color w:val="000000" w:themeColor="text1"/>
                      <w:spacing w:val="0"/>
                      <w:kern w:val="0"/>
                      <w:position w:val="0"/>
                      <w:sz w:val="21"/>
                      <w:szCs w:val="21"/>
                      <w:vertAlign w:val="baseline"/>
                      <w:lang w:val="en-US" w:eastAsia="zh-CN"/>
                      <w14:textFill>
                        <w14:solidFill>
                          <w14:schemeClr w14:val="tx1"/>
                        </w14:solidFill>
                      </w14:textFill>
                    </w:rPr>
                    <w:t>不含</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有毒有害污染物、二噁英、苯并[a]芘、氰化物、氯气</w:t>
                  </w: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p>
              </w:tc>
              <w:tc>
                <w:tcPr>
                  <w:tcW w:w="656" w:type="pct"/>
                  <w:noWrap w:val="0"/>
                  <w:vAlign w:val="center"/>
                </w:tcPr>
                <w:p w14:paraId="0BE046F5">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否</w:t>
                  </w:r>
                </w:p>
              </w:tc>
            </w:tr>
            <w:tr w14:paraId="51CD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5EF5192A">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地表水</w:t>
                  </w:r>
                </w:p>
              </w:tc>
              <w:tc>
                <w:tcPr>
                  <w:tcW w:w="1914" w:type="pct"/>
                  <w:noWrap w:val="0"/>
                  <w:vAlign w:val="center"/>
                </w:tcPr>
                <w:p w14:paraId="1A26038B">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新增工业废水直排建设项目（槽罐车外送污水处理厂的除外）；新增废水直排的污水集中处理厂</w:t>
                  </w: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p>
              </w:tc>
              <w:tc>
                <w:tcPr>
                  <w:tcW w:w="1733" w:type="pct"/>
                  <w:noWrap w:val="0"/>
                  <w:vAlign w:val="center"/>
                </w:tcPr>
                <w:p w14:paraId="42F8872F">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本</w:t>
                  </w:r>
                  <w:r>
                    <w:rPr>
                      <w:rFonts w:hint="default" w:cs="Times New Roman"/>
                      <w:snapToGrid/>
                      <w:color w:val="000000" w:themeColor="text1"/>
                      <w:spacing w:val="0"/>
                      <w:kern w:val="0"/>
                      <w:position w:val="0"/>
                      <w:sz w:val="21"/>
                      <w:szCs w:val="21"/>
                      <w:vertAlign w:val="baseline"/>
                      <w:lang w:val="en-US" w:eastAsia="zh-CN"/>
                      <w14:textFill>
                        <w14:solidFill>
                          <w14:schemeClr w14:val="tx1"/>
                        </w14:solidFill>
                      </w14:textFill>
                    </w:rPr>
                    <w:t>项目</w:t>
                  </w: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生产废水经处理后回用，不外排；生活污水经化粪池处理后用于厂区绿化，不外排</w:t>
                  </w:r>
                  <w:r>
                    <w:rPr>
                      <w:rFonts w:hint="default" w:cs="Times New Roman"/>
                      <w:snapToGrid/>
                      <w:color w:val="000000" w:themeColor="text1"/>
                      <w:spacing w:val="0"/>
                      <w:kern w:val="0"/>
                      <w:position w:val="0"/>
                      <w:sz w:val="21"/>
                      <w:szCs w:val="21"/>
                      <w:vertAlign w:val="baseline"/>
                      <w:lang w:val="en-US" w:eastAsia="zh-CN"/>
                      <w14:textFill>
                        <w14:solidFill>
                          <w14:schemeClr w14:val="tx1"/>
                        </w14:solidFill>
                      </w14:textFill>
                    </w:rPr>
                    <w:t>。</w:t>
                  </w:r>
                </w:p>
              </w:tc>
              <w:tc>
                <w:tcPr>
                  <w:tcW w:w="656" w:type="pct"/>
                  <w:noWrap w:val="0"/>
                  <w:vAlign w:val="center"/>
                </w:tcPr>
                <w:p w14:paraId="57F1FA9E">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否</w:t>
                  </w:r>
                </w:p>
              </w:tc>
            </w:tr>
            <w:tr w14:paraId="29DD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5F52129F">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环境</w:t>
                  </w:r>
                </w:p>
                <w:p w14:paraId="3E6B9C55">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风险</w:t>
                  </w:r>
                </w:p>
              </w:tc>
              <w:tc>
                <w:tcPr>
                  <w:tcW w:w="1914" w:type="pct"/>
                  <w:noWrap w:val="0"/>
                  <w:vAlign w:val="center"/>
                </w:tcPr>
                <w:p w14:paraId="570A93BE">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有毒有害和易燃易爆危险物质存储量超过临界量的建设项目</w:t>
                  </w: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p>
              </w:tc>
              <w:tc>
                <w:tcPr>
                  <w:tcW w:w="1733" w:type="pct"/>
                  <w:noWrap w:val="0"/>
                  <w:vAlign w:val="center"/>
                </w:tcPr>
                <w:p w14:paraId="724782E5">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本项目</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有毒有害和易燃易爆危险物质存储量</w:t>
                  </w:r>
                  <w:r>
                    <w:rPr>
                      <w:rFonts w:hint="eastAsia" w:cs="Times New Roman"/>
                      <w:snapToGrid/>
                      <w:color w:val="000000" w:themeColor="text1"/>
                      <w:spacing w:val="0"/>
                      <w:kern w:val="0"/>
                      <w:position w:val="0"/>
                      <w:sz w:val="21"/>
                      <w:szCs w:val="21"/>
                      <w:lang w:val="en-US" w:eastAsia="zh-CN"/>
                      <w14:textFill>
                        <w14:solidFill>
                          <w14:schemeClr w14:val="tx1"/>
                        </w14:solidFill>
                      </w14:textFill>
                    </w:rPr>
                    <w:t>未</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超过临界量</w:t>
                  </w: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p>
              </w:tc>
              <w:tc>
                <w:tcPr>
                  <w:tcW w:w="656" w:type="pct"/>
                  <w:noWrap w:val="0"/>
                  <w:vAlign w:val="center"/>
                </w:tcPr>
                <w:p w14:paraId="3EA96FCA">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否</w:t>
                  </w:r>
                </w:p>
              </w:tc>
            </w:tr>
            <w:tr w14:paraId="4205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1B2642F7">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生态</w:t>
                  </w:r>
                </w:p>
              </w:tc>
              <w:tc>
                <w:tcPr>
                  <w:tcW w:w="1914" w:type="pct"/>
                  <w:noWrap w:val="0"/>
                  <w:vAlign w:val="center"/>
                </w:tcPr>
                <w:p w14:paraId="437B35A3">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取水口下游500</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范围内有重要水生生物的自然产卵场、索饵场、越冬场和洄游通道的新增河道取水的污染类建设项目</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p>
              </w:tc>
              <w:tc>
                <w:tcPr>
                  <w:tcW w:w="1733" w:type="pct"/>
                  <w:noWrap w:val="0"/>
                  <w:vAlign w:val="center"/>
                </w:tcPr>
                <w:p w14:paraId="0DF42B24">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不涉及</w:t>
                  </w:r>
                </w:p>
              </w:tc>
              <w:tc>
                <w:tcPr>
                  <w:tcW w:w="656" w:type="pct"/>
                  <w:noWrap w:val="0"/>
                  <w:vAlign w:val="center"/>
                </w:tcPr>
                <w:p w14:paraId="3E41E35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snapToGrid/>
                      <w:color w:val="000000" w:themeColor="text1"/>
                      <w:spacing w:val="0"/>
                      <w:kern w:val="0"/>
                      <w:position w:val="0"/>
                      <w:sz w:val="21"/>
                      <w:szCs w:val="21"/>
                      <w:vertAlign w:val="baseline"/>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否</w:t>
                  </w:r>
                </w:p>
              </w:tc>
            </w:tr>
            <w:tr w14:paraId="2C1D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noWrap w:val="0"/>
                  <w:vAlign w:val="center"/>
                </w:tcPr>
                <w:p w14:paraId="4CBD51D1">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海洋</w:t>
                  </w:r>
                </w:p>
              </w:tc>
              <w:tc>
                <w:tcPr>
                  <w:tcW w:w="1914" w:type="pct"/>
                  <w:noWrap w:val="0"/>
                  <w:vAlign w:val="center"/>
                </w:tcPr>
                <w:p w14:paraId="0C5FF59C">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直接向海排放污染物的海洋工程建设项目</w:t>
                  </w:r>
                  <w:r>
                    <w:rPr>
                      <w:rFonts w:hint="eastAsia" w:cs="Times New Roman"/>
                      <w:snapToGrid/>
                      <w:color w:val="000000" w:themeColor="text1"/>
                      <w:spacing w:val="0"/>
                      <w:kern w:val="0"/>
                      <w:position w:val="0"/>
                      <w:sz w:val="21"/>
                      <w:szCs w:val="21"/>
                      <w:lang w:eastAsia="zh-CN"/>
                      <w14:textFill>
                        <w14:solidFill>
                          <w14:schemeClr w14:val="tx1"/>
                        </w14:solidFill>
                      </w14:textFill>
                    </w:rPr>
                    <w:t>。</w:t>
                  </w:r>
                </w:p>
              </w:tc>
              <w:tc>
                <w:tcPr>
                  <w:tcW w:w="2382" w:type="dxa"/>
                  <w:noWrap w:val="0"/>
                  <w:vAlign w:val="center"/>
                </w:tcPr>
                <w:p w14:paraId="646F6D57">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不涉及</w:t>
                  </w:r>
                </w:p>
              </w:tc>
              <w:tc>
                <w:tcPr>
                  <w:tcW w:w="902" w:type="dxa"/>
                  <w:noWrap w:val="0"/>
                  <w:vAlign w:val="center"/>
                </w:tcPr>
                <w:p w14:paraId="1915E88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vertAlign w:val="baseline"/>
                      <w:lang w:eastAsia="zh-CN"/>
                      <w14:textFill>
                        <w14:solidFill>
                          <w14:schemeClr w14:val="tx1"/>
                        </w14:solidFill>
                      </w14:textFill>
                    </w:rPr>
                    <w:t>否</w:t>
                  </w:r>
                </w:p>
              </w:tc>
            </w:tr>
          </w:tbl>
          <w:p w14:paraId="5F77FE8A">
            <w:pPr>
              <w:pStyle w:val="20"/>
              <w:rPr>
                <w:rFonts w:hint="default"/>
                <w:color w:val="000000" w:themeColor="text1"/>
                <w14:textFill>
                  <w14:solidFill>
                    <w14:schemeClr w14:val="tx1"/>
                  </w14:solidFill>
                </w14:textFill>
              </w:rPr>
            </w:pPr>
          </w:p>
        </w:tc>
      </w:tr>
      <w:tr w14:paraId="428E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7" w:type="dxa"/>
            <w:tcBorders>
              <w:tl2br w:val="nil"/>
              <w:tr2bl w:val="nil"/>
            </w:tcBorders>
            <w:noWrap w:val="0"/>
            <w:vAlign w:val="center"/>
          </w:tcPr>
          <w:p w14:paraId="36FA76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规划情况</w:t>
            </w:r>
          </w:p>
        </w:tc>
        <w:tc>
          <w:tcPr>
            <w:tcW w:w="7078" w:type="dxa"/>
            <w:gridSpan w:val="3"/>
            <w:tcBorders>
              <w:tl2br w:val="nil"/>
              <w:tr2bl w:val="nil"/>
            </w:tcBorders>
            <w:noWrap w:val="0"/>
            <w:vAlign w:val="center"/>
          </w:tcPr>
          <w:p w14:paraId="616988F6">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规划名称：《宁都县国土空间总体规划（2021—2035年）》</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1F5AD026">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审批机关：江西省</w:t>
            </w:r>
            <w:r>
              <w:rPr>
                <w:rFonts w:hint="eastAsia" w:ascii="Arial" w:hAnsi="Arial" w:eastAsia="宋体" w:cs="Arial"/>
                <w:i w:val="0"/>
                <w:iCs w:val="0"/>
                <w:caps w:val="0"/>
                <w:color w:val="auto"/>
                <w:spacing w:val="0"/>
                <w:sz w:val="24"/>
                <w:szCs w:val="24"/>
                <w:shd w:val="clear" w:color="auto" w:fill="FFFFFF"/>
                <w:lang w:eastAsia="zh-CN"/>
              </w:rPr>
              <w:t>人民</w:t>
            </w:r>
            <w:r>
              <w:rPr>
                <w:rFonts w:hint="eastAsia" w:ascii="Arial" w:hAnsi="Arial" w:eastAsia="Arial" w:cs="Arial"/>
                <w:i w:val="0"/>
                <w:iCs w:val="0"/>
                <w:caps w:val="0"/>
                <w:color w:val="auto"/>
                <w:spacing w:val="0"/>
                <w:sz w:val="24"/>
                <w:szCs w:val="24"/>
                <w:shd w:val="clear" w:color="auto" w:fill="FFFFFF"/>
              </w:rPr>
              <w:t>政府</w:t>
            </w:r>
            <w:r>
              <w:rPr>
                <w:rFonts w:hint="eastAsia" w:ascii="Arial" w:hAnsi="Arial" w:eastAsia="宋体" w:cs="Arial"/>
                <w:i w:val="0"/>
                <w:iCs w:val="0"/>
                <w:caps w:val="0"/>
                <w:color w:val="auto"/>
                <w:spacing w:val="0"/>
                <w:sz w:val="24"/>
                <w:szCs w:val="24"/>
                <w:shd w:val="clear" w:color="auto" w:fill="FFFFFF"/>
                <w:lang w:eastAsia="zh-CN"/>
              </w:rPr>
              <w:t>；</w:t>
            </w:r>
          </w:p>
          <w:p w14:paraId="27CCC09B">
            <w:pPr>
              <w:pStyle w:val="2"/>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lang w:val="en-US" w:eastAsia="zh-CN"/>
              </w:rPr>
            </w:pPr>
            <w:r>
              <w:rPr>
                <w:rFonts w:hint="eastAsia" w:ascii="Times New Roman" w:hAnsi="Times New Roman" w:eastAsia="宋体" w:cs="Times New Roman"/>
                <w:color w:val="auto"/>
                <w:kern w:val="0"/>
                <w:sz w:val="24"/>
                <w:szCs w:val="24"/>
                <w:lang w:val="en-US" w:eastAsia="zh-CN"/>
              </w:rPr>
              <w:t>审批文件</w:t>
            </w:r>
            <w:r>
              <w:rPr>
                <w:rFonts w:hint="eastAsia" w:ascii="Times New Roman" w:hAnsi="Times New Roman" w:eastAsia="宋体" w:cs="Times New Roman"/>
                <w:color w:val="auto"/>
                <w:kern w:val="0"/>
                <w:sz w:val="24"/>
                <w:szCs w:val="24"/>
                <w:lang w:val="en-US" w:eastAsia="zh-CN" w:bidi="ar-SA"/>
              </w:rPr>
              <w:t>文号：赣府字〔2024〕40号。</w:t>
            </w:r>
          </w:p>
        </w:tc>
      </w:tr>
      <w:tr w14:paraId="3477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7" w:type="dxa"/>
            <w:tcBorders>
              <w:tl2br w:val="nil"/>
              <w:tr2bl w:val="nil"/>
            </w:tcBorders>
            <w:noWrap w:val="0"/>
            <w:vAlign w:val="center"/>
          </w:tcPr>
          <w:p w14:paraId="55AEA69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规划环境影响评价情况</w:t>
            </w:r>
          </w:p>
        </w:tc>
        <w:tc>
          <w:tcPr>
            <w:tcW w:w="7078" w:type="dxa"/>
            <w:gridSpan w:val="3"/>
            <w:tcBorders>
              <w:tl2br w:val="nil"/>
              <w:tr2bl w:val="nil"/>
            </w:tcBorders>
            <w:noWrap w:val="0"/>
            <w:vAlign w:val="center"/>
          </w:tcPr>
          <w:p w14:paraId="6BF8212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无</w:t>
            </w:r>
          </w:p>
        </w:tc>
      </w:tr>
      <w:tr w14:paraId="7D54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7" w:type="dxa"/>
            <w:tcBorders>
              <w:tl2br w:val="nil"/>
              <w:tr2bl w:val="nil"/>
            </w:tcBorders>
            <w:noWrap w:val="0"/>
            <w:vAlign w:val="center"/>
          </w:tcPr>
          <w:p w14:paraId="28BCDF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规划及规划环境影响评价符合性分析</w:t>
            </w:r>
          </w:p>
        </w:tc>
        <w:tc>
          <w:tcPr>
            <w:tcW w:w="7078" w:type="dxa"/>
            <w:gridSpan w:val="3"/>
            <w:tcBorders>
              <w:tl2br w:val="nil"/>
              <w:tr2bl w:val="nil"/>
            </w:tcBorders>
            <w:noWrap w:val="0"/>
            <w:vAlign w:val="center"/>
          </w:tcPr>
          <w:p w14:paraId="420FECAA">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default"/>
                <w:b/>
                <w:bCs/>
                <w:color w:val="000000" w:themeColor="text1"/>
                <w:spacing w:val="0"/>
                <w:kern w:val="0"/>
                <w:sz w:val="24"/>
                <w:lang w:val="en-US" w:eastAsia="zh-CN"/>
                <w14:textFill>
                  <w14:solidFill>
                    <w14:schemeClr w14:val="tx1"/>
                  </w14:solidFill>
                </w14:textFill>
              </w:rPr>
            </w:pPr>
            <w:r>
              <w:rPr>
                <w:rFonts w:hint="eastAsia"/>
                <w:b/>
                <w:bCs/>
                <w:color w:val="000000" w:themeColor="text1"/>
                <w:spacing w:val="0"/>
                <w:kern w:val="0"/>
                <w:sz w:val="24"/>
                <w:lang w:val="en-US" w:eastAsia="zh-CN"/>
                <w14:textFill>
                  <w14:solidFill>
                    <w14:schemeClr w14:val="tx1"/>
                  </w14:solidFill>
                </w14:textFill>
              </w:rPr>
              <w:t>与</w:t>
            </w:r>
            <w:r>
              <w:rPr>
                <w:rFonts w:hint="eastAsia"/>
                <w:b/>
                <w:bCs/>
                <w:color w:val="000000" w:themeColor="text1"/>
                <w:spacing w:val="0"/>
                <w:kern w:val="0"/>
                <w:sz w:val="24"/>
                <w14:textFill>
                  <w14:solidFill>
                    <w14:schemeClr w14:val="tx1"/>
                  </w14:solidFill>
                </w14:textFill>
              </w:rPr>
              <w:t>《</w:t>
            </w:r>
            <w:r>
              <w:rPr>
                <w:rFonts w:hint="eastAsia"/>
                <w:b/>
                <w:bCs/>
                <w:color w:val="000000" w:themeColor="text1"/>
                <w:spacing w:val="0"/>
                <w:kern w:val="0"/>
                <w:sz w:val="24"/>
                <w:lang w:val="en-US" w:eastAsia="zh-CN"/>
                <w14:textFill>
                  <w14:solidFill>
                    <w14:schemeClr w14:val="tx1"/>
                  </w14:solidFill>
                </w14:textFill>
              </w:rPr>
              <w:t>宁都县国土空间总体规划（2021—2035年）</w:t>
            </w:r>
            <w:r>
              <w:rPr>
                <w:rFonts w:hint="eastAsia"/>
                <w:b/>
                <w:bCs/>
                <w:color w:val="000000" w:themeColor="text1"/>
                <w:spacing w:val="0"/>
                <w:kern w:val="0"/>
                <w:sz w:val="24"/>
                <w14:textFill>
                  <w14:solidFill>
                    <w14:schemeClr w14:val="tx1"/>
                  </w14:solidFill>
                </w14:textFill>
              </w:rPr>
              <w:t>》</w:t>
            </w:r>
            <w:r>
              <w:rPr>
                <w:rFonts w:hint="eastAsia"/>
                <w:b/>
                <w:bCs/>
                <w:color w:val="000000" w:themeColor="text1"/>
                <w:spacing w:val="0"/>
                <w:kern w:val="0"/>
                <w:sz w:val="24"/>
                <w:lang w:val="en-US" w:eastAsia="zh-CN"/>
                <w14:textFill>
                  <w14:solidFill>
                    <w14:schemeClr w14:val="tx1"/>
                  </w14:solidFill>
                </w14:textFill>
              </w:rPr>
              <w:t>的相符性分析</w:t>
            </w:r>
          </w:p>
          <w:p w14:paraId="043ECB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规划范围涵盖宁都县行政辖区，分为县域和中心城区两个层次。县域：宁都县行政辖区范围，包括12个镇、12个乡，国土面积4048.99平方千米。中心城区：宁都县中心城区是本规划重点关注的城镇集中建设发展需进行控制引导的区域，主要涵盖梅江镇、竹笮乡的大部分区域，南至翠微峰大道、北至城北大道、西至翠微峰大道，东至武华山大道，国土面积83.80平方千米。</w:t>
            </w:r>
          </w:p>
          <w:p w14:paraId="1BF7F3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用地性质为工业用地，位于“宁都县城区建筑垃圾消纳及资源化利用处置场建设项目”南侧，本项目所需的骨料由“宁都县城区建筑垃圾消纳及资源化利用处置场建设项目”提供。本项目建成后可为宁都县基础设施建设提供原料。</w:t>
            </w:r>
          </w:p>
          <w:p w14:paraId="4428218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eastAsia="宋体"/>
                <w:b w:val="0"/>
                <w:bCs w:val="0"/>
                <w:color w:val="000000" w:themeColor="text1"/>
                <w:spacing w:val="0"/>
                <w:ker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因此，本项目与《宁都县国土空间总体规划（2021</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2035年）》相符。</w:t>
            </w:r>
          </w:p>
        </w:tc>
      </w:tr>
      <w:tr w14:paraId="6063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7" w:type="dxa"/>
            <w:tcBorders>
              <w:tl2br w:val="nil"/>
              <w:tr2bl w:val="nil"/>
            </w:tcBorders>
            <w:noWrap w:val="0"/>
            <w:vAlign w:val="center"/>
          </w:tcPr>
          <w:p w14:paraId="44823DFE">
            <w:pPr>
              <w:autoSpaceDE w:val="0"/>
              <w:autoSpaceDN w:val="0"/>
              <w:adjustRightInd w:val="0"/>
              <w:snapToGrid w:val="0"/>
              <w:jc w:val="cente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其他符合性分析</w:t>
            </w:r>
          </w:p>
        </w:tc>
        <w:tc>
          <w:tcPr>
            <w:tcW w:w="7078" w:type="dxa"/>
            <w:gridSpan w:val="3"/>
            <w:tcBorders>
              <w:tl2br w:val="nil"/>
              <w:tr2bl w:val="nil"/>
            </w:tcBorders>
            <w:noWrap w:val="0"/>
            <w:vAlign w:val="center"/>
          </w:tcPr>
          <w:p w14:paraId="654F1335">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lang w:val="en-US" w:eastAsia="zh-CN" w:bidi="ar-SA"/>
                <w14:textFill>
                  <w14:solidFill>
                    <w14:schemeClr w14:val="tx1"/>
                  </w14:solidFill>
                </w14:textFill>
              </w:rPr>
              <w:t>1、</w:t>
            </w:r>
            <w:r>
              <w:rPr>
                <w:rFonts w:hint="default" w:ascii="Times New Roman" w:hAnsi="Times New Roman" w:cs="Times New Roman"/>
                <w:b/>
                <w:snapToGrid/>
                <w:color w:val="000000" w:themeColor="text1"/>
                <w:spacing w:val="0"/>
                <w:kern w:val="0"/>
                <w:position w:val="0"/>
                <w:sz w:val="24"/>
                <w14:textFill>
                  <w14:solidFill>
                    <w14:schemeClr w14:val="tx1"/>
                  </w14:solidFill>
                </w14:textFill>
              </w:rPr>
              <w:t>产业政策相符性分析</w:t>
            </w:r>
          </w:p>
          <w:p w14:paraId="475BD84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根据《产业结构调整指导目录（20</w:t>
            </w:r>
            <w:r>
              <w:rPr>
                <w:rFonts w:hint="eastAsia" w:cs="Times New Roman"/>
                <w:snapToGrid/>
                <w:color w:val="000000" w:themeColor="text1"/>
                <w:spacing w:val="0"/>
                <w:kern w:val="0"/>
                <w:position w:val="0"/>
                <w:sz w:val="24"/>
                <w:lang w:val="en-US" w:eastAsia="zh-CN"/>
                <w14:textFill>
                  <w14:solidFill>
                    <w14:schemeClr w14:val="tx1"/>
                  </w14:solidFill>
                </w14:textFill>
              </w:rPr>
              <w:t>24</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年本）》</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行业类别</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bidi="ar"/>
                <w14:textFill>
                  <w14:solidFill>
                    <w14:schemeClr w14:val="tx1"/>
                  </w14:solidFill>
                </w14:textFill>
              </w:rPr>
              <w:t>C3021 水泥制品制造、C3029 其他水泥类似制品制造</w:t>
            </w:r>
            <w:r>
              <w:rPr>
                <w:rFonts w:hint="eastAsia" w:cs="Times New Roman"/>
                <w:snapToGrid/>
                <w:color w:val="000000" w:themeColor="text1"/>
                <w:spacing w:val="0"/>
                <w:kern w:val="0"/>
                <w:position w:val="0"/>
                <w:sz w:val="24"/>
                <w:lang w:val="en-US" w:eastAsia="zh-CN"/>
                <w14:textFill>
                  <w14:solidFill>
                    <w14:schemeClr w14:val="tx1"/>
                  </w14:solidFill>
                </w14:textFill>
              </w:rPr>
              <w:t>）不</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属于</w:t>
            </w:r>
            <w:r>
              <w:rPr>
                <w:rFonts w:hint="eastAsia" w:cs="Times New Roman"/>
                <w:snapToGrid/>
                <w:color w:val="000000" w:themeColor="text1"/>
                <w:spacing w:val="0"/>
                <w:kern w:val="0"/>
                <w:position w:val="0"/>
                <w:sz w:val="24"/>
                <w:lang w:val="en-US" w:eastAsia="zh-CN"/>
                <w14:textFill>
                  <w14:solidFill>
                    <w14:schemeClr w14:val="tx1"/>
                  </w14:solidFill>
                </w14:textFill>
              </w:rPr>
              <w:t>其中的鼓励类、限制类、淘汰类项目，即为允许类</w:t>
            </w:r>
            <w:r>
              <w:rPr>
                <w:rFonts w:hint="default" w:cs="Times New Roman"/>
                <w:snapToGrid/>
                <w:color w:val="000000" w:themeColor="text1"/>
                <w:spacing w:val="0"/>
                <w:kern w:val="0"/>
                <w:position w:val="0"/>
                <w:sz w:val="24"/>
                <w:lang w:val="en-US" w:eastAsia="zh-CN"/>
                <w14:textFill>
                  <w14:solidFill>
                    <w14:schemeClr w14:val="tx1"/>
                  </w14:solidFill>
                </w14:textFill>
              </w:rPr>
              <w:t>。根据《市场准入负</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面清单》（20</w:t>
            </w:r>
            <w:r>
              <w:rPr>
                <w:rFonts w:hint="eastAsia" w:cs="Times New Roman"/>
                <w:snapToGrid/>
                <w:color w:val="000000" w:themeColor="text1"/>
                <w:spacing w:val="0"/>
                <w:kern w:val="0"/>
                <w:position w:val="0"/>
                <w:sz w:val="24"/>
                <w:lang w:val="en-US" w:eastAsia="zh-CN"/>
                <w14:textFill>
                  <w14:solidFill>
                    <w14:schemeClr w14:val="tx1"/>
                  </w14:solidFill>
                </w14:textFill>
              </w:rPr>
              <w:t>22</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年版），本项目不属于市场准入负面清单所述行业，属于允许准入类，符合该文件要求。</w:t>
            </w:r>
          </w:p>
          <w:p w14:paraId="4BA84E28">
            <w:pPr>
              <w:keepNext w:val="0"/>
              <w:keepLines w:val="0"/>
              <w:pageBreakBefore w:val="0"/>
              <w:widowControl w:val="0"/>
              <w:kinsoku w:val="0"/>
              <w:wordWrap/>
              <w:overflowPunct w:val="0"/>
              <w:topLinePunct w:val="0"/>
              <w:autoSpaceDE w:val="0"/>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宁都县行政审批局</w:t>
            </w:r>
            <w:r>
              <w:rPr>
                <w:rFonts w:hint="eastAsia" w:cs="Times New Roman"/>
                <w:snapToGrid/>
                <w:color w:val="000000" w:themeColor="text1"/>
                <w:spacing w:val="0"/>
                <w:kern w:val="0"/>
                <w:position w:val="0"/>
                <w:sz w:val="24"/>
                <w:lang w:val="en-US" w:eastAsia="zh-CN"/>
                <w14:textFill>
                  <w14:solidFill>
                    <w14:schemeClr w14:val="tx1"/>
                  </w14:solidFill>
                </w14:textFill>
              </w:rPr>
              <w:t>出具了本项目的备案通知书</w:t>
            </w:r>
            <w:r>
              <w:rPr>
                <w:rFonts w:hint="eastAsia" w:cs="Times New Roman"/>
                <w:snapToGrid/>
                <w:color w:val="000000" w:themeColor="text1"/>
                <w:spacing w:val="0"/>
                <w:kern w:val="0"/>
                <w:position w:val="0"/>
                <w:sz w:val="24"/>
                <w:szCs w:val="24"/>
                <w:lang w:val="en-US" w:eastAsia="zh-CN"/>
                <w14:textFill>
                  <w14:solidFill>
                    <w14:schemeClr w14:val="tx1"/>
                  </w14:solidFill>
                </w14:textFill>
              </w:rPr>
              <w:t>，项目统一代码为2112-360730-04-01-761464。</w:t>
            </w:r>
          </w:p>
          <w:p w14:paraId="3239008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因此，</w:t>
            </w:r>
            <w:r>
              <w:rPr>
                <w:rFonts w:hint="eastAsia"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w:t>
            </w:r>
            <w:r>
              <w:rPr>
                <w:rFonts w:hint="eastAsia" w:cs="Times New Roman"/>
                <w:snapToGrid/>
                <w:color w:val="000000" w:themeColor="text1"/>
                <w:spacing w:val="0"/>
                <w:kern w:val="0"/>
                <w:position w:val="0"/>
                <w:sz w:val="24"/>
                <w:lang w:val="en-US" w:eastAsia="zh-CN"/>
                <w14:textFill>
                  <w14:solidFill>
                    <w14:schemeClr w14:val="tx1"/>
                  </w14:solidFill>
                </w14:textFill>
              </w:rPr>
              <w:t>建设</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符合国家、地方</w:t>
            </w:r>
            <w:r>
              <w:rPr>
                <w:rFonts w:hint="eastAsia" w:cs="Times New Roman"/>
                <w:snapToGrid/>
                <w:color w:val="000000" w:themeColor="text1"/>
                <w:spacing w:val="0"/>
                <w:kern w:val="0"/>
                <w:position w:val="0"/>
                <w:sz w:val="24"/>
                <w:lang w:val="en-US" w:eastAsia="zh-CN"/>
                <w14:textFill>
                  <w14:solidFill>
                    <w14:schemeClr w14:val="tx1"/>
                  </w14:solidFill>
                </w14:textFill>
              </w:rPr>
              <w:t>相关</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产业政策的要求。</w:t>
            </w:r>
          </w:p>
          <w:p w14:paraId="750FE5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lang w:val="en-US" w:eastAsia="zh-CN" w:bidi="ar-SA"/>
                <w14:textFill>
                  <w14:solidFill>
                    <w14:schemeClr w14:val="tx1"/>
                  </w14:solidFill>
                </w14:textFill>
              </w:rPr>
              <w:t>2、</w:t>
            </w:r>
            <w:r>
              <w:rPr>
                <w:rFonts w:hint="eastAsia" w:ascii="宋体" w:hAnsi="宋体" w:eastAsia="宋体" w:cs="宋体"/>
                <w:b/>
                <w:snapToGrid/>
                <w:color w:val="000000" w:themeColor="text1"/>
                <w:spacing w:val="0"/>
                <w:kern w:val="0"/>
                <w:position w:val="0"/>
                <w:sz w:val="24"/>
                <w14:textFill>
                  <w14:solidFill>
                    <w14:schemeClr w14:val="tx1"/>
                  </w14:solidFill>
                </w14:textFill>
              </w:rPr>
              <w:t>“三线一单”</w:t>
            </w:r>
            <w:r>
              <w:rPr>
                <w:rFonts w:hint="default" w:ascii="Times New Roman" w:hAnsi="Times New Roman" w:cs="Times New Roman"/>
                <w:b/>
                <w:snapToGrid/>
                <w:color w:val="000000" w:themeColor="text1"/>
                <w:spacing w:val="0"/>
                <w:kern w:val="0"/>
                <w:position w:val="0"/>
                <w:sz w:val="24"/>
                <w14:textFill>
                  <w14:solidFill>
                    <w14:schemeClr w14:val="tx1"/>
                  </w14:solidFill>
                </w14:textFill>
              </w:rPr>
              <w:t>相符性</w:t>
            </w:r>
            <w:r>
              <w:rPr>
                <w:rFonts w:hint="default" w:ascii="Times New Roman" w:hAnsi="Times New Roman" w:eastAsia="宋体" w:cs="Times New Roman"/>
                <w:b/>
                <w:snapToGrid/>
                <w:color w:val="000000" w:themeColor="text1"/>
                <w:spacing w:val="0"/>
                <w:kern w:val="0"/>
                <w:position w:val="0"/>
                <w:sz w:val="24"/>
                <w14:textFill>
                  <w14:solidFill>
                    <w14:schemeClr w14:val="tx1"/>
                  </w14:solidFill>
                </w14:textFill>
              </w:rPr>
              <w:t>分析</w:t>
            </w:r>
          </w:p>
          <w:p w14:paraId="161B1A5F">
            <w:pPr>
              <w:autoSpaceDE w:val="0"/>
              <w:autoSpaceDN w:val="0"/>
              <w:adjustRightInd w:val="0"/>
              <w:snapToGrid w:val="0"/>
              <w:spacing w:line="360" w:lineRule="auto"/>
              <w:ind w:firstLine="480" w:firstLineChars="200"/>
              <w:jc w:val="both"/>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（1）与</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赣州市生态环境分区管控动态更新</w:t>
            </w:r>
            <w:r>
              <w:rPr>
                <w:rFonts w:hint="default"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调整方案（2023年）</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的衔接情况</w:t>
            </w:r>
          </w:p>
          <w:p w14:paraId="3309F0DC">
            <w:pPr>
              <w:autoSpaceDE w:val="0"/>
              <w:autoSpaceDN w:val="0"/>
              <w:adjustRightInd w:val="0"/>
              <w:snapToGrid w:val="0"/>
              <w:spacing w:line="360" w:lineRule="auto"/>
              <w:ind w:firstLine="480" w:firstLineChars="200"/>
              <w:jc w:val="both"/>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根据</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赣州市生态环境分区管控动态更新</w:t>
            </w:r>
            <w:r>
              <w:rPr>
                <w:rFonts w:hint="default"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调整方案（2023年）</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，本项目位于</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宁都县梅江镇</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梅江镇</w:t>
            </w:r>
            <w:r>
              <w:rPr>
                <w:rFonts w:hint="eastAsia" w:cs="Times New Roman"/>
                <w:snapToGrid/>
                <w:color w:val="000000" w:themeColor="text1"/>
                <w:spacing w:val="0"/>
                <w:kern w:val="0"/>
                <w:position w:val="0"/>
                <w:sz w:val="24"/>
                <w:szCs w:val="24"/>
                <w:lang w:val="en-US" w:eastAsia="zh-CN"/>
                <w14:textFill>
                  <w14:solidFill>
                    <w14:schemeClr w14:val="tx1"/>
                  </w14:solidFill>
                </w14:textFill>
              </w:rPr>
              <w:t>属于重点</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管控单元（环境管控单元编码：</w:t>
            </w:r>
            <w:r>
              <w:rPr>
                <w:rFonts w:hint="eastAsia" w:cs="Times New Roman"/>
                <w:snapToGrid/>
                <w:color w:val="000000" w:themeColor="text1"/>
                <w:spacing w:val="0"/>
                <w:kern w:val="0"/>
                <w:position w:val="0"/>
                <w:sz w:val="24"/>
                <w:szCs w:val="24"/>
                <w:lang w:eastAsia="zh-CN"/>
                <w14:textFill>
                  <w14:solidFill>
                    <w14:schemeClr w14:val="tx1"/>
                  </w14:solidFill>
                </w14:textFill>
              </w:rPr>
              <w:t>ZH36073020001</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p>
          <w:p w14:paraId="7C9AF811">
            <w:pPr>
              <w:autoSpaceDE w:val="0"/>
              <w:autoSpaceDN w:val="0"/>
              <w:adjustRightInd w:val="0"/>
              <w:snapToGrid w:val="0"/>
              <w:spacing w:line="360" w:lineRule="auto"/>
              <w:ind w:firstLine="480" w:firstLineChars="200"/>
              <w:jc w:val="left"/>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本项目与</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赣州市生态环境分区管控动态更新</w:t>
            </w:r>
            <w:r>
              <w:rPr>
                <w:rFonts w:hint="default"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调整方案（2023年）</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相符性分析见表</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default" w:cs="Times New Roman"/>
                <w:snapToGrid/>
                <w:color w:val="000000" w:themeColor="text1"/>
                <w:spacing w:val="0"/>
                <w:kern w:val="0"/>
                <w:position w:val="0"/>
                <w:sz w:val="24"/>
                <w:szCs w:val="24"/>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942F4E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表1-</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2</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与</w:t>
            </w:r>
            <w:r>
              <w:rPr>
                <w:rFonts w:hint="default" w:cs="Times New Roman"/>
                <w:b/>
                <w:bCs/>
                <w:snapToGrid/>
                <w:color w:val="000000" w:themeColor="text1"/>
                <w:spacing w:val="0"/>
                <w:kern w:val="0"/>
                <w:position w:val="0"/>
                <w:sz w:val="21"/>
                <w:szCs w:val="21"/>
                <w:lang w:val="en-US" w:eastAsia="zh-CN"/>
                <w14:textFill>
                  <w14:solidFill>
                    <w14:schemeClr w14:val="tx1"/>
                  </w14:solidFill>
                </w14:textFill>
              </w:rPr>
              <w:t>《</w:t>
            </w:r>
            <w:r>
              <w:rPr>
                <w:rFonts w:ascii="Times New Roman" w:hAnsi="Times New Roman" w:eastAsia="宋体" w:cs="Times New Roman"/>
                <w:b/>
                <w:bCs/>
                <w:i w:val="0"/>
                <w:iCs w:val="0"/>
                <w:caps w:val="0"/>
                <w:color w:val="000000" w:themeColor="text1"/>
                <w:spacing w:val="0"/>
                <w:kern w:val="0"/>
                <w:sz w:val="21"/>
                <w:szCs w:val="21"/>
                <w:shd w:val="clear"/>
                <w14:textFill>
                  <w14:solidFill>
                    <w14:schemeClr w14:val="tx1"/>
                  </w14:solidFill>
                </w14:textFill>
              </w:rPr>
              <w:t>赣州市生态环境分区管控动态更新</w:t>
            </w:r>
            <w:r>
              <w:rPr>
                <w:rFonts w:hint="default" w:ascii="Times New Roman" w:hAnsi="Times New Roman" w:eastAsia="宋体" w:cs="Times New Roman"/>
                <w:b/>
                <w:bCs/>
                <w:i w:val="0"/>
                <w:iCs w:val="0"/>
                <w:caps w:val="0"/>
                <w:color w:val="000000" w:themeColor="text1"/>
                <w:spacing w:val="0"/>
                <w:kern w:val="0"/>
                <w:sz w:val="21"/>
                <w:szCs w:val="21"/>
                <w:shd w:val="clear"/>
                <w14:textFill>
                  <w14:solidFill>
                    <w14:schemeClr w14:val="tx1"/>
                  </w14:solidFill>
                </w14:textFill>
              </w:rPr>
              <w:t>调整方案（2023年）</w:t>
            </w:r>
            <w:r>
              <w:rPr>
                <w:rFonts w:hint="default" w:cs="Times New Roman"/>
                <w:b/>
                <w:bCs/>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的</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相符性分析</w:t>
            </w:r>
          </w:p>
          <w:tbl>
            <w:tblPr>
              <w:tblStyle w:val="8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2"/>
              <w:gridCol w:w="2237"/>
              <w:gridCol w:w="712"/>
            </w:tblGrid>
            <w:tr w14:paraId="59BA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47" w:type="pct"/>
                  <w:tcBorders>
                    <w:tl2br w:val="nil"/>
                    <w:tr2bl w:val="nil"/>
                  </w:tcBorders>
                  <w:noWrap w:val="0"/>
                  <w:vAlign w:val="center"/>
                </w:tcPr>
                <w:p w14:paraId="29C8498C">
                  <w:pPr>
                    <w:spacing w:before="0" w:line="240" w:lineRule="auto"/>
                    <w:ind w:firstLine="0"/>
                    <w:jc w:val="cente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总体要求</w:t>
                  </w:r>
                </w:p>
              </w:tc>
              <w:tc>
                <w:tcPr>
                  <w:tcW w:w="1632" w:type="pct"/>
                  <w:tcBorders>
                    <w:tl2br w:val="nil"/>
                    <w:tr2bl w:val="nil"/>
                  </w:tcBorders>
                  <w:noWrap w:val="0"/>
                  <w:vAlign w:val="center"/>
                </w:tcPr>
                <w:p w14:paraId="56654717">
                  <w:pPr>
                    <w:spacing w:before="0" w:line="240" w:lineRule="auto"/>
                    <w:ind w:firstLine="0"/>
                    <w:jc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本项目</w:t>
                  </w:r>
                </w:p>
              </w:tc>
              <w:tc>
                <w:tcPr>
                  <w:tcW w:w="519" w:type="pct"/>
                  <w:tcBorders>
                    <w:tl2br w:val="nil"/>
                    <w:tr2bl w:val="nil"/>
                  </w:tcBorders>
                  <w:noWrap w:val="0"/>
                  <w:vAlign w:val="center"/>
                </w:tcPr>
                <w:p w14:paraId="77062354">
                  <w:pPr>
                    <w:spacing w:before="0" w:line="240" w:lineRule="auto"/>
                    <w:ind w:firstLine="0"/>
                    <w:jc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相符性</w:t>
                  </w:r>
                </w:p>
              </w:tc>
            </w:tr>
            <w:tr w14:paraId="2C465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47" w:type="pct"/>
                  <w:tcBorders>
                    <w:tl2br w:val="nil"/>
                    <w:tr2bl w:val="nil"/>
                  </w:tcBorders>
                  <w:noWrap w:val="0"/>
                  <w:vAlign w:val="center"/>
                </w:tcPr>
                <w:p w14:paraId="78C4F746">
                  <w:pPr>
                    <w:keepNext w:val="0"/>
                    <w:keepLines w:val="0"/>
                    <w:pageBreakBefore w:val="0"/>
                    <w:widowControl w:val="0"/>
                    <w:kinsoku/>
                    <w:wordWrap/>
                    <w:overflowPunct/>
                    <w:topLinePunct w:val="0"/>
                    <w:autoSpaceDE/>
                    <w:autoSpaceDN/>
                    <w:bidi w:val="0"/>
                    <w:adjustRightInd/>
                    <w:snapToGrid/>
                    <w:spacing w:before="0" w:line="240" w:lineRule="auto"/>
                    <w:ind w:firstLine="0"/>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ascii="Times New Roman" w:hAnsi="Times New Roman" w:eastAsia="宋体" w:cs="Times New Roman"/>
                      <w:i w:val="0"/>
                      <w:iCs w:val="0"/>
                      <w:caps w:val="0"/>
                      <w:color w:val="000000" w:themeColor="text1"/>
                      <w:spacing w:val="0"/>
                      <w:kern w:val="0"/>
                      <w:sz w:val="21"/>
                      <w:szCs w:val="21"/>
                      <w:shd w:val="clear"/>
                      <w14:textFill>
                        <w14:solidFill>
                          <w14:schemeClr w14:val="tx1"/>
                        </w14:solidFill>
                      </w14:textFill>
                    </w:rPr>
                    <w:t>按照</w:t>
                  </w:r>
                  <w:r>
                    <w:rPr>
                      <w:rFonts w:hint="eastAsia" w:ascii="宋体" w:hAnsi="宋体" w:eastAsia="宋体" w:cs="宋体"/>
                      <w:i w:val="0"/>
                      <w:iCs w:val="0"/>
                      <w:caps w:val="0"/>
                      <w:color w:val="000000" w:themeColor="text1"/>
                      <w:spacing w:val="0"/>
                      <w:kern w:val="0"/>
                      <w:sz w:val="21"/>
                      <w:szCs w:val="21"/>
                      <w:shd w:val="clear"/>
                      <w14:textFill>
                        <w14:solidFill>
                          <w14:schemeClr w14:val="tx1"/>
                        </w14:solidFill>
                      </w14:textFill>
                    </w:rPr>
                    <w:t>“生态优先，绿色发展”“源头预防，系统保护”“精准科学，依法管控”“明确责任，协调联动”工作原则，坚持尊重自然、顺应自然、保护自然，守住自然生态安全边界和环境质量底线，落实自然生态安全责任，推进绿色低碳发展。健全生态环境源头预防体系，统筹山水林田湖草一体化保护和系统治理，加强生物多样性保护，强化多污染物协同控制和区域协同治理。聚焦区域性、流域性突出生态环境问题，精准科学施策，依法依规建立从问题识别到解决方案的分区分类管控策略。地方党委和政府落实主体责任，有关部门加强沟通协调，建立分工协作工作</w:t>
                  </w:r>
                  <w:r>
                    <w:rPr>
                      <w:rFonts w:ascii="Times New Roman" w:hAnsi="Times New Roman" w:eastAsia="宋体" w:cs="Times New Roman"/>
                      <w:i w:val="0"/>
                      <w:iCs w:val="0"/>
                      <w:caps w:val="0"/>
                      <w:color w:val="000000" w:themeColor="text1"/>
                      <w:spacing w:val="0"/>
                      <w:kern w:val="0"/>
                      <w:sz w:val="21"/>
                      <w:szCs w:val="21"/>
                      <w:shd w:val="clear"/>
                      <w14:textFill>
                        <w14:solidFill>
                          <w14:schemeClr w14:val="tx1"/>
                        </w14:solidFill>
                      </w14:textFill>
                    </w:rPr>
                    <w:t>机制，提高政策统一性、规则一致性、执行协同性</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w:t>
                  </w:r>
                </w:p>
              </w:tc>
              <w:tc>
                <w:tcPr>
                  <w:tcW w:w="1632" w:type="pct"/>
                  <w:tcBorders>
                    <w:tl2br w:val="nil"/>
                    <w:tr2bl w:val="nil"/>
                  </w:tcBorders>
                  <w:noWrap w:val="0"/>
                  <w:vAlign w:val="center"/>
                </w:tcPr>
                <w:p w14:paraId="5728A31D">
                  <w:pPr>
                    <w:keepNext w:val="0"/>
                    <w:keepLines w:val="0"/>
                    <w:pageBreakBefore w:val="0"/>
                    <w:widowControl w:val="0"/>
                    <w:kinsoku/>
                    <w:wordWrap/>
                    <w:overflowPunct/>
                    <w:topLinePunct w:val="0"/>
                    <w:autoSpaceDE/>
                    <w:autoSpaceDN/>
                    <w:bidi w:val="0"/>
                    <w:adjustRightInd/>
                    <w:snapToGrid/>
                    <w:spacing w:before="0" w:line="240" w:lineRule="auto"/>
                    <w:ind w:firstLine="0"/>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1</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）通过环境监测，</w:t>
                  </w:r>
                  <w:r>
                    <w:rPr>
                      <w:rFonts w:hint="eastAsia" w:cs="Times New Roman"/>
                      <w:snapToGrid/>
                      <w:color w:val="000000" w:themeColor="text1"/>
                      <w:spacing w:val="0"/>
                      <w:kern w:val="0"/>
                      <w:position w:val="0"/>
                      <w:sz w:val="21"/>
                      <w:szCs w:val="21"/>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项目区域环境质量现状较好，具有相应的环境容量；（</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三废</w:t>
                  </w:r>
                  <w:r>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均能有效处理，不会明显降低区域环境质量现状；（</w:t>
                  </w:r>
                  <w:r>
                    <w:rPr>
                      <w:rFonts w:hint="eastAsia" w:cs="Times New Roman"/>
                      <w:snapToGrid/>
                      <w:color w:val="000000" w:themeColor="text1"/>
                      <w:spacing w:val="0"/>
                      <w:kern w:val="0"/>
                      <w:position w:val="0"/>
                      <w:sz w:val="21"/>
                      <w:szCs w:val="21"/>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项目</w:t>
                  </w:r>
                  <w:r>
                    <w:rPr>
                      <w:rFonts w:hint="eastAsia" w:cs="Times New Roman"/>
                      <w:snapToGrid/>
                      <w:color w:val="000000" w:themeColor="text1"/>
                      <w:spacing w:val="0"/>
                      <w:kern w:val="0"/>
                      <w:position w:val="0"/>
                      <w:sz w:val="21"/>
                      <w:szCs w:val="21"/>
                      <w:lang w:val="en-US" w:eastAsia="zh-CN"/>
                      <w14:textFill>
                        <w14:solidFill>
                          <w14:schemeClr w14:val="tx1"/>
                        </w14:solidFill>
                      </w14:textFill>
                    </w:rPr>
                    <w:t>用地为工业用地</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4</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）本项目建成后通过内部管理、设备选择、原材料的选用和管理、废物回收利用、污染治理等多方面采取可行的</w:t>
                  </w:r>
                  <w:r>
                    <w:rPr>
                      <w:rFonts w:hint="default" w:ascii="Times New Roman" w:hAnsi="Times New Roman" w:eastAsia="宋体" w:cs="Times New Roman"/>
                      <w:snapToGrid/>
                      <w:color w:val="000000" w:themeColor="text1"/>
                      <w:spacing w:val="0"/>
                      <w:w w:val="100"/>
                      <w:kern w:val="0"/>
                      <w:position w:val="0"/>
                      <w:sz w:val="21"/>
                      <w:szCs w:val="21"/>
                      <w14:textFill>
                        <w14:solidFill>
                          <w14:schemeClr w14:val="tx1"/>
                        </w14:solidFill>
                      </w14:textFill>
                    </w:rPr>
                    <w:t>防治措施，以</w:t>
                  </w:r>
                  <w:r>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kern w:val="0"/>
                      <w:position w:val="0"/>
                      <w:sz w:val="21"/>
                      <w:szCs w:val="21"/>
                      <w14:textFill>
                        <w14:solidFill>
                          <w14:schemeClr w14:val="tx1"/>
                        </w14:solidFill>
                      </w14:textFill>
                    </w:rPr>
                    <w:t>节能、降耗、减污</w:t>
                  </w:r>
                  <w:r>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kern w:val="0"/>
                      <w:position w:val="0"/>
                      <w:sz w:val="21"/>
                      <w:szCs w:val="21"/>
                      <w14:textFill>
                        <w14:solidFill>
                          <w14:schemeClr w14:val="tx1"/>
                        </w14:solidFill>
                      </w14:textFill>
                    </w:rPr>
                    <w:t>为目标，</w:t>
                  </w: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可</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有</w:t>
                  </w:r>
                  <w:r>
                    <w:rPr>
                      <w:rFonts w:hint="eastAsia" w:cs="Times New Roman"/>
                      <w:snapToGrid/>
                      <w:color w:val="000000" w:themeColor="text1"/>
                      <w:spacing w:val="0"/>
                      <w:kern w:val="0"/>
                      <w:position w:val="0"/>
                      <w:sz w:val="21"/>
                      <w:szCs w:val="21"/>
                      <w:lang w:val="en-US" w:eastAsia="zh-CN"/>
                      <w14:textFill>
                        <w14:solidFill>
                          <w14:schemeClr w14:val="tx1"/>
                        </w14:solidFill>
                      </w14:textFill>
                    </w:rPr>
                    <w:t>效</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地控制污染。</w:t>
                  </w:r>
                </w:p>
              </w:tc>
              <w:tc>
                <w:tcPr>
                  <w:tcW w:w="519" w:type="pct"/>
                  <w:tcBorders>
                    <w:tl2br w:val="nil"/>
                    <w:tr2bl w:val="nil"/>
                  </w:tcBorders>
                  <w:noWrap w:val="0"/>
                  <w:vAlign w:val="center"/>
                </w:tcPr>
                <w:p w14:paraId="0AC9F15E">
                  <w:pPr>
                    <w:spacing w:before="0" w:line="240" w:lineRule="auto"/>
                    <w:ind w:firstLine="0"/>
                    <w:jc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bl>
          <w:p w14:paraId="62E302B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根据表1-</w:t>
            </w:r>
            <w:r>
              <w:rPr>
                <w:rFonts w:hint="eastAsia" w:cs="Times New Roman"/>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，本项目符合</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赣州市生态环境分区管控动态更新</w:t>
            </w:r>
            <w:r>
              <w:rPr>
                <w:rFonts w:hint="default" w:ascii="Times New Roman" w:hAnsi="Times New Roman" w:eastAsia="宋体" w:cs="Times New Roman"/>
                <w:i w:val="0"/>
                <w:iCs w:val="0"/>
                <w:caps w:val="0"/>
                <w:color w:val="000000" w:themeColor="text1"/>
                <w:spacing w:val="0"/>
                <w:kern w:val="0"/>
                <w:sz w:val="24"/>
                <w:szCs w:val="24"/>
                <w:shd w:val="clear"/>
                <w14:textFill>
                  <w14:solidFill>
                    <w14:schemeClr w14:val="tx1"/>
                  </w14:solidFill>
                </w14:textFill>
              </w:rPr>
              <w:t>调整方案（2023年）</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的要求。</w:t>
            </w:r>
          </w:p>
          <w:p w14:paraId="699B4AE3">
            <w:pPr>
              <w:autoSpaceDE w:val="0"/>
              <w:autoSpaceDN w:val="0"/>
              <w:adjustRightInd w:val="0"/>
              <w:snapToGrid w:val="0"/>
              <w:spacing w:line="360" w:lineRule="auto"/>
              <w:ind w:firstLine="480" w:firstLineChars="200"/>
              <w:jc w:val="both"/>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（2）</w:t>
            </w:r>
            <w:r>
              <w:rPr>
                <w:rFonts w:hint="eastAsia" w:cs="Times New Roman"/>
                <w:snapToGrid/>
                <w:color w:val="000000" w:themeColor="text1"/>
                <w:spacing w:val="0"/>
                <w:kern w:val="0"/>
                <w:position w:val="0"/>
                <w:sz w:val="24"/>
                <w:lang w:val="en-US" w:eastAsia="zh-CN"/>
                <w14:textFill>
                  <w14:solidFill>
                    <w14:schemeClr w14:val="tx1"/>
                  </w14:solidFill>
                </w14:textFill>
              </w:rPr>
              <w:t>生态保护红线</w:t>
            </w:r>
          </w:p>
          <w:p w14:paraId="2F1D50B5">
            <w:pPr>
              <w:autoSpaceDE w:val="0"/>
              <w:autoSpaceDN w:val="0"/>
              <w:adjustRightInd w:val="0"/>
              <w:snapToGrid w:val="0"/>
              <w:spacing w:line="360" w:lineRule="auto"/>
              <w:ind w:firstLine="480" w:firstLineChars="200"/>
              <w:jc w:val="both"/>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根据《中共中央办公厅国务院办公厅印发〈关于划定并严守生态保护红线的若干意见〉的通知》</w:t>
            </w:r>
            <w:r>
              <w:rPr>
                <w:rFonts w:hint="eastAsia" w:cs="Times New Roman"/>
                <w:snapToGrid/>
                <w:color w:val="000000" w:themeColor="text1"/>
                <w:spacing w:val="0"/>
                <w:kern w:val="0"/>
                <w:position w:val="0"/>
                <w:sz w:val="24"/>
                <w:lang w:val="en-US" w:eastAsia="zh-CN"/>
                <w14:textFill>
                  <w14:solidFill>
                    <w14:schemeClr w14:val="tx1"/>
                  </w14:solidFill>
                </w14:textFill>
              </w:rPr>
              <w:t>及</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《江西省生态保护红线》，查阅</w:t>
            </w:r>
            <w:r>
              <w:rPr>
                <w:rFonts w:hint="eastAsia" w:cs="Times New Roman"/>
                <w:snapToGrid/>
                <w:color w:val="000000" w:themeColor="text1"/>
                <w:spacing w:val="0"/>
                <w:kern w:val="0"/>
                <w:position w:val="0"/>
                <w:sz w:val="24"/>
                <w:lang w:val="en-US" w:eastAsia="zh-CN"/>
                <w14:textFill>
                  <w14:solidFill>
                    <w14:schemeClr w14:val="tx1"/>
                  </w14:solidFill>
                </w14:textFill>
              </w:rPr>
              <w:t>宁都县</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生态保护红线划定范围</w:t>
            </w:r>
            <w:r>
              <w:rPr>
                <w:rFonts w:hint="default"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图</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（见附图 7）</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项目不在</w:t>
            </w:r>
            <w:r>
              <w:rPr>
                <w:rFonts w:hint="eastAsia" w:cs="Times New Roman"/>
                <w:snapToGrid/>
                <w:color w:val="000000" w:themeColor="text1"/>
                <w:spacing w:val="0"/>
                <w:kern w:val="0"/>
                <w:position w:val="0"/>
                <w:sz w:val="24"/>
                <w:lang w:val="en-US" w:eastAsia="zh-CN"/>
                <w14:textFill>
                  <w14:solidFill>
                    <w14:schemeClr w14:val="tx1"/>
                  </w14:solidFill>
                </w14:textFill>
              </w:rPr>
              <w:t>生态保护红线</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范围内，周边无自然保护区、饮用水源保护区、基本农田、公益林等生态保护目标，符合生态保护红线的要求</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4992979D">
            <w:pPr>
              <w:autoSpaceDE w:val="0"/>
              <w:autoSpaceDN w:val="0"/>
              <w:adjustRightInd w:val="0"/>
              <w:snapToGrid w:val="0"/>
              <w:spacing w:line="360" w:lineRule="auto"/>
              <w:ind w:firstLine="480" w:firstLineChars="200"/>
              <w:jc w:val="both"/>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（3）环境质量底线</w:t>
            </w:r>
          </w:p>
          <w:p w14:paraId="42955C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根据《长江经济带战略环境评价江西省</w:t>
            </w:r>
            <w:r>
              <w:rPr>
                <w:rFonts w:hint="eastAsia"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三线一单</w:t>
            </w:r>
            <w:r>
              <w:rPr>
                <w:rFonts w:hint="eastAsia"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研究报告》《长江经济带战略环境评价江西省赣州市</w:t>
            </w:r>
            <w:r>
              <w:rPr>
                <w:rFonts w:hint="eastAsia"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三线一单</w:t>
            </w:r>
            <w:r>
              <w:rPr>
                <w:rFonts w:hint="eastAsia"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划定技术报告》对</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宁都县</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大气环境质量、水环境质量</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及土壤环境</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提出</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的</w:t>
            </w:r>
            <w:r>
              <w:rPr>
                <w:rFonts w:hint="default"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底线要求，有关要求梳理如下</w:t>
            </w:r>
            <w:r>
              <w:rPr>
                <w:rFonts w:hint="eastAsia" w:ascii="Times New Roman" w:hAnsi="Times New Roman" w:eastAsia="宋体" w:cs="Times New Roman"/>
                <w:bCs/>
                <w:smallCaps w:val="0"/>
                <w:snapToGrid/>
                <w:color w:val="000000" w:themeColor="text1"/>
                <w:spacing w:val="0"/>
                <w:kern w:val="0"/>
                <w:position w:val="0"/>
                <w:sz w:val="24"/>
                <w:szCs w:val="24"/>
                <w:lang w:eastAsia="zh-CN"/>
                <w14:textFill>
                  <w14:solidFill>
                    <w14:schemeClr w14:val="tx1"/>
                  </w14:solidFill>
                </w14:textFill>
              </w:rPr>
              <w:t>：</w:t>
            </w:r>
          </w:p>
          <w:p w14:paraId="11BB226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表1-</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3</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赣州市</w:t>
            </w:r>
            <w:r>
              <w:rPr>
                <w:rFonts w:hint="eastAsia" w:ascii="宋体" w:hAnsi="宋体" w:eastAsia="宋体" w:cs="宋体"/>
                <w:b/>
                <w:bCs/>
                <w:snapToGrid/>
                <w:color w:val="000000" w:themeColor="text1"/>
                <w:spacing w:val="0"/>
                <w:kern w:val="0"/>
                <w:position w:val="0"/>
                <w:sz w:val="21"/>
                <w:szCs w:val="21"/>
                <w:lang w:val="en-US" w:eastAsia="zh-CN"/>
                <w14:textFill>
                  <w14:solidFill>
                    <w14:schemeClr w14:val="tx1"/>
                  </w14:solidFill>
                </w14:textFill>
              </w:rPr>
              <w:t>“三线一单”中</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宁都县</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环境质量底线目标</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202"/>
              <w:gridCol w:w="1928"/>
              <w:gridCol w:w="1202"/>
              <w:gridCol w:w="1168"/>
            </w:tblGrid>
            <w:tr w14:paraId="63BC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9" w:type="pct"/>
                  <w:gridSpan w:val="3"/>
                  <w:tcBorders>
                    <w:tl2br w:val="nil"/>
                    <w:tr2bl w:val="nil"/>
                  </w:tcBorders>
                  <w:noWrap w:val="0"/>
                  <w:vAlign w:val="center"/>
                </w:tcPr>
                <w:p w14:paraId="5E2E928F">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环境质量底线要求</w:t>
                  </w:r>
                </w:p>
              </w:tc>
              <w:tc>
                <w:tcPr>
                  <w:tcW w:w="877" w:type="pct"/>
                  <w:tcBorders>
                    <w:tl2br w:val="nil"/>
                    <w:tr2bl w:val="nil"/>
                  </w:tcBorders>
                  <w:noWrap w:val="0"/>
                  <w:vAlign w:val="center"/>
                </w:tcPr>
                <w:p w14:paraId="77F6BE45">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2025年</w:t>
                  </w:r>
                </w:p>
              </w:tc>
              <w:tc>
                <w:tcPr>
                  <w:tcW w:w="852" w:type="pct"/>
                  <w:tcBorders>
                    <w:tl2br w:val="nil"/>
                    <w:tr2bl w:val="nil"/>
                  </w:tcBorders>
                  <w:noWrap w:val="0"/>
                  <w:vAlign w:val="center"/>
                </w:tcPr>
                <w:p w14:paraId="11853B84">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2035年</w:t>
                  </w:r>
                </w:p>
              </w:tc>
            </w:tr>
            <w:tr w14:paraId="4161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restart"/>
                  <w:tcBorders>
                    <w:tl2br w:val="nil"/>
                    <w:tr2bl w:val="nil"/>
                  </w:tcBorders>
                  <w:noWrap w:val="0"/>
                  <w:vAlign w:val="center"/>
                </w:tcPr>
                <w:p w14:paraId="44C4977E">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大气环境质量底线</w:t>
                  </w:r>
                </w:p>
              </w:tc>
              <w:tc>
                <w:tcPr>
                  <w:tcW w:w="2284" w:type="pct"/>
                  <w:gridSpan w:val="2"/>
                  <w:tcBorders>
                    <w:tl2br w:val="nil"/>
                    <w:tr2bl w:val="nil"/>
                  </w:tcBorders>
                  <w:noWrap w:val="0"/>
                  <w:vAlign w:val="center"/>
                </w:tcPr>
                <w:p w14:paraId="0228282E">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浓度目标（µg/m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877" w:type="pct"/>
                  <w:tcBorders>
                    <w:tl2br w:val="nil"/>
                    <w:tr2bl w:val="nil"/>
                  </w:tcBorders>
                  <w:noWrap w:val="0"/>
                  <w:vAlign w:val="center"/>
                </w:tcPr>
                <w:p w14:paraId="75CADB58">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28</w:t>
                  </w:r>
                </w:p>
              </w:tc>
              <w:tc>
                <w:tcPr>
                  <w:tcW w:w="852" w:type="pct"/>
                  <w:tcBorders>
                    <w:tl2br w:val="nil"/>
                    <w:tr2bl w:val="nil"/>
                  </w:tcBorders>
                  <w:noWrap w:val="0"/>
                  <w:vAlign w:val="center"/>
                </w:tcPr>
                <w:p w14:paraId="6469AC3A">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28</w:t>
                  </w:r>
                </w:p>
              </w:tc>
            </w:tr>
            <w:tr w14:paraId="336A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437C00E2">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877" w:type="pct"/>
                  <w:vMerge w:val="restart"/>
                  <w:tcBorders>
                    <w:tl2br w:val="nil"/>
                    <w:tr2bl w:val="nil"/>
                  </w:tcBorders>
                  <w:noWrap w:val="0"/>
                  <w:vAlign w:val="center"/>
                </w:tcPr>
                <w:p w14:paraId="196F3B55">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大气污染物允许排放量（t/a）</w:t>
                  </w:r>
                </w:p>
              </w:tc>
              <w:tc>
                <w:tcPr>
                  <w:tcW w:w="1406" w:type="pct"/>
                  <w:tcBorders>
                    <w:tl2br w:val="nil"/>
                    <w:tr2bl w:val="nil"/>
                  </w:tcBorders>
                  <w:noWrap w:val="0"/>
                  <w:vAlign w:val="center"/>
                </w:tcPr>
                <w:p w14:paraId="6F0E8DAF">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877" w:type="pct"/>
                  <w:tcBorders>
                    <w:tl2br w:val="nil"/>
                    <w:tr2bl w:val="nil"/>
                  </w:tcBorders>
                  <w:noWrap w:val="0"/>
                  <w:vAlign w:val="center"/>
                </w:tcPr>
                <w:p w14:paraId="4355A146">
                  <w:pPr>
                    <w:pStyle w:val="84"/>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w:t>
                  </w:r>
                </w:p>
              </w:tc>
              <w:tc>
                <w:tcPr>
                  <w:tcW w:w="852" w:type="pct"/>
                  <w:tcBorders>
                    <w:tl2br w:val="nil"/>
                    <w:tr2bl w:val="nil"/>
                  </w:tcBorders>
                  <w:noWrap w:val="0"/>
                  <w:vAlign w:val="center"/>
                </w:tcPr>
                <w:p w14:paraId="40B0E98F">
                  <w:pPr>
                    <w:pStyle w:val="84"/>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w:t>
                  </w:r>
                </w:p>
              </w:tc>
            </w:tr>
            <w:tr w14:paraId="5758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7810E261">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877" w:type="pct"/>
                  <w:vMerge w:val="continue"/>
                  <w:tcBorders>
                    <w:tl2br w:val="nil"/>
                    <w:tr2bl w:val="nil"/>
                  </w:tcBorders>
                  <w:noWrap w:val="0"/>
                  <w:vAlign w:val="center"/>
                </w:tcPr>
                <w:p w14:paraId="42ADF601">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406" w:type="pct"/>
                  <w:tcBorders>
                    <w:tl2br w:val="nil"/>
                    <w:tr2bl w:val="nil"/>
                  </w:tcBorders>
                  <w:noWrap w:val="0"/>
                  <w:vAlign w:val="center"/>
                </w:tcPr>
                <w:p w14:paraId="5C2ABA4B">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X</w:t>
                  </w:r>
                </w:p>
              </w:tc>
              <w:tc>
                <w:tcPr>
                  <w:tcW w:w="877" w:type="pct"/>
                  <w:tcBorders>
                    <w:tl2br w:val="nil"/>
                    <w:tr2bl w:val="nil"/>
                  </w:tcBorders>
                  <w:noWrap w:val="0"/>
                  <w:vAlign w:val="center"/>
                </w:tcPr>
                <w:p w14:paraId="5C2B8AAA">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2634</w:t>
                  </w:r>
                </w:p>
              </w:tc>
              <w:tc>
                <w:tcPr>
                  <w:tcW w:w="852" w:type="pct"/>
                  <w:tcBorders>
                    <w:tl2br w:val="nil"/>
                    <w:tr2bl w:val="nil"/>
                  </w:tcBorders>
                  <w:noWrap w:val="0"/>
                  <w:vAlign w:val="center"/>
                </w:tcPr>
                <w:p w14:paraId="786011D6">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2634</w:t>
                  </w:r>
                </w:p>
              </w:tc>
            </w:tr>
            <w:tr w14:paraId="7F02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396730D5">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877" w:type="pct"/>
                  <w:vMerge w:val="continue"/>
                  <w:tcBorders>
                    <w:tl2br w:val="nil"/>
                    <w:tr2bl w:val="nil"/>
                  </w:tcBorders>
                  <w:noWrap w:val="0"/>
                  <w:vAlign w:val="center"/>
                </w:tcPr>
                <w:p w14:paraId="291388DB">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406" w:type="pct"/>
                  <w:tcBorders>
                    <w:tl2br w:val="nil"/>
                    <w:tr2bl w:val="nil"/>
                  </w:tcBorders>
                  <w:noWrap w:val="0"/>
                  <w:vAlign w:val="center"/>
                </w:tcPr>
                <w:p w14:paraId="3707EFF9">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一次细颗粒物</w:t>
                  </w:r>
                </w:p>
              </w:tc>
              <w:tc>
                <w:tcPr>
                  <w:tcW w:w="877" w:type="pct"/>
                  <w:tcBorders>
                    <w:tl2br w:val="nil"/>
                    <w:tr2bl w:val="nil"/>
                  </w:tcBorders>
                  <w:noWrap w:val="0"/>
                  <w:vAlign w:val="center"/>
                </w:tcPr>
                <w:p w14:paraId="3DF73F25">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12435</w:t>
                  </w:r>
                </w:p>
              </w:tc>
              <w:tc>
                <w:tcPr>
                  <w:tcW w:w="852" w:type="pct"/>
                  <w:tcBorders>
                    <w:tl2br w:val="nil"/>
                    <w:tr2bl w:val="nil"/>
                  </w:tcBorders>
                  <w:noWrap w:val="0"/>
                  <w:vAlign w:val="center"/>
                </w:tcPr>
                <w:p w14:paraId="0BD72CCC">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12435</w:t>
                  </w:r>
                </w:p>
              </w:tc>
            </w:tr>
            <w:tr w14:paraId="7ECA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36859E1B">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877" w:type="pct"/>
                  <w:vMerge w:val="continue"/>
                  <w:tcBorders>
                    <w:tl2br w:val="nil"/>
                    <w:tr2bl w:val="nil"/>
                  </w:tcBorders>
                  <w:noWrap w:val="0"/>
                  <w:vAlign w:val="center"/>
                </w:tcPr>
                <w:p w14:paraId="0403D596">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406" w:type="pct"/>
                  <w:tcBorders>
                    <w:tl2br w:val="nil"/>
                    <w:tr2bl w:val="nil"/>
                  </w:tcBorders>
                  <w:noWrap w:val="0"/>
                  <w:vAlign w:val="center"/>
                </w:tcPr>
                <w:p w14:paraId="3CA7DC7E">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VOCs</w:t>
                  </w:r>
                </w:p>
              </w:tc>
              <w:tc>
                <w:tcPr>
                  <w:tcW w:w="877" w:type="pct"/>
                  <w:tcBorders>
                    <w:tl2br w:val="nil"/>
                    <w:tr2bl w:val="nil"/>
                  </w:tcBorders>
                  <w:noWrap w:val="0"/>
                  <w:vAlign w:val="center"/>
                </w:tcPr>
                <w:p w14:paraId="2A6F06FD">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581</w:t>
                  </w:r>
                </w:p>
              </w:tc>
              <w:tc>
                <w:tcPr>
                  <w:tcW w:w="852" w:type="pct"/>
                  <w:tcBorders>
                    <w:tl2br w:val="nil"/>
                    <w:tr2bl w:val="nil"/>
                  </w:tcBorders>
                  <w:noWrap w:val="0"/>
                  <w:vAlign w:val="center"/>
                </w:tcPr>
                <w:p w14:paraId="71AA4C84">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581</w:t>
                  </w:r>
                </w:p>
              </w:tc>
            </w:tr>
            <w:tr w14:paraId="2D49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restart"/>
                  <w:tcBorders>
                    <w:tl2br w:val="nil"/>
                    <w:tr2bl w:val="nil"/>
                  </w:tcBorders>
                  <w:noWrap w:val="0"/>
                  <w:vAlign w:val="center"/>
                </w:tcPr>
                <w:p w14:paraId="07855191">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水环境质量底线</w:t>
                  </w:r>
                </w:p>
              </w:tc>
              <w:tc>
                <w:tcPr>
                  <w:tcW w:w="2284" w:type="pct"/>
                  <w:gridSpan w:val="2"/>
                  <w:tcBorders>
                    <w:tl2br w:val="nil"/>
                    <w:tr2bl w:val="nil"/>
                  </w:tcBorders>
                  <w:noWrap w:val="0"/>
                  <w:vAlign w:val="center"/>
                </w:tcPr>
                <w:p w14:paraId="6A14ED47">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断面名称</w:t>
                  </w:r>
                </w:p>
              </w:tc>
              <w:tc>
                <w:tcPr>
                  <w:tcW w:w="877" w:type="pct"/>
                  <w:tcBorders>
                    <w:tl2br w:val="nil"/>
                    <w:tr2bl w:val="nil"/>
                  </w:tcBorders>
                  <w:noWrap w:val="0"/>
                  <w:vAlign w:val="center"/>
                </w:tcPr>
                <w:p w14:paraId="466B7B4E">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2025年</w:t>
                  </w:r>
                </w:p>
              </w:tc>
              <w:tc>
                <w:tcPr>
                  <w:tcW w:w="852" w:type="pct"/>
                  <w:tcBorders>
                    <w:tl2br w:val="nil"/>
                    <w:tr2bl w:val="nil"/>
                  </w:tcBorders>
                  <w:noWrap w:val="0"/>
                  <w:vAlign w:val="center"/>
                </w:tcPr>
                <w:p w14:paraId="1F012C5C">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2035年</w:t>
                  </w:r>
                </w:p>
              </w:tc>
            </w:tr>
            <w:tr w14:paraId="7BDA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72BB6C57">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284" w:type="pct"/>
                  <w:gridSpan w:val="2"/>
                  <w:tcBorders>
                    <w:tl2br w:val="nil"/>
                    <w:tr2bl w:val="nil"/>
                  </w:tcBorders>
                  <w:noWrap w:val="0"/>
                  <w:vAlign w:val="center"/>
                </w:tcPr>
                <w:p w14:paraId="03B2D785">
                  <w:pPr>
                    <w:pStyle w:val="84"/>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lang w:val="zh-CN"/>
                      <w14:textFill>
                        <w14:solidFill>
                          <w14:schemeClr w14:val="tx1"/>
                        </w14:solidFill>
                      </w14:textFill>
                    </w:rPr>
                    <w:t>梅江“青山背”</w:t>
                  </w:r>
                </w:p>
              </w:tc>
              <w:tc>
                <w:tcPr>
                  <w:tcW w:w="877" w:type="pct"/>
                  <w:tcBorders>
                    <w:tl2br w:val="nil"/>
                    <w:tr2bl w:val="nil"/>
                  </w:tcBorders>
                  <w:noWrap w:val="0"/>
                  <w:vAlign w:val="center"/>
                </w:tcPr>
                <w:p w14:paraId="549ED370">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Ⅲ</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852" w:type="pct"/>
                  <w:tcBorders>
                    <w:tl2br w:val="nil"/>
                    <w:tr2bl w:val="nil"/>
                  </w:tcBorders>
                  <w:noWrap w:val="0"/>
                  <w:vAlign w:val="center"/>
                </w:tcPr>
                <w:p w14:paraId="1ECFEE08">
                  <w:pPr>
                    <w:autoSpaceDE w:val="0"/>
                    <w:autoSpaceDN w:val="0"/>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Ⅲ</w:t>
                  </w:r>
                  <w:r>
                    <w:rPr>
                      <w:rFonts w:hint="default" w:ascii="Times New Roman" w:hAnsi="Times New Roman" w:eastAsia="宋体" w:cs="Times New Roman"/>
                      <w:color w:val="000000" w:themeColor="text1"/>
                      <w:sz w:val="21"/>
                      <w:szCs w:val="21"/>
                      <w14:textFill>
                        <w14:solidFill>
                          <w14:schemeClr w14:val="tx1"/>
                        </w14:solidFill>
                      </w14:textFill>
                    </w:rPr>
                    <w:t>类</w:t>
                  </w:r>
                </w:p>
              </w:tc>
            </w:tr>
            <w:tr w14:paraId="24E7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restart"/>
                  <w:tcBorders>
                    <w:tl2br w:val="nil"/>
                    <w:tr2bl w:val="nil"/>
                  </w:tcBorders>
                  <w:noWrap w:val="0"/>
                  <w:vAlign w:val="center"/>
                </w:tcPr>
                <w:p w14:paraId="6939AC4A">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土壤环境风险防控底线</w:t>
                  </w:r>
                </w:p>
              </w:tc>
              <w:tc>
                <w:tcPr>
                  <w:tcW w:w="2284" w:type="pct"/>
                  <w:gridSpan w:val="2"/>
                  <w:tcBorders>
                    <w:tl2br w:val="nil"/>
                    <w:tr2bl w:val="nil"/>
                  </w:tcBorders>
                  <w:noWrap w:val="0"/>
                  <w:vAlign w:val="center"/>
                </w:tcPr>
                <w:p w14:paraId="5781DEEF">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受污染耕地安全利用率</w:t>
                  </w:r>
                </w:p>
              </w:tc>
              <w:tc>
                <w:tcPr>
                  <w:tcW w:w="877" w:type="pct"/>
                  <w:tcBorders>
                    <w:tl2br w:val="nil"/>
                    <w:tr2bl w:val="nil"/>
                  </w:tcBorders>
                  <w:noWrap w:val="0"/>
                  <w:vAlign w:val="center"/>
                </w:tcPr>
                <w:p w14:paraId="4380BAD6">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852" w:type="pct"/>
                  <w:tcBorders>
                    <w:tl2br w:val="nil"/>
                    <w:tr2bl w:val="nil"/>
                  </w:tcBorders>
                  <w:noWrap w:val="0"/>
                  <w:vAlign w:val="center"/>
                </w:tcPr>
                <w:p w14:paraId="1210027E">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95%</w:t>
                  </w:r>
                </w:p>
              </w:tc>
            </w:tr>
            <w:tr w14:paraId="1064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 w:type="pct"/>
                  <w:vMerge w:val="continue"/>
                  <w:tcBorders>
                    <w:tl2br w:val="nil"/>
                    <w:tr2bl w:val="nil"/>
                  </w:tcBorders>
                  <w:noWrap w:val="0"/>
                  <w:vAlign w:val="center"/>
                </w:tcPr>
                <w:p w14:paraId="75BF4CB2">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284" w:type="pct"/>
                  <w:gridSpan w:val="2"/>
                  <w:tcBorders>
                    <w:tl2br w:val="nil"/>
                    <w:tr2bl w:val="nil"/>
                  </w:tcBorders>
                  <w:noWrap w:val="0"/>
                  <w:vAlign w:val="center"/>
                </w:tcPr>
                <w:p w14:paraId="65B792E8">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污染地块安全利用率</w:t>
                  </w:r>
                </w:p>
              </w:tc>
              <w:tc>
                <w:tcPr>
                  <w:tcW w:w="877" w:type="pct"/>
                  <w:tcBorders>
                    <w:tl2br w:val="nil"/>
                    <w:tr2bl w:val="nil"/>
                  </w:tcBorders>
                  <w:noWrap w:val="0"/>
                  <w:vAlign w:val="center"/>
                </w:tcPr>
                <w:p w14:paraId="3ABD90AD">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852" w:type="pct"/>
                  <w:tcBorders>
                    <w:tl2br w:val="nil"/>
                    <w:tr2bl w:val="nil"/>
                  </w:tcBorders>
                  <w:noWrap w:val="0"/>
                  <w:vAlign w:val="center"/>
                </w:tcPr>
                <w:p w14:paraId="5A7A7442">
                  <w:pPr>
                    <w:keepNext w:val="0"/>
                    <w:keepLines w:val="0"/>
                    <w:pageBreakBefore w:val="0"/>
                    <w:widowControl w:val="0"/>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95%</w:t>
                  </w:r>
                </w:p>
              </w:tc>
            </w:tr>
          </w:tbl>
          <w:p w14:paraId="6506B8DA">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t>环境空气质量底线：</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根据江西省生态环境厅发布的《202</w:t>
            </w: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年江西省各县（市、区）六项污染物浓度年均值》，</w:t>
            </w:r>
            <w:r>
              <w:rPr>
                <w:rFonts w:hint="eastAsia" w:cs="Times New Roman"/>
                <w:snapToGrid/>
                <w:color w:val="000000" w:themeColor="text1"/>
                <w:spacing w:val="0"/>
                <w:kern w:val="0"/>
                <w:position w:val="0"/>
                <w:sz w:val="24"/>
                <w:szCs w:val="24"/>
                <w:lang w:eastAsia="zh-CN"/>
                <w14:textFill>
                  <w14:solidFill>
                    <w14:schemeClr w14:val="tx1"/>
                  </w14:solidFill>
                </w14:textFill>
              </w:rPr>
              <w:t>宁都县</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六项污染物年均值已达到环境空气质量二级标准限值要求，PM</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2.5</w:t>
            </w:r>
            <w:r>
              <w:rPr>
                <w:rFonts w:hint="eastAsia" w:cs="Times New Roman"/>
                <w:snapToGrid/>
                <w:color w:val="000000" w:themeColor="text1"/>
                <w:spacing w:val="0"/>
                <w:kern w:val="0"/>
                <w:position w:val="0"/>
                <w:sz w:val="24"/>
                <w:szCs w:val="24"/>
                <w:lang w:val="en-US" w:eastAsia="zh-CN"/>
                <w14:textFill>
                  <w14:solidFill>
                    <w14:schemeClr w14:val="tx1"/>
                  </w14:solidFill>
                </w14:textFill>
              </w:rPr>
              <w:t>年平均浓度值（16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µg/m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已达到《江西省打赢蓝天保卫战三年行动计划（2018</w:t>
            </w:r>
            <w:r>
              <w:rPr>
                <w:rFonts w:hint="eastAsia"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2020年）》《赣州市打赢蓝天保卫战三年行动计划（2018</w:t>
            </w:r>
            <w:r>
              <w:rPr>
                <w:rFonts w:hint="eastAsia"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2020年）》及赣州市大气环境质量目标预判各县（区、市）大气环境质量目标。</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项目</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运营期间</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废气</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经处理后达标排放，</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项目实施后满足</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当地</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环境空气质量底线要求。</w:t>
            </w:r>
          </w:p>
          <w:p w14:paraId="52E840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t>地表水环境质量底线：</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根据赣州市生态环境局发</w:t>
            </w:r>
            <w:r>
              <w:rPr>
                <w:rFonts w:hint="eastAsia" w:ascii="宋体" w:hAnsi="宋体" w:eastAsia="宋体" w:cs="宋体"/>
                <w:snapToGrid/>
                <w:color w:val="000000" w:themeColor="text1"/>
                <w:spacing w:val="0"/>
                <w:kern w:val="0"/>
                <w:position w:val="0"/>
                <w:sz w:val="24"/>
                <w:szCs w:val="24"/>
                <w14:textFill>
                  <w14:solidFill>
                    <w14:schemeClr w14:val="tx1"/>
                  </w14:solidFill>
                </w14:textFill>
              </w:rPr>
              <w:t>布的“</w:t>
            </w:r>
            <w: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2023年</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赣州市</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环境质量年</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报</w:t>
            </w:r>
            <w:r>
              <w:rPr>
                <w:rFonts w:hint="eastAsia" w:ascii="宋体" w:hAnsi="宋体" w:eastAsia="宋体" w:cs="宋体"/>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eastAsia" w:ascii="宋体" w:hAnsi="宋体" w:cs="宋体"/>
                <w:snapToGrid/>
                <w:color w:val="000000" w:themeColor="text1"/>
                <w:spacing w:val="0"/>
                <w:kern w:val="0"/>
                <w:position w:val="0"/>
                <w:sz w:val="24"/>
                <w:szCs w:val="24"/>
                <w:lang w:val="en-US" w:eastAsia="zh-CN"/>
                <w14:textFill>
                  <w14:solidFill>
                    <w14:schemeClr w14:val="tx1"/>
                  </w14:solidFill>
                </w14:textFill>
              </w:rPr>
              <w:t>梅江“青山背”断面</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水质</w:t>
            </w:r>
            <w:r>
              <w:rPr>
                <w:rFonts w:hint="eastAsia" w:cs="Times New Roman"/>
                <w:snapToGrid/>
                <w:color w:val="000000" w:themeColor="text1"/>
                <w:spacing w:val="0"/>
                <w:kern w:val="0"/>
                <w:position w:val="0"/>
                <w:sz w:val="24"/>
                <w:szCs w:val="24"/>
                <w:lang w:val="en-US" w:eastAsia="zh-CN"/>
                <w14:textFill>
                  <w14:solidFill>
                    <w14:schemeClr w14:val="tx1"/>
                  </w14:solidFill>
                </w14:textFill>
              </w:rPr>
              <w:t>已满足</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《地表水环境质量标准》（GB3838-2002）中的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zh-CN"/>
                <w14:textFill>
                  <w14:solidFill>
                    <w14:schemeClr w14:val="tx1"/>
                  </w14:solidFill>
                </w14:textFill>
              </w:rPr>
              <w:t>Ⅱ</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类标准</w:t>
            </w:r>
            <w:r>
              <w:rPr>
                <w:rFonts w:hint="eastAsia" w:cs="Times New Roman"/>
                <w:snapToGrid/>
                <w:color w:val="000000" w:themeColor="text1"/>
                <w:spacing w:val="0"/>
                <w:kern w:val="0"/>
                <w:position w:val="0"/>
                <w:sz w:val="24"/>
                <w:szCs w:val="24"/>
                <w:lang w:val="en-US" w:eastAsia="zh-CN"/>
                <w14:textFill>
                  <w14:solidFill>
                    <w14:schemeClr w14:val="tx1"/>
                  </w14:solidFill>
                </w14:textFill>
              </w:rPr>
              <w:t>要求</w:t>
            </w:r>
            <w:r>
              <w:rPr>
                <w:rFonts w:hint="eastAsia"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水质现状良好</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本项目废水经处理后回用，不外排，</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满足</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地表水环境</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质量底线要求</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w:t>
            </w:r>
          </w:p>
          <w:p w14:paraId="6B1579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土壤</w:t>
            </w:r>
            <w:r>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t>环境质量底线：</w:t>
            </w:r>
            <w:r>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项目通过源头控制、过程防控、跟踪监测等措施减少对土壤环境的影响，</w:t>
            </w:r>
            <w:r>
              <w:rPr>
                <w:rFonts w:hint="eastAsia" w:cs="Times New Roman"/>
                <w:snapToGrid/>
                <w:color w:val="000000" w:themeColor="text1"/>
                <w:spacing w:val="0"/>
                <w:kern w:val="0"/>
                <w:position w:val="0"/>
                <w:sz w:val="24"/>
                <w:szCs w:val="24"/>
                <w:lang w:val="en-US" w:eastAsia="zh-CN"/>
                <w14:textFill>
                  <w14:solidFill>
                    <w14:schemeClr w14:val="tx1"/>
                  </w14:solidFill>
                </w14:textFill>
              </w:rPr>
              <w:t>运营期间</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土壤环境风险防控可满足</w:t>
            </w:r>
            <w:r>
              <w:rPr>
                <w:rFonts w:hint="eastAsia" w:cs="Times New Roman"/>
                <w:bCs/>
                <w:smallCaps w:val="0"/>
                <w:snapToGrid/>
                <w:color w:val="000000" w:themeColor="text1"/>
                <w:spacing w:val="0"/>
                <w:kern w:val="0"/>
                <w:position w:val="0"/>
                <w:sz w:val="24"/>
                <w:szCs w:val="24"/>
                <w:lang w:val="en-US" w:eastAsia="zh-CN"/>
                <w14:textFill>
                  <w14:solidFill>
                    <w14:schemeClr w14:val="tx1"/>
                  </w14:solidFill>
                </w14:textFill>
              </w:rPr>
              <w:t>土壤环境</w:t>
            </w:r>
            <w:r>
              <w:rPr>
                <w:rFonts w:hint="eastAsia" w:ascii="Times New Roman" w:hAnsi="Times New Roman" w:eastAsia="宋体" w:cs="Times New Roman"/>
                <w:bCs/>
                <w:smallCaps w:val="0"/>
                <w:snapToGrid/>
                <w:color w:val="000000" w:themeColor="text1"/>
                <w:spacing w:val="0"/>
                <w:kern w:val="0"/>
                <w:position w:val="0"/>
                <w:sz w:val="24"/>
                <w:szCs w:val="24"/>
                <w:lang w:val="en-US" w:eastAsia="zh-CN"/>
                <w14:textFill>
                  <w14:solidFill>
                    <w14:schemeClr w14:val="tx1"/>
                  </w14:solidFill>
                </w14:textFill>
              </w:rPr>
              <w:t>质量底线</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要求</w:t>
            </w:r>
            <w:r>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69FA7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因此，</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本项目建设不会对当地环境质量底线造成冲击。</w:t>
            </w:r>
          </w:p>
          <w:p w14:paraId="770F9B92">
            <w:pPr>
              <w:spacing w:line="360" w:lineRule="auto"/>
              <w:ind w:firstLine="480" w:firstLineChars="200"/>
              <w:rPr>
                <w:rFonts w:hint="default"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t>（</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4</w:t>
            </w:r>
            <w:r>
              <w:rPr>
                <w:rFonts w:hint="default"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t>）资源利用上线</w:t>
            </w:r>
          </w:p>
          <w:p w14:paraId="64C732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本项目资</w:t>
            </w:r>
            <w:bookmarkStart w:id="4" w:name="任101"/>
            <w:bookmarkEnd w:id="4"/>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源利用包括电力</w:t>
            </w:r>
            <w:r>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t>及</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新水，项目电力来自区域电网，新水来自市政供水管网，不占用其他自然资源。本项目建成运行后通过内部管理、设备选择、原辅材料的选用和管理、废物回收利用、污染治理等多方面采取可行的防治措施，</w:t>
            </w:r>
            <w:r>
              <w:rPr>
                <w:rFonts w:hint="eastAsia" w:ascii="宋体" w:hAnsi="宋体" w:eastAsia="宋体" w:cs="宋体"/>
                <w:snapToGrid/>
                <w:color w:val="000000" w:themeColor="text1"/>
                <w:spacing w:val="0"/>
                <w:kern w:val="0"/>
                <w:position w:val="0"/>
                <w:sz w:val="24"/>
                <w:szCs w:val="24"/>
                <w:lang w:val="en-US" w:eastAsia="zh-CN"/>
                <w14:textFill>
                  <w14:solidFill>
                    <w14:schemeClr w14:val="tx1"/>
                  </w14:solidFill>
                </w14:textFill>
              </w:rPr>
              <w:t>以“节能、降耗、减污”为</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目标，</w:t>
            </w:r>
            <w:r>
              <w:rPr>
                <w:rFonts w:hint="eastAsia" w:cs="Times New Roman"/>
                <w:snapToGrid/>
                <w:color w:val="000000" w:themeColor="text1"/>
                <w:spacing w:val="0"/>
                <w:kern w:val="0"/>
                <w:position w:val="0"/>
                <w:sz w:val="24"/>
                <w:szCs w:val="24"/>
                <w:lang w:val="en-US" w:eastAsia="zh-CN"/>
                <w14:textFill>
                  <w14:solidFill>
                    <w14:schemeClr w14:val="tx1"/>
                  </w14:solidFill>
                </w14:textFill>
              </w:rPr>
              <w:t>可</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有</w:t>
            </w:r>
            <w:r>
              <w:rPr>
                <w:rFonts w:hint="eastAsia" w:cs="Times New Roman"/>
                <w:snapToGrid/>
                <w:color w:val="000000" w:themeColor="text1"/>
                <w:spacing w:val="0"/>
                <w:kern w:val="0"/>
                <w:position w:val="0"/>
                <w:sz w:val="24"/>
                <w:szCs w:val="24"/>
                <w:lang w:val="en-US" w:eastAsia="zh-CN"/>
                <w14:textFill>
                  <w14:solidFill>
                    <w14:schemeClr w14:val="tx1"/>
                  </w14:solidFill>
                </w14:textFill>
              </w:rPr>
              <w:t>效</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地控制污染，项目的新水</w:t>
            </w:r>
            <w:r>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t>及</w:t>
            </w:r>
            <w:r>
              <w:rPr>
                <w:rFonts w:hint="default" w:eastAsia="宋体" w:cs="Times New Roman"/>
                <w:snapToGrid/>
                <w:color w:val="000000" w:themeColor="text1"/>
                <w:spacing w:val="0"/>
                <w:kern w:val="0"/>
                <w:position w:val="0"/>
                <w:sz w:val="24"/>
                <w:szCs w:val="24"/>
                <w:lang w:val="en-US" w:eastAsia="zh-CN"/>
                <w14:textFill>
                  <w14:solidFill>
                    <w14:schemeClr w14:val="tx1"/>
                  </w14:solidFill>
                </w14:textFill>
              </w:rPr>
              <w:t>电力等资源不会突破区域的资源利用上线</w:t>
            </w:r>
            <w:r>
              <w:rPr>
                <w:rFonts w:hint="eastAsia"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0DB4E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（5）与《江西省人民政府关于加快实</w:t>
            </w:r>
            <w:r>
              <w:rPr>
                <w:rFonts w:hint="eastAsia" w:ascii="宋体" w:hAnsi="宋体" w:eastAsia="宋体" w:cs="宋体"/>
                <w:smallCaps w:val="0"/>
                <w:snapToGrid/>
                <w:color w:val="000000" w:themeColor="text1"/>
                <w:spacing w:val="0"/>
                <w:w w:val="100"/>
                <w:kern w:val="0"/>
                <w:position w:val="0"/>
                <w:sz w:val="24"/>
                <w:szCs w:val="24"/>
                <w:lang w:val="en-US" w:eastAsia="zh-CN"/>
                <w14:textFill>
                  <w14:solidFill>
                    <w14:schemeClr w14:val="tx1"/>
                  </w14:solidFill>
                </w14:textFill>
              </w:rPr>
              <w:t>施“三线一单”生态</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环境分区管控的意见》相符性分析</w:t>
            </w:r>
          </w:p>
          <w:p w14:paraId="041DB8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本项目</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位于</w:t>
            </w:r>
            <w:r>
              <w:rPr>
                <w:rFonts w:hint="eastAsia" w:cs="Times New Roman"/>
                <w:snapToGrid/>
                <w:color w:val="000000" w:themeColor="text1"/>
                <w:spacing w:val="0"/>
                <w:kern w:val="0"/>
                <w:position w:val="0"/>
                <w:sz w:val="24"/>
                <w:lang w:val="en-US" w:eastAsia="zh-CN"/>
                <w14:textFill>
                  <w14:solidFill>
                    <w14:schemeClr w14:val="tx1"/>
                  </w14:solidFill>
                </w14:textFill>
              </w:rPr>
              <w:t>宁都县梅江镇，为</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重点管控单元（环境管控单元编码：</w:t>
            </w:r>
            <w:r>
              <w:rPr>
                <w:rFonts w:hint="eastAsia" w:cs="Times New Roman"/>
                <w:snapToGrid/>
                <w:color w:val="000000" w:themeColor="text1"/>
                <w:spacing w:val="0"/>
                <w:kern w:val="0"/>
                <w:position w:val="0"/>
                <w:sz w:val="24"/>
                <w:szCs w:val="24"/>
                <w:lang w:eastAsia="zh-CN"/>
                <w14:textFill>
                  <w14:solidFill>
                    <w14:schemeClr w14:val="tx1"/>
                  </w14:solidFill>
                </w14:textFill>
              </w:rPr>
              <w:t>ZH36073020001</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。本项目不涉及生态保护红线，不属于高污染高排放项目</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满足生态环境准入要求，采取了污染物防治措施和环境风险防控措施，满足重点管控单元要求。与《江西省人民政府关</w:t>
            </w:r>
            <w:r>
              <w:rPr>
                <w:rFonts w:hint="eastAsia" w:ascii="宋体" w:hAnsi="宋体" w:eastAsia="宋体" w:cs="宋体"/>
                <w:smallCaps w:val="0"/>
                <w:snapToGrid/>
                <w:color w:val="000000" w:themeColor="text1"/>
                <w:spacing w:val="0"/>
                <w:w w:val="100"/>
                <w:kern w:val="0"/>
                <w:position w:val="0"/>
                <w:sz w:val="24"/>
                <w:szCs w:val="24"/>
                <w:lang w:val="en-US" w:eastAsia="zh-CN"/>
                <w14:textFill>
                  <w14:solidFill>
                    <w14:schemeClr w14:val="tx1"/>
                  </w14:solidFill>
                </w14:textFill>
              </w:rPr>
              <w:t>于加快实施“三线一单”生态环境分区管控的意见》</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相符。</w:t>
            </w:r>
          </w:p>
          <w:p w14:paraId="4A1A8E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（6）与《赣州市生态环境总体准入</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清单</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》及《赣州市</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各县（市、区）</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环境管控单元生态环境准入清单》</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的</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相符性分析</w:t>
            </w:r>
          </w:p>
          <w:p w14:paraId="7BCDF5CF">
            <w:pPr>
              <w:pStyle w:val="18"/>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表</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1-</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4</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与《赣州市生态环境总体准入清单》相符性分析</w:t>
            </w:r>
          </w:p>
          <w:tbl>
            <w:tblPr>
              <w:tblStyle w:val="28"/>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823"/>
              <w:gridCol w:w="2031"/>
              <w:gridCol w:w="700"/>
            </w:tblGrid>
            <w:tr w14:paraId="201A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40AC9E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t>类别</w:t>
                  </w:r>
                </w:p>
              </w:tc>
              <w:tc>
                <w:tcPr>
                  <w:tcW w:w="2077" w:type="pct"/>
                  <w:noWrap w:val="0"/>
                  <w:vAlign w:val="center"/>
                </w:tcPr>
                <w:p w14:paraId="4F53021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b/>
                      <w:bCs/>
                      <w:smallCaps w:val="0"/>
                      <w:snapToGrid/>
                      <w:color w:val="000000" w:themeColor="text1"/>
                      <w:spacing w:val="0"/>
                      <w:w w:val="100"/>
                      <w:kern w:val="0"/>
                      <w:position w:val="0"/>
                      <w:sz w:val="21"/>
                      <w:szCs w:val="21"/>
                      <w:lang w:val="en-US" w:eastAsia="zh-CN"/>
                      <w14:textFill>
                        <w14:solidFill>
                          <w14:schemeClr w14:val="tx1"/>
                        </w14:solidFill>
                      </w14:textFill>
                    </w:rPr>
                    <w:t>生态环境</w:t>
                  </w:r>
                  <w:r>
                    <w:rPr>
                      <w:rFonts w:hint="eastAsia"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t>准入要求</w:t>
                  </w:r>
                </w:p>
              </w:tc>
              <w:tc>
                <w:tcPr>
                  <w:tcW w:w="1494" w:type="pct"/>
                  <w:noWrap w:val="0"/>
                  <w:vAlign w:val="center"/>
                </w:tcPr>
                <w:p w14:paraId="085CB00F">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b/>
                      <w:bCs/>
                      <w:smallCaps w:val="0"/>
                      <w:snapToGrid/>
                      <w:color w:val="000000" w:themeColor="text1"/>
                      <w:spacing w:val="0"/>
                      <w:w w:val="100"/>
                      <w:kern w:val="0"/>
                      <w:position w:val="0"/>
                      <w:sz w:val="21"/>
                      <w:szCs w:val="21"/>
                      <w:lang w:val="en-US" w:eastAsia="zh-CN"/>
                      <w14:textFill>
                        <w14:solidFill>
                          <w14:schemeClr w14:val="tx1"/>
                        </w14:solidFill>
                      </w14:textFill>
                    </w:rPr>
                    <w:t>本项目</w:t>
                  </w:r>
                </w:p>
              </w:tc>
              <w:tc>
                <w:tcPr>
                  <w:tcW w:w="515" w:type="pct"/>
                  <w:noWrap w:val="0"/>
                  <w:vAlign w:val="center"/>
                </w:tcPr>
                <w:p w14:paraId="3E4301C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b/>
                      <w:bCs/>
                      <w:smallCaps w:val="0"/>
                      <w:snapToGrid/>
                      <w:color w:val="000000" w:themeColor="text1"/>
                      <w:spacing w:val="0"/>
                      <w:w w:val="100"/>
                      <w:kern w:val="0"/>
                      <w:position w:val="0"/>
                      <w:sz w:val="21"/>
                      <w:szCs w:val="21"/>
                      <w:lang w:val="en-US" w:eastAsia="zh-CN"/>
                      <w14:textFill>
                        <w14:solidFill>
                          <w14:schemeClr w14:val="tx1"/>
                        </w14:solidFill>
                      </w14:textFill>
                    </w:rPr>
                    <w:t>相符性</w:t>
                  </w:r>
                </w:p>
              </w:tc>
            </w:tr>
            <w:tr w14:paraId="321B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noWrap w:val="0"/>
                  <w:vAlign w:val="center"/>
                </w:tcPr>
                <w:p w14:paraId="01525EA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空间布局约束（禁止开发建设活动的要求）</w:t>
                  </w:r>
                </w:p>
              </w:tc>
              <w:tc>
                <w:tcPr>
                  <w:tcW w:w="2077" w:type="pct"/>
                  <w:noWrap w:val="0"/>
                  <w:vAlign w:val="center"/>
                </w:tcPr>
                <w:p w14:paraId="044F865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禁止新建、改扩建《产业结构调整指导目录》规定的淘汰类产业</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266905D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本项目不属于</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《产业结构调整指导目录》规定的淘汰类产业</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515" w:type="pct"/>
                  <w:noWrap w:val="0"/>
                  <w:vAlign w:val="center"/>
                </w:tcPr>
                <w:p w14:paraId="6842A8D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7A11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912" w:type="pct"/>
                  <w:vMerge w:val="continue"/>
                  <w:noWrap w:val="0"/>
                  <w:vAlign w:val="center"/>
                </w:tcPr>
                <w:p w14:paraId="2883229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44B62F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大余县、上犹县、崇义县、龙南市、</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全南</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县、定南县、</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安远县</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和寻乌县禁止新建、改扩建江西省国家重点生态功能区产业准入负面清单（第一批）中禁止类项目；石城县禁止新建、改扩建江西省国家重点生态功能区产业准入负面清单（第二批）中禁止类项目</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4A6CA07B">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本项目位于</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宁都县</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宁都县</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不在</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江西省国家重点生态功能区产业准入负面清单（第一批</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第二批）中。</w:t>
                  </w:r>
                </w:p>
              </w:tc>
              <w:tc>
                <w:tcPr>
                  <w:tcW w:w="515" w:type="pct"/>
                  <w:noWrap w:val="0"/>
                  <w:vAlign w:val="center"/>
                </w:tcPr>
                <w:p w14:paraId="50B9F27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0534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3BC8AE4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4235B9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禁止在长江干支流、重要湖泊岸线一公里范围内新建、扩建化工园区和化工项目。东江（定南水）源、东江（寻乌水）源、赣江（章江）源、赣江（贡江）源源头保护区内禁止新建污染企业等不符合源头保护区生态功能定位的活动</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3D8875E5">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本项目不属于化工项目，不在</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东江（定南水）源、东江（寻乌水）源、赣江（章江）源、赣江（贡江）源源头保护区。</w:t>
                  </w:r>
                </w:p>
              </w:tc>
              <w:tc>
                <w:tcPr>
                  <w:tcW w:w="515" w:type="pct"/>
                  <w:noWrap w:val="0"/>
                  <w:vAlign w:val="center"/>
                </w:tcPr>
                <w:p w14:paraId="1E8F0AA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7CE8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01997EAB">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5A35E9B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不得引进产业规划禁止类项目进入园区</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56821BBD">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本项目不在工业园区内。</w:t>
                  </w:r>
                </w:p>
              </w:tc>
              <w:tc>
                <w:tcPr>
                  <w:tcW w:w="515" w:type="pct"/>
                  <w:noWrap w:val="0"/>
                  <w:vAlign w:val="center"/>
                </w:tcPr>
                <w:p w14:paraId="4AAB718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77B2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59B4317B">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777A12B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禁养区内禁止建设规模化养殖场或养殖小区</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49F4A4D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不属于</w:t>
                  </w:r>
                </w:p>
              </w:tc>
              <w:tc>
                <w:tcPr>
                  <w:tcW w:w="515" w:type="pct"/>
                  <w:noWrap w:val="0"/>
                  <w:vAlign w:val="center"/>
                </w:tcPr>
                <w:p w14:paraId="33E630C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5D3A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5C411FE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657D84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生态保护红线内，自然保护地核心保护区原则上禁止人为活动；自然保护地核心保护区外，禁止开发性、生产性建设活动，在符合法律法规前提下，仅允许对生态功能不造成破坏的类有限人为活动。生态保护红线内允许的有限人为活动，应当征求相关主管部门或具有审批权限的相关机构的意见。</w:t>
                  </w:r>
                </w:p>
                <w:p w14:paraId="4DBC4FA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1.管护巡护、保护执法、科学研究、调查监测、测绘导航、防灾减灾救灾、军事国防、疫情防控等活动及相关的必要设施修筑。2.原住居民和其他合法权益主体，允许在不扩大现有建设用地、耕地、水产养殖规模和放牧强度（符合草畜平衡管理规定）的前提下，开展种植、放牧、捕捞、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w:t>
                  </w:r>
                  <w:r>
                    <w:rPr>
                      <w:rFonts w:hint="default" w:ascii="Times New Roman" w:hAnsi="Times New Roman" w:eastAsia="宋体" w:cs="Times New Roman"/>
                      <w:i w:val="0"/>
                      <w:iCs w:val="0"/>
                      <w:caps w:val="0"/>
                      <w:color w:val="000000" w:themeColor="text1"/>
                      <w:spacing w:val="0"/>
                      <w:kern w:val="0"/>
                      <w:sz w:val="21"/>
                      <w:szCs w:val="21"/>
                      <w:shd w:val="clear" w:fill="auto"/>
                      <w14:textFill>
                        <w14:solidFill>
                          <w14:schemeClr w14:val="tx1"/>
                        </w14:solidFill>
                      </w14:textFill>
                    </w:rPr>
                    <w:t>生态保护红线内允许的有限人为活动，应当征求相关主管部门或具有审批权限的相关机构的意见</w:t>
                  </w:r>
                  <w:r>
                    <w:rPr>
                      <w:rFonts w:hint="eastAsia" w:cs="Times New Roman"/>
                      <w:i w:val="0"/>
                      <w:iCs w:val="0"/>
                      <w:caps w:val="0"/>
                      <w:color w:val="000000" w:themeColor="text1"/>
                      <w:spacing w:val="0"/>
                      <w:kern w:val="0"/>
                      <w:sz w:val="21"/>
                      <w:szCs w:val="21"/>
                      <w:shd w:val="clear"/>
                      <w:lang w:eastAsia="zh-CN"/>
                      <w14:textFill>
                        <w14:solidFill>
                          <w14:schemeClr w14:val="tx1"/>
                        </w14:solidFill>
                      </w14:textFill>
                    </w:rPr>
                    <w:t>。</w:t>
                  </w:r>
                </w:p>
              </w:tc>
              <w:tc>
                <w:tcPr>
                  <w:tcW w:w="1494" w:type="pct"/>
                  <w:noWrap w:val="0"/>
                  <w:vAlign w:val="center"/>
                </w:tcPr>
                <w:p w14:paraId="6DAA15A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不在</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生态保护红线及自然</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保护地核心保护区</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内。</w:t>
                  </w:r>
                </w:p>
              </w:tc>
              <w:tc>
                <w:tcPr>
                  <w:tcW w:w="515" w:type="pct"/>
                  <w:noWrap w:val="0"/>
                  <w:vAlign w:val="center"/>
                </w:tcPr>
                <w:p w14:paraId="52D5030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73AD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noWrap w:val="0"/>
                  <w:vAlign w:val="center"/>
                </w:tcPr>
                <w:p w14:paraId="33469E0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空间布局约束（限制开发建设活动的要求）</w:t>
                  </w:r>
                </w:p>
              </w:tc>
              <w:tc>
                <w:tcPr>
                  <w:tcW w:w="2077" w:type="pct"/>
                  <w:noWrap w:val="0"/>
                  <w:vAlign w:val="center"/>
                </w:tcPr>
                <w:p w14:paraId="7EE7C8D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不得新建规模不符合各行业准入条件的项目</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35E26855">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本项目无行业准入条件。</w:t>
                  </w:r>
                </w:p>
              </w:tc>
              <w:tc>
                <w:tcPr>
                  <w:tcW w:w="515" w:type="pct"/>
                  <w:noWrap w:val="0"/>
                  <w:vAlign w:val="center"/>
                </w:tcPr>
                <w:p w14:paraId="2EE0C9A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4024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09A53A5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160ACD3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不得新建《国家淘汰落后生产能力、工艺和产品的目录》等名录中淘汰工艺和装备</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39F9E16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不采用《国家淘汰落后生产能力、工艺和产品的目录》等名录中淘汰工艺和装备</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515" w:type="pct"/>
                  <w:noWrap w:val="0"/>
                  <w:vAlign w:val="center"/>
                </w:tcPr>
                <w:p w14:paraId="052C0E8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430C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13FE9F4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759C5DE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江西省国家重点生态功能区产业准入负面清单（第一批）中限制类项目，大余县、上犹县、崇义县、龙南市、</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全南</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县、定南县、</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安远县</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和寻乌县按准入条件建设；江西省国家重点生态功能区产业准入负面清单（第二批）中限制类项目，石城县按准入条件建设</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0F319F72">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本项目位于宁都县，宁都县不在</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江西省国家重点生态功能区产业准入负面清单（第一批</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第二批）中。</w:t>
                  </w:r>
                </w:p>
              </w:tc>
              <w:tc>
                <w:tcPr>
                  <w:tcW w:w="515" w:type="pct"/>
                  <w:noWrap w:val="0"/>
                  <w:vAlign w:val="center"/>
                </w:tcPr>
                <w:p w14:paraId="4A7848B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719F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4698BD8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41B4BD8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禁止在饮用水水源一级保护区内新建、改建、扩建与供水设施和保护水源无关的建设项目</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375C88D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428EFD2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0F73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noWrap w:val="0"/>
                  <w:vAlign w:val="center"/>
                </w:tcPr>
                <w:p w14:paraId="0B0CC9E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空间布局约束（不符合空间布局要求活动的退出要求）</w:t>
                  </w:r>
                </w:p>
              </w:tc>
              <w:tc>
                <w:tcPr>
                  <w:tcW w:w="2077" w:type="pct"/>
                  <w:noWrap w:val="0"/>
                  <w:vAlign w:val="center"/>
                </w:tcPr>
                <w:p w14:paraId="15C1EEE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生态保护红线经国务院批准后，对需逐步有序退出的矿业权、建设用地、人工商品林、耕地等，按照尊重历史、实事求是、逐步退出的原则，报请省政府另行制定工作方案</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2E7FE69B">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本项目不涉及生态保护红线。</w:t>
                  </w:r>
                </w:p>
              </w:tc>
              <w:tc>
                <w:tcPr>
                  <w:tcW w:w="515" w:type="pct"/>
                  <w:noWrap w:val="0"/>
                  <w:vAlign w:val="center"/>
                </w:tcPr>
                <w:p w14:paraId="75DEAD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6C30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16A0A25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76D6654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现有饮用水水源一级保护区内与供水设施和保护水源无关的建设项目拆除或关闭</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303B963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22FFC76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3D00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293E529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空间布局约束（其他空间布局约束要求）</w:t>
                  </w:r>
                </w:p>
              </w:tc>
              <w:tc>
                <w:tcPr>
                  <w:tcW w:w="2077" w:type="pct"/>
                  <w:noWrap w:val="0"/>
                  <w:vAlign w:val="center"/>
                </w:tcPr>
                <w:p w14:paraId="7EFD1FA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一般生态空间中零散城镇村建设用地、永久基本农田、特殊用地等，按国土空间规划的要求开展相关活动和开发行为。</w:t>
                  </w:r>
                </w:p>
              </w:tc>
              <w:tc>
                <w:tcPr>
                  <w:tcW w:w="1494" w:type="pct"/>
                  <w:noWrap w:val="0"/>
                  <w:vAlign w:val="center"/>
                </w:tcPr>
                <w:p w14:paraId="4A8F1F49">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本项目不涉及</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零散城镇村建设用地、永久基本农田、特殊用地等。</w:t>
                  </w:r>
                </w:p>
              </w:tc>
              <w:tc>
                <w:tcPr>
                  <w:tcW w:w="515" w:type="pct"/>
                  <w:noWrap w:val="0"/>
                  <w:vAlign w:val="center"/>
                </w:tcPr>
                <w:p w14:paraId="794340A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617F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22DBF41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污染物排放管控（允许排放量要求）</w:t>
                  </w:r>
                </w:p>
              </w:tc>
              <w:tc>
                <w:tcPr>
                  <w:tcW w:w="2077" w:type="pct"/>
                  <w:noWrap w:val="0"/>
                  <w:vAlign w:val="center"/>
                </w:tcPr>
                <w:p w14:paraId="1C78634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到2025年，赣州市全市化学需氧量、氨氮、氮氧化物、挥发性有机物重点工程减排量分别为13451吨、873吨、873吨、1518吨。</w:t>
                  </w: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“十五五”</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及以后执行省级下达的管控指标要求。</w:t>
                  </w:r>
                </w:p>
              </w:tc>
              <w:tc>
                <w:tcPr>
                  <w:tcW w:w="1494" w:type="pct"/>
                  <w:noWrap w:val="0"/>
                  <w:vAlign w:val="center"/>
                </w:tcPr>
                <w:p w14:paraId="55644C6F">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本项目无需申请总量控制指标</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515" w:type="pct"/>
                  <w:noWrap w:val="0"/>
                  <w:vAlign w:val="center"/>
                </w:tcPr>
                <w:p w14:paraId="5A91540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2DB8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486E3AC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污染物排放管控（现有源提升改造）</w:t>
                  </w:r>
                </w:p>
              </w:tc>
              <w:tc>
                <w:tcPr>
                  <w:tcW w:w="2077" w:type="pct"/>
                  <w:noWrap w:val="0"/>
                  <w:vAlign w:val="center"/>
                </w:tcPr>
                <w:p w14:paraId="024A4BA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依法严把准入关，县级及以上城市建成区不再审批</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35</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蒸吨</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小时及以下燃煤锅炉。</w:t>
                  </w:r>
                </w:p>
              </w:tc>
              <w:tc>
                <w:tcPr>
                  <w:tcW w:w="1494" w:type="pct"/>
                  <w:noWrap w:val="0"/>
                  <w:vAlign w:val="center"/>
                </w:tcPr>
                <w:p w14:paraId="3F77BEC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68B3961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0DDF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noWrap w:val="0"/>
                  <w:vAlign w:val="center"/>
                </w:tcPr>
                <w:p w14:paraId="47DF528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环境风险防控（联防联控要求）</w:t>
                  </w:r>
                </w:p>
              </w:tc>
              <w:tc>
                <w:tcPr>
                  <w:tcW w:w="2077" w:type="pct"/>
                  <w:noWrap w:val="0"/>
                  <w:vAlign w:val="center"/>
                </w:tcPr>
                <w:p w14:paraId="7B714F9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积极参与和龙岩市区域大气污染防治联防联控合作及和广东省跨界河流水污染联防联控协作工作，推动省界生态环境特征相似区域环境管控要求协调统一</w:t>
                  </w: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41EDF8D9">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1371C8E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23D7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354405E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49F1BB0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严格落实重度污染区风险管控要求，严格管控区内禁止种植食用农产品。</w:t>
                  </w:r>
                </w:p>
              </w:tc>
              <w:tc>
                <w:tcPr>
                  <w:tcW w:w="1494" w:type="pct"/>
                  <w:noWrap w:val="0"/>
                  <w:vAlign w:val="center"/>
                </w:tcPr>
                <w:p w14:paraId="234F3BD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207B324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6235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6263786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000276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纳入疑似污染地块的，应当依法开展土壤污染环境质量状况调查，确定为污染地块后，经治理与修复，并符合相应规划用地土壤环境质量标准要求后，方可进入用地程序。</w:t>
                  </w:r>
                </w:p>
              </w:tc>
              <w:tc>
                <w:tcPr>
                  <w:tcW w:w="1494" w:type="pct"/>
                  <w:noWrap w:val="0"/>
                  <w:vAlign w:val="center"/>
                </w:tcPr>
                <w:p w14:paraId="69A1927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361548B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5251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796DB6E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96E1BE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工业园区应建立三级环境风险防控体系。</w:t>
                  </w:r>
                </w:p>
              </w:tc>
              <w:tc>
                <w:tcPr>
                  <w:tcW w:w="1494" w:type="pct"/>
                  <w:noWrap w:val="0"/>
                  <w:vAlign w:val="center"/>
                </w:tcPr>
                <w:p w14:paraId="29B7197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3D36D90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5E84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79FB4BB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2A08021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紧邻居住、科教、医院等环境敏感点的工业用地，禁止规划环境风险等级高的建设项目。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494" w:type="pct"/>
                  <w:noWrap w:val="0"/>
                  <w:vAlign w:val="center"/>
                </w:tcPr>
                <w:p w14:paraId="4E85AC37">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本项目不属于环境</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风险等级高的建设项目，</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且</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设置有一般固体废物暂存</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间</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及</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危废暂存间</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515" w:type="pct"/>
                  <w:noWrap w:val="0"/>
                  <w:vAlign w:val="center"/>
                </w:tcPr>
                <w:p w14:paraId="602BF65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4425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noWrap w:val="0"/>
                  <w:vAlign w:val="center"/>
                </w:tcPr>
                <w:p w14:paraId="76018D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资源利用效率要求（水资源利用总量要求）</w:t>
                  </w:r>
                </w:p>
              </w:tc>
              <w:tc>
                <w:tcPr>
                  <w:tcW w:w="2077" w:type="pct"/>
                  <w:noWrap w:val="0"/>
                  <w:vAlign w:val="center"/>
                </w:tcPr>
                <w:p w14:paraId="22B0E34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到2025年赣州市区域用水总量不得超过</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35.97</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亿</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m</w:t>
                  </w:r>
                  <w:r>
                    <w:rPr>
                      <w:rFonts w:hint="default" w:ascii="Times New Roman" w:hAnsi="Times New Roman" w:eastAsia="宋体" w:cs="Times New Roman"/>
                      <w:smallCaps w:val="0"/>
                      <w:snapToGrid/>
                      <w:color w:val="000000" w:themeColor="text1"/>
                      <w:spacing w:val="0"/>
                      <w:w w:val="100"/>
                      <w:kern w:val="0"/>
                      <w:position w:val="0"/>
                      <w:sz w:val="21"/>
                      <w:szCs w:val="21"/>
                      <w:vertAlign w:val="superscript"/>
                      <w:lang w:val="en-US" w:eastAsia="zh-CN"/>
                      <w14:textFill>
                        <w14:solidFill>
                          <w14:schemeClr w14:val="tx1"/>
                        </w14:solidFill>
                      </w14:textFill>
                    </w:rPr>
                    <w:t>3</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40F4D9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6D29EBF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3506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noWrap w:val="0"/>
                  <w:vAlign w:val="center"/>
                </w:tcPr>
                <w:p w14:paraId="012E40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p>
              </w:tc>
              <w:tc>
                <w:tcPr>
                  <w:tcW w:w="2077" w:type="pct"/>
                  <w:noWrap w:val="0"/>
                  <w:vAlign w:val="center"/>
                </w:tcPr>
                <w:p w14:paraId="3C923B4B">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shd w:val="clear" w:fill="auto"/>
                      <w14:textFill>
                        <w14:solidFill>
                          <w14:schemeClr w14:val="tx1"/>
                        </w14:solidFill>
                      </w14:textFill>
                    </w:rPr>
                    <w:t>农业灌溉水有效利用效率不低于0.527。</w:t>
                  </w:r>
                </w:p>
              </w:tc>
              <w:tc>
                <w:tcPr>
                  <w:tcW w:w="2031" w:type="dxa"/>
                  <w:noWrap w:val="0"/>
                  <w:vAlign w:val="center"/>
                </w:tcPr>
                <w:p w14:paraId="4C90E2B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700" w:type="dxa"/>
                  <w:noWrap w:val="0"/>
                  <w:vAlign w:val="center"/>
                </w:tcPr>
                <w:p w14:paraId="042DDC0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31CD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760D21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资源利用效率要求（</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地下水开采</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要求）</w:t>
                  </w:r>
                </w:p>
              </w:tc>
              <w:tc>
                <w:tcPr>
                  <w:tcW w:w="2077" w:type="pct"/>
                  <w:noWrap w:val="0"/>
                  <w:vAlign w:val="center"/>
                </w:tcPr>
                <w:p w14:paraId="567CBB1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未经允许禁止在赣州市中心城区新增取用地下水。</w:t>
                  </w:r>
                </w:p>
              </w:tc>
              <w:tc>
                <w:tcPr>
                  <w:tcW w:w="1494" w:type="pct"/>
                  <w:noWrap w:val="0"/>
                  <w:vAlign w:val="center"/>
                </w:tcPr>
                <w:p w14:paraId="1A09BE2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5CF71BE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01C5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5CDAC7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资源利用效率要求（能源利用总量及效率要求）</w:t>
                  </w:r>
                </w:p>
              </w:tc>
              <w:tc>
                <w:tcPr>
                  <w:tcW w:w="2077" w:type="pct"/>
                  <w:noWrap w:val="0"/>
                  <w:vAlign w:val="center"/>
                </w:tcPr>
                <w:p w14:paraId="65DE2AA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到2025年，全市万元地区</w:t>
                  </w:r>
                  <w:r>
                    <w:rPr>
                      <w:rFonts w:hint="eastAsia" w:cs="Times New Roman"/>
                      <w:smallCaps w:val="0"/>
                      <w:snapToGrid/>
                      <w:color w:val="000000" w:themeColor="text1"/>
                      <w:spacing w:val="0"/>
                      <w:w w:val="100"/>
                      <w:kern w:val="0"/>
                      <w:position w:val="0"/>
                      <w:sz w:val="21"/>
                      <w:szCs w:val="21"/>
                      <w:lang w:val="en-US" w:eastAsia="zh-CN"/>
                      <w14:textFill>
                        <w14:solidFill>
                          <w14:schemeClr w14:val="tx1"/>
                        </w14:solidFill>
                      </w14:textFill>
                    </w:rPr>
                    <w:t>生产总值</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能耗比</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2020</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年基础目标下降</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12.5%</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，激励目标下降</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13%</w:t>
                  </w:r>
                  <w:r>
                    <w:rPr>
                      <w:rFonts w:hint="eastAsia" w:ascii="Times New Roman" w:hAnsi="Times New Roman" w:cs="Times New Roman"/>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1494" w:type="pct"/>
                  <w:noWrap w:val="0"/>
                  <w:vAlign w:val="center"/>
                </w:tcPr>
                <w:p w14:paraId="5F59D217">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t>本项目消耗电力及新水，但消耗量较小。</w:t>
                  </w:r>
                </w:p>
              </w:tc>
              <w:tc>
                <w:tcPr>
                  <w:tcW w:w="515" w:type="pct"/>
                  <w:noWrap w:val="0"/>
                  <w:vAlign w:val="center"/>
                </w:tcPr>
                <w:p w14:paraId="586B08C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r w14:paraId="24A2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noWrap w:val="0"/>
                  <w:vAlign w:val="center"/>
                </w:tcPr>
                <w:p w14:paraId="21627C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资源利用效率要求（</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禁燃区要求</w:t>
                  </w:r>
                  <w:r>
                    <w:rPr>
                      <w:rFonts w:hint="default"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w:t>
                  </w:r>
                </w:p>
              </w:tc>
              <w:tc>
                <w:tcPr>
                  <w:tcW w:w="2077" w:type="pct"/>
                  <w:noWrap w:val="0"/>
                  <w:vAlign w:val="center"/>
                </w:tcPr>
                <w:p w14:paraId="60EC3C4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禁止在赣州市划定的高污染燃料禁燃区燃用高污染燃料，新建、扩建燃用高污染燃料的项目和设施。禁燃区内现有使用高污染燃料的区域应分期分批次淘汰或实施清洁能源改造。</w:t>
                  </w:r>
                </w:p>
              </w:tc>
              <w:tc>
                <w:tcPr>
                  <w:tcW w:w="1494" w:type="pct"/>
                  <w:noWrap w:val="0"/>
                  <w:vAlign w:val="center"/>
                </w:tcPr>
                <w:p w14:paraId="33E4A0F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14:textFill>
                        <w14:solidFill>
                          <w14:schemeClr w14:val="tx1"/>
                        </w14:solidFill>
                      </w14:textFill>
                    </w:rPr>
                    <w:t>不涉及</w:t>
                  </w:r>
                </w:p>
              </w:tc>
              <w:tc>
                <w:tcPr>
                  <w:tcW w:w="515" w:type="pct"/>
                  <w:noWrap w:val="0"/>
                  <w:vAlign w:val="center"/>
                </w:tcPr>
                <w:p w14:paraId="031DEAA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smallCaps w:val="0"/>
                      <w:snapToGrid/>
                      <w:color w:val="000000" w:themeColor="text1"/>
                      <w:spacing w:val="0"/>
                      <w:w w:val="100"/>
                      <w:kern w:val="0"/>
                      <w:position w:val="0"/>
                      <w:sz w:val="21"/>
                      <w:szCs w:val="21"/>
                      <w:lang w:val="en-US" w:eastAsia="zh-CN"/>
                      <w14:textFill>
                        <w14:solidFill>
                          <w14:schemeClr w14:val="tx1"/>
                        </w14:solidFill>
                      </w14:textFill>
                    </w:rPr>
                    <w:t>符合</w:t>
                  </w:r>
                </w:p>
              </w:tc>
            </w:tr>
          </w:tbl>
          <w:p w14:paraId="17D598B4">
            <w:pPr>
              <w:pStyle w:val="18"/>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表</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1-</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5</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与《赣州市</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各县（市、区）</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环境管控单元生态环境准入清单》相符性分析</w:t>
            </w:r>
          </w:p>
          <w:tbl>
            <w:tblPr>
              <w:tblStyle w:val="27"/>
              <w:tblW w:w="49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
              <w:gridCol w:w="1508"/>
              <w:gridCol w:w="3077"/>
              <w:gridCol w:w="1323"/>
              <w:gridCol w:w="432"/>
            </w:tblGrid>
            <w:tr w14:paraId="600F7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6" w:type="pct"/>
                  <w:gridSpan w:val="2"/>
                  <w:tcBorders>
                    <w:tl2br w:val="nil"/>
                    <w:tr2bl w:val="nil"/>
                  </w:tcBorders>
                  <w:noWrap w:val="0"/>
                  <w:vAlign w:val="center"/>
                </w:tcPr>
                <w:p w14:paraId="0C333BBD">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类别</w:t>
                  </w:r>
                </w:p>
              </w:tc>
              <w:tc>
                <w:tcPr>
                  <w:tcW w:w="2249" w:type="pct"/>
                  <w:tcBorders>
                    <w:tl2br w:val="nil"/>
                    <w:tr2bl w:val="nil"/>
                  </w:tcBorders>
                  <w:noWrap w:val="0"/>
                  <w:vAlign w:val="center"/>
                </w:tcPr>
                <w:p w14:paraId="721FD7AE">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环境管控单元</w:t>
                  </w:r>
                </w:p>
                <w:p w14:paraId="4BD33448">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cs="Times New Roman"/>
                      <w:b/>
                      <w:bCs/>
                      <w:snapToGrid/>
                      <w:color w:val="000000" w:themeColor="text1"/>
                      <w:spacing w:val="0"/>
                      <w:kern w:val="0"/>
                      <w:position w:val="0"/>
                      <w:sz w:val="21"/>
                      <w:szCs w:val="21"/>
                      <w:lang w:eastAsia="zh-CN"/>
                      <w14:textFill>
                        <w14:solidFill>
                          <w14:schemeClr w14:val="tx1"/>
                        </w14:solidFill>
                      </w14:textFill>
                    </w:rPr>
                    <w:t>ZH36073020001</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要求</w:t>
                  </w:r>
                </w:p>
              </w:tc>
              <w:tc>
                <w:tcPr>
                  <w:tcW w:w="967" w:type="pct"/>
                  <w:tcBorders>
                    <w:tl2br w:val="nil"/>
                    <w:tr2bl w:val="nil"/>
                  </w:tcBorders>
                  <w:noWrap w:val="0"/>
                  <w:vAlign w:val="center"/>
                </w:tcPr>
                <w:p w14:paraId="7D36660C">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本项目</w:t>
                  </w:r>
                </w:p>
              </w:tc>
              <w:tc>
                <w:tcPr>
                  <w:tcW w:w="315" w:type="pct"/>
                  <w:tcBorders>
                    <w:tl2br w:val="nil"/>
                    <w:tr2bl w:val="nil"/>
                  </w:tcBorders>
                  <w:noWrap w:val="0"/>
                  <w:vAlign w:val="center"/>
                </w:tcPr>
                <w:p w14:paraId="34CA7350">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相符性</w:t>
                  </w:r>
                </w:p>
              </w:tc>
            </w:tr>
            <w:tr w14:paraId="69ED4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restart"/>
                  <w:tcBorders>
                    <w:tl2br w:val="nil"/>
                    <w:tr2bl w:val="nil"/>
                  </w:tcBorders>
                  <w:noWrap w:val="0"/>
                  <w:vAlign w:val="center"/>
                </w:tcPr>
                <w:p w14:paraId="7437475C">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空间约</w:t>
                  </w:r>
                  <w:r>
                    <w:rPr>
                      <w:rFonts w:hint="default" w:ascii="Times New Roman" w:hAnsi="Times New Roman" w:eastAsia="宋体" w:cs="Times New Roman"/>
                      <w:snapToGrid/>
                      <w:color w:val="000000" w:themeColor="text1"/>
                      <w:spacing w:val="0"/>
                      <w:w w:val="100"/>
                      <w:kern w:val="0"/>
                      <w:position w:val="0"/>
                      <w:sz w:val="21"/>
                      <w:szCs w:val="21"/>
                      <w14:textFill>
                        <w14:solidFill>
                          <w14:schemeClr w14:val="tx1"/>
                        </w14:solidFill>
                      </w14:textFill>
                    </w:rPr>
                    <w:t>束</w:t>
                  </w:r>
                </w:p>
              </w:tc>
              <w:tc>
                <w:tcPr>
                  <w:tcW w:w="1102" w:type="pct"/>
                  <w:tcBorders>
                    <w:tl2br w:val="nil"/>
                    <w:tr2bl w:val="nil"/>
                  </w:tcBorders>
                  <w:noWrap w:val="0"/>
                  <w:vAlign w:val="center"/>
                </w:tcPr>
                <w:p w14:paraId="1E678517">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禁止开发建设活动的要求</w:t>
                  </w:r>
                </w:p>
              </w:tc>
              <w:tc>
                <w:tcPr>
                  <w:tcW w:w="2249" w:type="pct"/>
                  <w:tcBorders>
                    <w:tl2br w:val="nil"/>
                    <w:tr2bl w:val="nil"/>
                  </w:tcBorders>
                  <w:noWrap w:val="0"/>
                  <w:vAlign w:val="center"/>
                </w:tcPr>
                <w:p w14:paraId="54B0763C">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工业园区不得引进产业规划禁止类项目进入园区。</w:t>
                  </w:r>
                </w:p>
              </w:tc>
              <w:tc>
                <w:tcPr>
                  <w:tcW w:w="967" w:type="pct"/>
                  <w:vMerge w:val="restart"/>
                  <w:tcBorders>
                    <w:tl2br w:val="nil"/>
                    <w:tr2bl w:val="nil"/>
                  </w:tcBorders>
                  <w:noWrap w:val="0"/>
                  <w:vAlign w:val="center"/>
                </w:tcPr>
                <w:p w14:paraId="5B3C8DBC">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t>本项目</w:t>
                  </w: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不在工业园区内，不属于</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‘两高’项目</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315" w:type="pct"/>
                  <w:vMerge w:val="restart"/>
                  <w:tcBorders>
                    <w:tl2br w:val="nil"/>
                    <w:tr2bl w:val="nil"/>
                  </w:tcBorders>
                  <w:noWrap w:val="0"/>
                  <w:vAlign w:val="center"/>
                </w:tcPr>
                <w:p w14:paraId="745C882D">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34511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49478347">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1C17C909">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不符合空间布局要求活动的退出要求</w:t>
                  </w:r>
                </w:p>
              </w:tc>
              <w:tc>
                <w:tcPr>
                  <w:tcW w:w="2249" w:type="pct"/>
                  <w:tcBorders>
                    <w:tl2br w:val="nil"/>
                    <w:tr2bl w:val="nil"/>
                  </w:tcBorders>
                  <w:noWrap w:val="0"/>
                  <w:vAlign w:val="center"/>
                </w:tcPr>
                <w:p w14:paraId="0844F7C9">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现有园区产业规划禁止类的企业逐步停产或关停。</w:t>
                  </w:r>
                </w:p>
              </w:tc>
              <w:tc>
                <w:tcPr>
                  <w:tcW w:w="967" w:type="pct"/>
                  <w:vMerge w:val="continue"/>
                  <w:tcBorders>
                    <w:tl2br w:val="nil"/>
                    <w:tr2bl w:val="nil"/>
                  </w:tcBorders>
                  <w:noWrap w:val="0"/>
                  <w:vAlign w:val="center"/>
                </w:tcPr>
                <w:p w14:paraId="458DBA2B">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p>
              </w:tc>
              <w:tc>
                <w:tcPr>
                  <w:tcW w:w="315" w:type="pct"/>
                  <w:vMerge w:val="continue"/>
                  <w:tcBorders>
                    <w:tl2br w:val="nil"/>
                    <w:tr2bl w:val="nil"/>
                  </w:tcBorders>
                  <w:noWrap w:val="0"/>
                  <w:vAlign w:val="center"/>
                </w:tcPr>
                <w:p w14:paraId="3D9D15BD">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r>
            <w:tr w14:paraId="3933C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01CF0BAD">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44828AEE">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其他空间布局约束要求</w:t>
                  </w:r>
                </w:p>
              </w:tc>
              <w:tc>
                <w:tcPr>
                  <w:tcW w:w="2249" w:type="pct"/>
                  <w:tcBorders>
                    <w:tl2br w:val="nil"/>
                    <w:tr2bl w:val="nil"/>
                  </w:tcBorders>
                  <w:noWrap w:val="0"/>
                  <w:vAlign w:val="center"/>
                </w:tcPr>
                <w:p w14:paraId="7F70CEEE">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加强‘两高’项目源头防控。</w:t>
                  </w:r>
                </w:p>
              </w:tc>
              <w:tc>
                <w:tcPr>
                  <w:tcW w:w="967" w:type="pct"/>
                  <w:vMerge w:val="continue"/>
                  <w:tcBorders>
                    <w:tl2br w:val="nil"/>
                    <w:tr2bl w:val="nil"/>
                  </w:tcBorders>
                  <w:noWrap w:val="0"/>
                  <w:vAlign w:val="center"/>
                </w:tcPr>
                <w:p w14:paraId="3D4204F6">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315" w:type="pct"/>
                  <w:vMerge w:val="continue"/>
                  <w:tcBorders>
                    <w:tl2br w:val="nil"/>
                    <w:tr2bl w:val="nil"/>
                  </w:tcBorders>
                  <w:noWrap w:val="0"/>
                  <w:vAlign w:val="center"/>
                </w:tcPr>
                <w:p w14:paraId="09551A7A">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r>
            <w:tr w14:paraId="7061C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restart"/>
                  <w:tcBorders>
                    <w:tl2br w:val="nil"/>
                    <w:tr2bl w:val="nil"/>
                  </w:tcBorders>
                  <w:noWrap w:val="0"/>
                  <w:vAlign w:val="center"/>
                </w:tcPr>
                <w:p w14:paraId="47E7AE46">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污染物排放管控</w:t>
                  </w:r>
                </w:p>
              </w:tc>
              <w:tc>
                <w:tcPr>
                  <w:tcW w:w="1102" w:type="pct"/>
                  <w:tcBorders>
                    <w:tl2br w:val="nil"/>
                    <w:tr2bl w:val="nil"/>
                  </w:tcBorders>
                  <w:noWrap w:val="0"/>
                  <w:vAlign w:val="center"/>
                </w:tcPr>
                <w:p w14:paraId="4DB1B78C">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现有源提标升级改造</w:t>
                  </w:r>
                </w:p>
              </w:tc>
              <w:tc>
                <w:tcPr>
                  <w:tcW w:w="2249" w:type="pct"/>
                  <w:tcBorders>
                    <w:tl2br w:val="nil"/>
                    <w:tr2bl w:val="nil"/>
                  </w:tcBorders>
                  <w:noWrap w:val="0"/>
                  <w:vAlign w:val="center"/>
                </w:tcPr>
                <w:p w14:paraId="2FD05DAB">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园区内现有企业需预处理达到污水集中处理设施接管标准。</w:t>
                  </w:r>
                </w:p>
              </w:tc>
              <w:tc>
                <w:tcPr>
                  <w:tcW w:w="967" w:type="pct"/>
                  <w:tcBorders>
                    <w:tl2br w:val="nil"/>
                    <w:tr2bl w:val="nil"/>
                  </w:tcBorders>
                  <w:noWrap w:val="0"/>
                  <w:vAlign w:val="center"/>
                </w:tcPr>
                <w:p w14:paraId="5E43A52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不涉及</w:t>
                  </w:r>
                </w:p>
              </w:tc>
              <w:tc>
                <w:tcPr>
                  <w:tcW w:w="315" w:type="pct"/>
                  <w:tcBorders>
                    <w:tl2br w:val="nil"/>
                    <w:tr2bl w:val="nil"/>
                  </w:tcBorders>
                  <w:noWrap w:val="0"/>
                  <w:vAlign w:val="center"/>
                </w:tcPr>
                <w:p w14:paraId="705CC592">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6E37E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5F42FCCF">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64740B3B">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新增源等量或倍量替代</w:t>
                  </w:r>
                </w:p>
              </w:tc>
              <w:tc>
                <w:tcPr>
                  <w:tcW w:w="2249" w:type="pct"/>
                  <w:tcBorders>
                    <w:tl2br w:val="nil"/>
                    <w:tr2bl w:val="nil"/>
                  </w:tcBorders>
                  <w:noWrap w:val="0"/>
                  <w:vAlign w:val="center"/>
                </w:tcPr>
                <w:p w14:paraId="4B661074">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新建项目污染物排放量应实施县（市）平衡，区域污染物排放总量不增加。</w:t>
                  </w:r>
                </w:p>
              </w:tc>
              <w:tc>
                <w:tcPr>
                  <w:tcW w:w="967" w:type="pct"/>
                  <w:tcBorders>
                    <w:tl2br w:val="nil"/>
                    <w:tr2bl w:val="nil"/>
                  </w:tcBorders>
                  <w:noWrap w:val="0"/>
                  <w:vAlign w:val="center"/>
                </w:tcPr>
                <w:p w14:paraId="2A943294">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本项目无需申请总量控制指标。</w:t>
                  </w:r>
                </w:p>
              </w:tc>
              <w:tc>
                <w:tcPr>
                  <w:tcW w:w="315" w:type="pct"/>
                  <w:tcBorders>
                    <w:tl2br w:val="nil"/>
                    <w:tr2bl w:val="nil"/>
                  </w:tcBorders>
                  <w:noWrap w:val="0"/>
                  <w:vAlign w:val="center"/>
                </w:tcPr>
                <w:p w14:paraId="453B7DEB">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69F0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063B78A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4A0B37BA">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污染物排放绩效水平准入要求</w:t>
                  </w:r>
                </w:p>
              </w:tc>
              <w:tc>
                <w:tcPr>
                  <w:tcW w:w="2249" w:type="pct"/>
                  <w:tcBorders>
                    <w:tl2br w:val="nil"/>
                    <w:tr2bl w:val="nil"/>
                  </w:tcBorders>
                  <w:noWrap w:val="0"/>
                  <w:vAlign w:val="center"/>
                </w:tcPr>
                <w:p w14:paraId="7FCBD8F3">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鼓励现有排水量大的企业实施清洁生产以降低排水量，加大中水回用率</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967" w:type="pct"/>
                  <w:tcBorders>
                    <w:tl2br w:val="nil"/>
                    <w:tr2bl w:val="nil"/>
                  </w:tcBorders>
                  <w:noWrap w:val="0"/>
                  <w:vAlign w:val="center"/>
                </w:tcPr>
                <w:p w14:paraId="22C1D31F">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本项目废水不外排。</w:t>
                  </w:r>
                </w:p>
              </w:tc>
              <w:tc>
                <w:tcPr>
                  <w:tcW w:w="315" w:type="pct"/>
                  <w:tcBorders>
                    <w:tl2br w:val="nil"/>
                    <w:tr2bl w:val="nil"/>
                  </w:tcBorders>
                  <w:noWrap w:val="0"/>
                  <w:vAlign w:val="center"/>
                </w:tcPr>
                <w:p w14:paraId="6B2DFA4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4896B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1C9F3FDA">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45BB3659">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其他污染物排放管控要求</w:t>
                  </w:r>
                </w:p>
              </w:tc>
              <w:tc>
                <w:tcPr>
                  <w:tcW w:w="2249" w:type="pct"/>
                  <w:tcBorders>
                    <w:tl2br w:val="nil"/>
                    <w:tr2bl w:val="nil"/>
                  </w:tcBorders>
                  <w:noWrap w:val="0"/>
                  <w:vAlign w:val="center"/>
                </w:tcPr>
                <w:p w14:paraId="63CCFC4D">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综合条件较好的重点行业率先开展节能降碳技术改造。</w:t>
                  </w:r>
                </w:p>
              </w:tc>
              <w:tc>
                <w:tcPr>
                  <w:tcW w:w="967" w:type="pct"/>
                  <w:tcBorders>
                    <w:tl2br w:val="nil"/>
                    <w:tr2bl w:val="nil"/>
                  </w:tcBorders>
                  <w:noWrap w:val="0"/>
                  <w:vAlign w:val="center"/>
                </w:tcPr>
                <w:p w14:paraId="280D9417">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本项目能耗较小。</w:t>
                  </w:r>
                </w:p>
              </w:tc>
              <w:tc>
                <w:tcPr>
                  <w:tcW w:w="315" w:type="pct"/>
                  <w:tcBorders>
                    <w:tl2br w:val="nil"/>
                    <w:tr2bl w:val="nil"/>
                  </w:tcBorders>
                  <w:noWrap w:val="0"/>
                  <w:vAlign w:val="center"/>
                </w:tcPr>
                <w:p w14:paraId="0F1A4B6B">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17861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restart"/>
                  <w:tcBorders>
                    <w:tl2br w:val="nil"/>
                    <w:tr2bl w:val="nil"/>
                  </w:tcBorders>
                  <w:noWrap w:val="0"/>
                  <w:vAlign w:val="center"/>
                </w:tcPr>
                <w:p w14:paraId="03F7552C">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环境风险防控</w:t>
                  </w:r>
                </w:p>
              </w:tc>
              <w:tc>
                <w:tcPr>
                  <w:tcW w:w="1102" w:type="pct"/>
                  <w:tcBorders>
                    <w:tl2br w:val="nil"/>
                    <w:tr2bl w:val="nil"/>
                  </w:tcBorders>
                  <w:noWrap w:val="0"/>
                  <w:vAlign w:val="center"/>
                </w:tcPr>
                <w:p w14:paraId="29B3A90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严格管控类农用地管控要求</w:t>
                  </w:r>
                </w:p>
              </w:tc>
              <w:tc>
                <w:tcPr>
                  <w:tcW w:w="2249" w:type="pct"/>
                  <w:tcBorders>
                    <w:tl2br w:val="nil"/>
                    <w:tr2bl w:val="nil"/>
                  </w:tcBorders>
                  <w:noWrap w:val="0"/>
                  <w:vAlign w:val="center"/>
                </w:tcPr>
                <w:p w14:paraId="1E90B217">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严格落实重度污染区风险管控要求，严格管控区内禁止种植食用农产品。</w:t>
                  </w:r>
                </w:p>
              </w:tc>
              <w:tc>
                <w:tcPr>
                  <w:tcW w:w="967" w:type="pct"/>
                  <w:tcBorders>
                    <w:tl2br w:val="nil"/>
                    <w:tr2bl w:val="nil"/>
                  </w:tcBorders>
                  <w:noWrap w:val="0"/>
                  <w:vAlign w:val="center"/>
                </w:tcPr>
                <w:p w14:paraId="14AF749E">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不涉及</w:t>
                  </w:r>
                </w:p>
              </w:tc>
              <w:tc>
                <w:tcPr>
                  <w:tcW w:w="315" w:type="pct"/>
                  <w:tcBorders>
                    <w:tl2br w:val="nil"/>
                    <w:tr2bl w:val="nil"/>
                  </w:tcBorders>
                  <w:noWrap w:val="0"/>
                  <w:vAlign w:val="center"/>
                </w:tcPr>
                <w:p w14:paraId="685B5D5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777AA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44B2A735">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0C1FDE55">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污染地块管控要求</w:t>
                  </w:r>
                </w:p>
              </w:tc>
              <w:tc>
                <w:tcPr>
                  <w:tcW w:w="2249" w:type="pct"/>
                  <w:tcBorders>
                    <w:tl2br w:val="nil"/>
                    <w:tr2bl w:val="nil"/>
                  </w:tcBorders>
                  <w:noWrap w:val="0"/>
                  <w:vAlign w:val="center"/>
                </w:tcPr>
                <w:p w14:paraId="57E0C01F">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已污染地块，应当依法开展土壤污染状况调查、治理与修复，符合相应用地土壤环境质量要求后，方可进入用地程序</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967" w:type="pct"/>
                  <w:tcBorders>
                    <w:tl2br w:val="nil"/>
                    <w:tr2bl w:val="nil"/>
                  </w:tcBorders>
                  <w:noWrap w:val="0"/>
                  <w:vAlign w:val="center"/>
                </w:tcPr>
                <w:p w14:paraId="52421551">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不涉及</w:t>
                  </w:r>
                </w:p>
              </w:tc>
              <w:tc>
                <w:tcPr>
                  <w:tcW w:w="315" w:type="pct"/>
                  <w:tcBorders>
                    <w:tl2br w:val="nil"/>
                    <w:tr2bl w:val="nil"/>
                  </w:tcBorders>
                  <w:noWrap w:val="0"/>
                  <w:vAlign w:val="center"/>
                </w:tcPr>
                <w:p w14:paraId="50A4CB64">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65CE6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1CCA5A65">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61481DF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园区环境风险防控要求</w:t>
                  </w:r>
                </w:p>
              </w:tc>
              <w:tc>
                <w:tcPr>
                  <w:tcW w:w="2249" w:type="pct"/>
                  <w:tcBorders>
                    <w:tl2br w:val="nil"/>
                    <w:tr2bl w:val="nil"/>
                  </w:tcBorders>
                  <w:noWrap w:val="0"/>
                  <w:vAlign w:val="center"/>
                </w:tcPr>
                <w:p w14:paraId="15A2937A">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园区应建立三级环境风险防控体系。</w:t>
                  </w:r>
                </w:p>
              </w:tc>
              <w:tc>
                <w:tcPr>
                  <w:tcW w:w="967" w:type="pct"/>
                  <w:tcBorders>
                    <w:tl2br w:val="nil"/>
                    <w:tr2bl w:val="nil"/>
                  </w:tcBorders>
                  <w:noWrap w:val="0"/>
                  <w:vAlign w:val="center"/>
                </w:tcPr>
                <w:p w14:paraId="3149062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不涉及</w:t>
                  </w:r>
                </w:p>
              </w:tc>
              <w:tc>
                <w:tcPr>
                  <w:tcW w:w="315" w:type="pct"/>
                  <w:tcBorders>
                    <w:tl2br w:val="nil"/>
                    <w:tr2bl w:val="nil"/>
                  </w:tcBorders>
                  <w:noWrap w:val="0"/>
                  <w:vAlign w:val="center"/>
                </w:tcPr>
                <w:p w14:paraId="55C1D345">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2DDE2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437FF497">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535F7DBD">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企业环境风险防控要求</w:t>
                  </w:r>
                </w:p>
              </w:tc>
              <w:tc>
                <w:tcPr>
                  <w:tcW w:w="2249" w:type="pct"/>
                  <w:tcBorders>
                    <w:tl2br w:val="nil"/>
                    <w:tr2bl w:val="nil"/>
                  </w:tcBorders>
                  <w:noWrap w:val="0"/>
                  <w:vAlign w:val="center"/>
                </w:tcPr>
                <w:p w14:paraId="12B6D1FE">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1、企业应按照《企业事业单位突发环境事件应急预案备案管理办法（试行）》中规定的要求编制环境风险应急预案，并加强应急演练。2、生产、存储危险化学品及产生大量废水的企业，应配套有效措施，防止因渗漏污染地下水、土壤，以及因事故废水直排污染地表水体。3、产生、利用或处置固体废物（含危险废物）的企业，在贮存、转移、利用、处置固体废物（含危险废物）过程中，应配套防扬散、防流失、防渗漏及其他防止污染环境的措施。</w:t>
                  </w:r>
                </w:p>
              </w:tc>
              <w:tc>
                <w:tcPr>
                  <w:tcW w:w="967" w:type="pct"/>
                  <w:tcBorders>
                    <w:tl2br w:val="nil"/>
                    <w:tr2bl w:val="nil"/>
                  </w:tcBorders>
                  <w:noWrap w:val="0"/>
                  <w:vAlign w:val="center"/>
                </w:tcPr>
                <w:p w14:paraId="79FDEAB0">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建设单位应按</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《企业事业单位突发环境事件应急预案备案管理办法（试行）》中规定的要求编制环境风险应急预案，并加强应急演练</w:t>
                  </w:r>
                  <w:r>
                    <w:rPr>
                      <w:rFonts w:hint="eastAsia"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315" w:type="pct"/>
                  <w:tcBorders>
                    <w:tl2br w:val="nil"/>
                    <w:tr2bl w:val="nil"/>
                  </w:tcBorders>
                  <w:noWrap w:val="0"/>
                  <w:vAlign w:val="center"/>
                </w:tcPr>
                <w:p w14:paraId="5C1063D6">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1B7E6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4F9F7142">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45DD0CCA">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其他环境风险防控要求</w:t>
                  </w:r>
                </w:p>
              </w:tc>
              <w:tc>
                <w:tcPr>
                  <w:tcW w:w="2249" w:type="pct"/>
                  <w:tcBorders>
                    <w:tl2br w:val="nil"/>
                    <w:tr2bl w:val="nil"/>
                  </w:tcBorders>
                  <w:noWrap w:val="0"/>
                  <w:vAlign w:val="center"/>
                </w:tcPr>
                <w:p w14:paraId="71F5B462">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紧邻居住、科教、医院等环境敏感点的工业用地，禁止新建环境风险等级高的建设项目。</w:t>
                  </w:r>
                </w:p>
              </w:tc>
              <w:tc>
                <w:tcPr>
                  <w:tcW w:w="967" w:type="pct"/>
                  <w:tcBorders>
                    <w:tl2br w:val="nil"/>
                    <w:tr2bl w:val="nil"/>
                  </w:tcBorders>
                  <w:noWrap w:val="0"/>
                  <w:vAlign w:val="center"/>
                </w:tcPr>
                <w:p w14:paraId="13645015">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本项目厂界50m范围内无环境敏感点。</w:t>
                  </w:r>
                </w:p>
              </w:tc>
              <w:tc>
                <w:tcPr>
                  <w:tcW w:w="315" w:type="pct"/>
                  <w:tcBorders>
                    <w:tl2br w:val="nil"/>
                    <w:tr2bl w:val="nil"/>
                  </w:tcBorders>
                  <w:noWrap w:val="0"/>
                  <w:vAlign w:val="center"/>
                </w:tcPr>
                <w:p w14:paraId="311BAA8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eastAsia="宋体" w:cs="Times New Roman"/>
                      <w:snapToGrid/>
                      <w:color w:val="000000" w:themeColor="text1"/>
                      <w:spacing w:val="0"/>
                      <w:kern w:val="0"/>
                      <w:position w:val="0"/>
                      <w:sz w:val="21"/>
                      <w:szCs w:val="21"/>
                      <w:lang w:val="en-US" w:eastAsia="zh-CN"/>
                      <w14:textFill>
                        <w14:solidFill>
                          <w14:schemeClr w14:val="tx1"/>
                        </w14:solidFill>
                      </w14:textFill>
                    </w:rPr>
                    <w:t>符合</w:t>
                  </w:r>
                </w:p>
              </w:tc>
            </w:tr>
            <w:tr w14:paraId="49E0A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restart"/>
                  <w:tcBorders>
                    <w:tl2br w:val="nil"/>
                    <w:tr2bl w:val="nil"/>
                  </w:tcBorders>
                  <w:noWrap w:val="0"/>
                  <w:vAlign w:val="center"/>
                </w:tcPr>
                <w:p w14:paraId="5A1C679E">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资源利用效率要求</w:t>
                  </w:r>
                </w:p>
              </w:tc>
              <w:tc>
                <w:tcPr>
                  <w:tcW w:w="1102" w:type="pct"/>
                  <w:tcBorders>
                    <w:tl2br w:val="nil"/>
                    <w:tr2bl w:val="nil"/>
                  </w:tcBorders>
                  <w:noWrap w:val="0"/>
                  <w:vAlign w:val="center"/>
                </w:tcPr>
                <w:p w14:paraId="4DC63F3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水资源利用效率要求</w:t>
                  </w:r>
                </w:p>
              </w:tc>
              <w:tc>
                <w:tcPr>
                  <w:tcW w:w="2249" w:type="pct"/>
                  <w:tcBorders>
                    <w:tl2br w:val="nil"/>
                    <w:tr2bl w:val="nil"/>
                  </w:tcBorders>
                  <w:noWrap w:val="0"/>
                  <w:vAlign w:val="center"/>
                </w:tcPr>
                <w:p w14:paraId="76DB7C62">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企业工业用水重复率执行行业标准要求。</w:t>
                  </w:r>
                </w:p>
              </w:tc>
              <w:tc>
                <w:tcPr>
                  <w:tcW w:w="967" w:type="pct"/>
                  <w:tcBorders>
                    <w:tl2br w:val="nil"/>
                    <w:tr2bl w:val="nil"/>
                  </w:tcBorders>
                  <w:noWrap w:val="0"/>
                  <w:vAlign w:val="center"/>
                </w:tcPr>
                <w:p w14:paraId="1CB0126D">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无</w:t>
                  </w:r>
                </w:p>
              </w:tc>
              <w:tc>
                <w:tcPr>
                  <w:tcW w:w="315" w:type="pct"/>
                  <w:tcBorders>
                    <w:tl2br w:val="nil"/>
                    <w:tr2bl w:val="nil"/>
                  </w:tcBorders>
                  <w:noWrap w:val="0"/>
                  <w:vAlign w:val="center"/>
                </w:tcPr>
                <w:p w14:paraId="03A59D45">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eastAsia="宋体" w:cs="Times New Roman"/>
                      <w:snapToGrid/>
                      <w:color w:val="000000" w:themeColor="text1"/>
                      <w:spacing w:val="0"/>
                      <w:kern w:val="0"/>
                      <w:position w:val="0"/>
                      <w:sz w:val="21"/>
                      <w:szCs w:val="21"/>
                      <w:lang w:val="en-US" w:eastAsia="zh-CN"/>
                      <w14:textFill>
                        <w14:solidFill>
                          <w14:schemeClr w14:val="tx1"/>
                        </w14:solidFill>
                      </w14:textFill>
                    </w:rPr>
                    <w:t>符合</w:t>
                  </w:r>
                </w:p>
              </w:tc>
            </w:tr>
            <w:tr w14:paraId="6C85E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4" w:type="pct"/>
                  <w:vMerge w:val="continue"/>
                  <w:tcBorders>
                    <w:tl2br w:val="nil"/>
                    <w:tr2bl w:val="nil"/>
                  </w:tcBorders>
                  <w:noWrap w:val="0"/>
                  <w:vAlign w:val="center"/>
                </w:tcPr>
                <w:p w14:paraId="14810B7D">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102" w:type="pct"/>
                  <w:tcBorders>
                    <w:tl2br w:val="nil"/>
                    <w:tr2bl w:val="nil"/>
                  </w:tcBorders>
                  <w:noWrap w:val="0"/>
                  <w:vAlign w:val="center"/>
                </w:tcPr>
                <w:p w14:paraId="0B812C7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园区工业用水重复利用率限值</w:t>
                  </w:r>
                </w:p>
                <w:p w14:paraId="516CF31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2249" w:type="pct"/>
                  <w:tcBorders>
                    <w:tl2br w:val="nil"/>
                    <w:tr2bl w:val="nil"/>
                  </w:tcBorders>
                  <w:noWrap w:val="0"/>
                  <w:vAlign w:val="center"/>
                </w:tcPr>
                <w:p w14:paraId="6B866811">
                  <w:pPr>
                    <w:keepNext w:val="0"/>
                    <w:keepLines w:val="0"/>
                    <w:pageBreakBefore w:val="0"/>
                    <w:widowControl/>
                    <w:suppressLineNumbers w:val="0"/>
                    <w:kinsoku/>
                    <w:wordWrap/>
                    <w:overflowPunct/>
                    <w:topLinePunct w:val="0"/>
                    <w:bidi w:val="0"/>
                    <w:adjustRightInd/>
                    <w:snapToGrid/>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企业工业用水重复率执行行业标准要求。</w:t>
                  </w:r>
                </w:p>
              </w:tc>
              <w:tc>
                <w:tcPr>
                  <w:tcW w:w="1323" w:type="dxa"/>
                  <w:tcBorders>
                    <w:tl2br w:val="nil"/>
                    <w:tr2bl w:val="nil"/>
                  </w:tcBorders>
                  <w:noWrap w:val="0"/>
                  <w:vAlign w:val="center"/>
                </w:tcPr>
                <w:p w14:paraId="5BD8C573">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无</w:t>
                  </w:r>
                </w:p>
              </w:tc>
              <w:tc>
                <w:tcPr>
                  <w:tcW w:w="432" w:type="dxa"/>
                  <w:tcBorders>
                    <w:tl2br w:val="nil"/>
                    <w:tr2bl w:val="nil"/>
                  </w:tcBorders>
                  <w:noWrap w:val="0"/>
                  <w:vAlign w:val="center"/>
                </w:tcPr>
                <w:p w14:paraId="505C91CE">
                  <w:pPr>
                    <w:pStyle w:val="7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eastAsia="宋体" w:cs="Times New Roman"/>
                      <w:snapToGrid/>
                      <w:color w:val="000000" w:themeColor="text1"/>
                      <w:spacing w:val="0"/>
                      <w:kern w:val="0"/>
                      <w:position w:val="0"/>
                      <w:sz w:val="21"/>
                      <w:szCs w:val="21"/>
                      <w:lang w:val="en-US" w:eastAsia="zh-CN"/>
                      <w14:textFill>
                        <w14:solidFill>
                          <w14:schemeClr w14:val="tx1"/>
                        </w14:solidFill>
                      </w14:textFill>
                    </w:rPr>
                    <w:t>符合</w:t>
                  </w:r>
                </w:p>
              </w:tc>
            </w:tr>
          </w:tbl>
          <w:p w14:paraId="52A2109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宋体" w:hAnsi="宋体" w:eastAsia="宋体" w:cs="宋体"/>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对照《赣州市生态环境总体准入</w:t>
            </w:r>
            <w:r>
              <w:rPr>
                <w:rFonts w:hint="eastAsia" w:cs="Times New Roman"/>
                <w:snapToGrid/>
                <w:color w:val="000000" w:themeColor="text1"/>
                <w:spacing w:val="0"/>
                <w:kern w:val="0"/>
                <w:position w:val="0"/>
                <w:sz w:val="24"/>
                <w:szCs w:val="24"/>
                <w:lang w:val="en-US" w:eastAsia="zh-CN"/>
                <w14:textFill>
                  <w14:solidFill>
                    <w14:schemeClr w14:val="tx1"/>
                  </w14:solidFill>
                </w14:textFill>
              </w:rPr>
              <w:t>清单</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赣州市</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各县（市、区）</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环境管控单元生态环境准入清单</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》，本项目不属于空间布局约</w:t>
            </w:r>
            <w:r>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t>束中“禁止开发建设活动和</w:t>
            </w:r>
            <w:r>
              <w:rPr>
                <w:rFonts w:hint="eastAsia" w:ascii="宋体" w:hAnsi="宋体" w:cs="宋体"/>
                <w:snapToGrid/>
                <w:color w:val="000000" w:themeColor="text1"/>
                <w:spacing w:val="0"/>
                <w:kern w:val="0"/>
                <w:position w:val="0"/>
                <w:sz w:val="24"/>
                <w:szCs w:val="24"/>
                <w:lang w:val="en-US" w:eastAsia="zh-CN"/>
                <w14:textFill>
                  <w14:solidFill>
                    <w14:schemeClr w14:val="tx1"/>
                  </w14:solidFill>
                </w14:textFill>
              </w:rPr>
              <w:t>限制</w:t>
            </w:r>
            <w:r>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t>开发建设活动”，符合污染</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物排放管控、环境风险防控及资源利用效率要求等准入要求</w:t>
            </w:r>
            <w:r>
              <w:rPr>
                <w:rFonts w:hint="eastAsia" w:cs="Times New Roman"/>
                <w:snapToGrid/>
                <w:color w:val="000000" w:themeColor="text1"/>
                <w:spacing w:val="0"/>
                <w:kern w:val="0"/>
                <w:position w:val="0"/>
                <w:sz w:val="24"/>
                <w:szCs w:val="24"/>
                <w:lang w:eastAsia="zh-CN"/>
                <w14:textFill>
                  <w14:solidFill>
                    <w14:schemeClr w14:val="tx1"/>
                  </w14:solidFill>
                </w14:textFill>
              </w:rPr>
              <w:t>。</w:t>
            </w:r>
          </w:p>
          <w:p w14:paraId="68BA576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pPr>
            <w:r>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t>综上分析，</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w:t>
            </w:r>
            <w:r>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t>项目与“三线一单”相符合。</w:t>
            </w:r>
          </w:p>
          <w:p w14:paraId="451DF6E1">
            <w:pPr>
              <w:pStyle w:val="36"/>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snapToGrid/>
                <w:color w:val="000000" w:themeColor="text1"/>
                <w:spacing w:val="0"/>
                <w:kern w:val="0"/>
                <w:position w:val="0"/>
                <w:lang w:val="en-US" w:eastAsia="zh-CN"/>
                <w14:textFill>
                  <w14:solidFill>
                    <w14:schemeClr w14:val="tx1"/>
                  </w14:solidFill>
                </w14:textFill>
              </w:rPr>
            </w:pPr>
            <w:r>
              <w:rPr>
                <w:rFonts w:hint="eastAsia" w:ascii="Times New Roman" w:eastAsia="宋体" w:cs="Times New Roman"/>
                <w:b/>
                <w:bCs/>
                <w:snapToGrid/>
                <w:color w:val="000000" w:themeColor="text1"/>
                <w:spacing w:val="0"/>
                <w:kern w:val="0"/>
                <w:position w:val="0"/>
                <w:lang w:val="en-US" w:eastAsia="zh-CN"/>
                <w14:textFill>
                  <w14:solidFill>
                    <w14:schemeClr w14:val="tx1"/>
                  </w14:solidFill>
                </w14:textFill>
              </w:rPr>
              <w:t>3</w:t>
            </w:r>
            <w:r>
              <w:rPr>
                <w:rFonts w:hint="eastAsia" w:ascii="Times New Roman" w:hAnsi="Times New Roman" w:eastAsia="宋体" w:cs="Times New Roman"/>
                <w:b/>
                <w:bCs/>
                <w:snapToGrid/>
                <w:color w:val="000000" w:themeColor="text1"/>
                <w:spacing w:val="0"/>
                <w:kern w:val="0"/>
                <w:position w:val="0"/>
                <w:lang w:val="en-US" w:eastAsia="zh-CN"/>
                <w14:textFill>
                  <w14:solidFill>
                    <w14:schemeClr w14:val="tx1"/>
                  </w14:solidFill>
                </w14:textFill>
              </w:rPr>
              <w:t>、与《长江经济带发展负面清单指南》（试行，2022年版）</w:t>
            </w:r>
            <w:r>
              <w:rPr>
                <w:rFonts w:hint="eastAsia" w:ascii="Times New Roman" w:eastAsia="宋体" w:cs="Times New Roman"/>
                <w:b/>
                <w:bCs/>
                <w:snapToGrid/>
                <w:color w:val="000000" w:themeColor="text1"/>
                <w:spacing w:val="0"/>
                <w:kern w:val="0"/>
                <w:position w:val="0"/>
                <w:lang w:val="en-US" w:eastAsia="zh-CN"/>
                <w14:textFill>
                  <w14:solidFill>
                    <w14:schemeClr w14:val="tx1"/>
                  </w14:solidFill>
                </w14:textFill>
              </w:rPr>
              <w:t>、《江西省长江经济带发展负面清单实施细则》</w:t>
            </w:r>
            <w:r>
              <w:rPr>
                <w:rFonts w:hint="eastAsia" w:ascii="Times New Roman" w:hAnsi="Times New Roman" w:eastAsia="宋体" w:cs="Times New Roman"/>
                <w:b/>
                <w:bCs/>
                <w:snapToGrid/>
                <w:color w:val="000000" w:themeColor="text1"/>
                <w:spacing w:val="0"/>
                <w:kern w:val="0"/>
                <w:position w:val="0"/>
                <w:lang w:val="en-US" w:eastAsia="zh-CN"/>
                <w14:textFill>
                  <w14:solidFill>
                    <w14:schemeClr w14:val="tx1"/>
                  </w14:solidFill>
                </w14:textFill>
              </w:rPr>
              <w:t>（试行，2022年版）相符性</w:t>
            </w:r>
            <w:r>
              <w:rPr>
                <w:rFonts w:hint="eastAsia" w:ascii="Times New Roman" w:cs="Times New Roman"/>
                <w:b/>
                <w:bCs/>
                <w:snapToGrid/>
                <w:color w:val="000000" w:themeColor="text1"/>
                <w:spacing w:val="0"/>
                <w:kern w:val="0"/>
                <w:position w:val="0"/>
                <w:lang w:val="en-US" w:eastAsia="zh-CN"/>
                <w14:textFill>
                  <w14:solidFill>
                    <w14:schemeClr w14:val="tx1"/>
                  </w14:solidFill>
                </w14:textFill>
              </w:rPr>
              <w:t>分析</w:t>
            </w:r>
          </w:p>
          <w:p w14:paraId="442672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本项目与《长江经济带发展负面清单指南》（试行，2022年版）《江西省长江经济带发展负面清单实施细则》（试行，2022年版）及相符性分析如下表。</w:t>
            </w:r>
          </w:p>
          <w:p w14:paraId="66B5FE39">
            <w:pPr>
              <w:pStyle w:val="18"/>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表1-</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与长江经济带发展负面清单指南相符性分析</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1739"/>
              <w:gridCol w:w="685"/>
            </w:tblGrid>
            <w:tr w14:paraId="167B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229" w:type="pct"/>
                  <w:tcBorders>
                    <w:tl2br w:val="nil"/>
                    <w:tr2bl w:val="nil"/>
                  </w:tcBorders>
                  <w:noWrap w:val="0"/>
                  <w:tcMar>
                    <w:top w:w="0" w:type="dxa"/>
                    <w:left w:w="57" w:type="dxa"/>
                    <w:bottom w:w="0" w:type="dxa"/>
                    <w:right w:w="57" w:type="dxa"/>
                  </w:tcMar>
                  <w:vAlign w:val="center"/>
                </w:tcPr>
                <w:p w14:paraId="6727B361">
                  <w:pPr>
                    <w:pStyle w:val="84"/>
                    <w:keepNext w:val="0"/>
                    <w:keepLines w:val="0"/>
                    <w:pageBreakBefore w:val="0"/>
                    <w:widowControl w:val="0"/>
                    <w:kinsoku/>
                    <w:wordWrap/>
                    <w:overflowPunct/>
                    <w:topLinePunct w:val="0"/>
                    <w:autoSpaceDE/>
                    <w:autoSpaceDN/>
                    <w:bidi w:val="0"/>
                    <w:adjustRightInd/>
                    <w:snapToGrid/>
                    <w:textAlignment w:val="auto"/>
                    <w:rPr>
                      <w:b/>
                      <w:bCs/>
                      <w:snapToGrid/>
                      <w:color w:val="000000" w:themeColor="text1"/>
                      <w:spacing w:val="0"/>
                      <w:kern w:val="0"/>
                      <w:position w:val="0"/>
                      <w:sz w:val="21"/>
                      <w:szCs w:val="21"/>
                      <w14:textFill>
                        <w14:solidFill>
                          <w14:schemeClr w14:val="tx1"/>
                        </w14:solidFill>
                      </w14:textFill>
                    </w:rPr>
                  </w:pPr>
                  <w:r>
                    <w:rPr>
                      <w:rFonts w:hint="eastAsia"/>
                      <w:b/>
                      <w:bCs/>
                      <w:snapToGrid/>
                      <w:color w:val="000000" w:themeColor="text1"/>
                      <w:spacing w:val="0"/>
                      <w:kern w:val="0"/>
                      <w:position w:val="0"/>
                      <w:sz w:val="21"/>
                      <w:szCs w:val="21"/>
                      <w:lang w:eastAsia="zh-CN"/>
                      <w14:textFill>
                        <w14:solidFill>
                          <w14:schemeClr w14:val="tx1"/>
                        </w14:solidFill>
                      </w14:textFill>
                    </w:rPr>
                    <w:t>文件</w:t>
                  </w:r>
                  <w:r>
                    <w:rPr>
                      <w:b/>
                      <w:bCs/>
                      <w:snapToGrid/>
                      <w:color w:val="000000" w:themeColor="text1"/>
                      <w:spacing w:val="0"/>
                      <w:kern w:val="0"/>
                      <w:position w:val="0"/>
                      <w:sz w:val="21"/>
                      <w:szCs w:val="21"/>
                      <w14:textFill>
                        <w14:solidFill>
                          <w14:schemeClr w14:val="tx1"/>
                        </w14:solidFill>
                      </w14:textFill>
                    </w:rPr>
                    <w:t>相关要求</w:t>
                  </w:r>
                </w:p>
              </w:tc>
              <w:tc>
                <w:tcPr>
                  <w:tcW w:w="1269" w:type="pct"/>
                  <w:tcBorders>
                    <w:tl2br w:val="nil"/>
                    <w:tr2bl w:val="nil"/>
                  </w:tcBorders>
                  <w:noWrap w:val="0"/>
                  <w:tcMar>
                    <w:top w:w="0" w:type="dxa"/>
                    <w:left w:w="57" w:type="dxa"/>
                    <w:bottom w:w="0" w:type="dxa"/>
                    <w:right w:w="57" w:type="dxa"/>
                  </w:tcMar>
                  <w:vAlign w:val="center"/>
                </w:tcPr>
                <w:p w14:paraId="0CEB5CEC">
                  <w:pPr>
                    <w:pStyle w:val="84"/>
                    <w:keepNext w:val="0"/>
                    <w:keepLines w:val="0"/>
                    <w:pageBreakBefore w:val="0"/>
                    <w:widowControl w:val="0"/>
                    <w:kinsoku/>
                    <w:wordWrap/>
                    <w:overflowPunct/>
                    <w:topLinePunct w:val="0"/>
                    <w:autoSpaceDE/>
                    <w:autoSpaceDN/>
                    <w:bidi w:val="0"/>
                    <w:adjustRightInd/>
                    <w:snapToGrid/>
                    <w:textAlignment w:val="auto"/>
                    <w:rPr>
                      <w:b/>
                      <w:bCs/>
                      <w:snapToGrid/>
                      <w:color w:val="000000" w:themeColor="text1"/>
                      <w:spacing w:val="0"/>
                      <w:kern w:val="0"/>
                      <w:position w:val="0"/>
                      <w:sz w:val="21"/>
                      <w:szCs w:val="21"/>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本项目情况</w:t>
                  </w:r>
                </w:p>
              </w:tc>
              <w:tc>
                <w:tcPr>
                  <w:tcW w:w="500" w:type="pct"/>
                  <w:tcBorders>
                    <w:tl2br w:val="nil"/>
                    <w:tr2bl w:val="nil"/>
                  </w:tcBorders>
                  <w:noWrap w:val="0"/>
                  <w:tcMar>
                    <w:top w:w="0" w:type="dxa"/>
                    <w:left w:w="57" w:type="dxa"/>
                    <w:bottom w:w="0" w:type="dxa"/>
                    <w:right w:w="57" w:type="dxa"/>
                  </w:tcMar>
                  <w:vAlign w:val="center"/>
                </w:tcPr>
                <w:p w14:paraId="0857ED10">
                  <w:pPr>
                    <w:pStyle w:val="84"/>
                    <w:keepNext w:val="0"/>
                    <w:keepLines w:val="0"/>
                    <w:pageBreakBefore w:val="0"/>
                    <w:widowControl w:val="0"/>
                    <w:kinsoku/>
                    <w:wordWrap/>
                    <w:overflowPunct/>
                    <w:topLinePunct w:val="0"/>
                    <w:autoSpaceDE/>
                    <w:autoSpaceDN/>
                    <w:bidi w:val="0"/>
                    <w:adjustRightInd/>
                    <w:snapToGrid/>
                    <w:textAlignment w:val="auto"/>
                    <w:rPr>
                      <w:rFonts w:hint="eastAsia" w:eastAsia="宋体"/>
                      <w:b/>
                      <w:bCs/>
                      <w:snapToGrid/>
                      <w:color w:val="000000" w:themeColor="text1"/>
                      <w:spacing w:val="0"/>
                      <w:kern w:val="0"/>
                      <w:position w:val="0"/>
                      <w:sz w:val="21"/>
                      <w:szCs w:val="21"/>
                      <w:lang w:val="en-US" w:eastAsia="zh-CN"/>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相符</w:t>
                  </w:r>
                  <w:r>
                    <w:rPr>
                      <w:rFonts w:hint="eastAsia"/>
                      <w:b/>
                      <w:bCs/>
                      <w:snapToGrid/>
                      <w:color w:val="000000" w:themeColor="text1"/>
                      <w:spacing w:val="0"/>
                      <w:kern w:val="0"/>
                      <w:position w:val="0"/>
                      <w:sz w:val="21"/>
                      <w:szCs w:val="21"/>
                      <w:lang w:val="en-US" w:eastAsia="zh-CN"/>
                      <w14:textFill>
                        <w14:solidFill>
                          <w14:schemeClr w14:val="tx1"/>
                        </w14:solidFill>
                      </w14:textFill>
                    </w:rPr>
                    <w:t>性</w:t>
                  </w:r>
                </w:p>
              </w:tc>
            </w:tr>
            <w:tr w14:paraId="5E9B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55DEA92D">
                  <w:pPr>
                    <w:pStyle w:val="84"/>
                    <w:keepNext w:val="0"/>
                    <w:keepLines w:val="0"/>
                    <w:pageBreakBefore w:val="0"/>
                    <w:widowControl w:val="0"/>
                    <w:kinsoku/>
                    <w:wordWrap/>
                    <w:overflowPunct/>
                    <w:topLinePunct w:val="0"/>
                    <w:autoSpaceDE/>
                    <w:autoSpaceDN/>
                    <w:bidi w:val="0"/>
                    <w:adjustRightInd/>
                    <w:snapToGrid/>
                    <w:jc w:val="both"/>
                    <w:textAlignment w:val="auto"/>
                    <w:rPr>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禁止建设不符合全国和省级港口布局规划以及港口总体规划的码头项目</w:t>
                  </w:r>
                  <w:r>
                    <w:rPr>
                      <w:rFonts w:hint="eastAsia"/>
                      <w:snapToGrid/>
                      <w:color w:val="000000" w:themeColor="text1"/>
                      <w:spacing w:val="0"/>
                      <w:kern w:val="0"/>
                      <w:position w:val="0"/>
                      <w:sz w:val="21"/>
                      <w:szCs w:val="21"/>
                      <w:lang w:eastAsia="zh-CN"/>
                      <w14:textFill>
                        <w14:solidFill>
                          <w14:schemeClr w14:val="tx1"/>
                        </w14:solidFill>
                      </w14:textFill>
                    </w:rPr>
                    <w:t>，</w:t>
                  </w:r>
                  <w:r>
                    <w:rPr>
                      <w:rFonts w:hint="eastAsia"/>
                      <w:snapToGrid/>
                      <w:color w:val="000000" w:themeColor="text1"/>
                      <w:spacing w:val="0"/>
                      <w:kern w:val="0"/>
                      <w:position w:val="0"/>
                      <w:sz w:val="21"/>
                      <w:szCs w:val="21"/>
                      <w14:textFill>
                        <w14:solidFill>
                          <w14:schemeClr w14:val="tx1"/>
                        </w14:solidFill>
                      </w14:textFill>
                    </w:rPr>
                    <w:t>禁止建设不符合《长江干线过江通道布局规划》的过长江通道项目。</w:t>
                  </w:r>
                </w:p>
              </w:tc>
              <w:tc>
                <w:tcPr>
                  <w:tcW w:w="1269" w:type="pct"/>
                  <w:tcBorders>
                    <w:tl2br w:val="nil"/>
                    <w:tr2bl w:val="nil"/>
                  </w:tcBorders>
                  <w:noWrap w:val="0"/>
                  <w:tcMar>
                    <w:top w:w="0" w:type="dxa"/>
                    <w:left w:w="57" w:type="dxa"/>
                    <w:bottom w:w="0" w:type="dxa"/>
                    <w:right w:w="57" w:type="dxa"/>
                  </w:tcMar>
                  <w:vAlign w:val="center"/>
                </w:tcPr>
                <w:p w14:paraId="39543BE1">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w:t>
                  </w:r>
                  <w:r>
                    <w:rPr>
                      <w:rFonts w:hint="eastAsia" w:ascii="Times New Roman" w:hAnsi="Times New Roman" w:cs="Times New Roman"/>
                      <w:snapToGrid/>
                      <w:color w:val="000000" w:themeColor="text1"/>
                      <w:spacing w:val="0"/>
                      <w:kern w:val="0"/>
                      <w:position w:val="0"/>
                      <w:sz w:val="21"/>
                      <w:szCs w:val="21"/>
                      <w:lang w:eastAsia="zh-CN"/>
                      <w14:textFill>
                        <w14:solidFill>
                          <w14:schemeClr w14:val="tx1"/>
                        </w14:solidFill>
                      </w14:textFill>
                    </w:rPr>
                    <w:t>不属于禁止类项目。</w:t>
                  </w:r>
                </w:p>
              </w:tc>
              <w:tc>
                <w:tcPr>
                  <w:tcW w:w="500" w:type="pct"/>
                  <w:tcBorders>
                    <w:tl2br w:val="nil"/>
                    <w:tr2bl w:val="nil"/>
                  </w:tcBorders>
                  <w:noWrap w:val="0"/>
                  <w:tcMar>
                    <w:top w:w="0" w:type="dxa"/>
                    <w:left w:w="57" w:type="dxa"/>
                    <w:bottom w:w="0" w:type="dxa"/>
                    <w:right w:w="57" w:type="dxa"/>
                  </w:tcMar>
                  <w:vAlign w:val="center"/>
                </w:tcPr>
                <w:p w14:paraId="09FFD510">
                  <w:pPr>
                    <w:pStyle w:val="84"/>
                    <w:keepNext w:val="0"/>
                    <w:keepLines w:val="0"/>
                    <w:pageBreakBefore w:val="0"/>
                    <w:widowControl w:val="0"/>
                    <w:kinsoku/>
                    <w:wordWrap/>
                    <w:overflowPunct/>
                    <w:topLinePunct w:val="0"/>
                    <w:autoSpaceDE/>
                    <w:autoSpaceDN/>
                    <w:bidi w:val="0"/>
                    <w:adjustRightInd/>
                    <w:snapToGrid/>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7929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24A0BF61">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269" w:type="pct"/>
                  <w:tcBorders>
                    <w:tl2br w:val="nil"/>
                    <w:tr2bl w:val="nil"/>
                  </w:tcBorders>
                  <w:noWrap w:val="0"/>
                  <w:tcMar>
                    <w:top w:w="0" w:type="dxa"/>
                    <w:left w:w="57" w:type="dxa"/>
                    <w:bottom w:w="0" w:type="dxa"/>
                    <w:right w:w="57" w:type="dxa"/>
                  </w:tcMar>
                  <w:vAlign w:val="center"/>
                </w:tcPr>
                <w:p w14:paraId="24F3690C">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项目周边无自然保护区，风景名胜区等。</w:t>
                  </w:r>
                </w:p>
              </w:tc>
              <w:tc>
                <w:tcPr>
                  <w:tcW w:w="500" w:type="pct"/>
                  <w:tcBorders>
                    <w:tl2br w:val="nil"/>
                    <w:tr2bl w:val="nil"/>
                  </w:tcBorders>
                  <w:noWrap w:val="0"/>
                  <w:tcMar>
                    <w:top w:w="0" w:type="dxa"/>
                    <w:left w:w="57" w:type="dxa"/>
                    <w:bottom w:w="0" w:type="dxa"/>
                    <w:right w:w="57" w:type="dxa"/>
                  </w:tcMar>
                  <w:vAlign w:val="center"/>
                </w:tcPr>
                <w:p w14:paraId="2329C189">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1383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4DABC05D">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禁止在饮用水水源一级保护区的岸线和河段范围内新建、改建、扩建与供水设施和保护水源无关的项目</w:t>
                  </w:r>
                  <w:r>
                    <w:rPr>
                      <w:rFonts w:hint="eastAsia"/>
                      <w:snapToGrid/>
                      <w:color w:val="000000" w:themeColor="text1"/>
                      <w:spacing w:val="0"/>
                      <w:kern w:val="0"/>
                      <w:position w:val="0"/>
                      <w:sz w:val="21"/>
                      <w:szCs w:val="21"/>
                      <w:lang w:eastAsia="zh-CN"/>
                      <w14:textFill>
                        <w14:solidFill>
                          <w14:schemeClr w14:val="tx1"/>
                        </w14:solidFill>
                      </w14:textFill>
                    </w:rPr>
                    <w:t>，</w:t>
                  </w:r>
                  <w:r>
                    <w:rPr>
                      <w:rFonts w:hint="eastAsia"/>
                      <w:snapToGrid/>
                      <w:color w:val="000000" w:themeColor="text1"/>
                      <w:spacing w:val="0"/>
                      <w:kern w:val="0"/>
                      <w:position w:val="0"/>
                      <w:sz w:val="21"/>
                      <w:szCs w:val="21"/>
                      <w14:textFill>
                        <w14:solidFill>
                          <w14:schemeClr w14:val="tx1"/>
                        </w14:solidFill>
                      </w14:textFill>
                    </w:rPr>
                    <w:t>以及网箱养殖、畜禽养殖、旅游等可能污染饮用水水体的投资建设项目。禁止在饮用水水源二级保护区的岸线和河段范围内新建、改建、扩建排放污染物的投资建设项目。</w:t>
                  </w:r>
                </w:p>
              </w:tc>
              <w:tc>
                <w:tcPr>
                  <w:tcW w:w="1269" w:type="pct"/>
                  <w:tcBorders>
                    <w:tl2br w:val="nil"/>
                    <w:tr2bl w:val="nil"/>
                  </w:tcBorders>
                  <w:noWrap w:val="0"/>
                  <w:tcMar>
                    <w:top w:w="0" w:type="dxa"/>
                    <w:left w:w="57" w:type="dxa"/>
                    <w:bottom w:w="0" w:type="dxa"/>
                    <w:right w:w="57" w:type="dxa"/>
                  </w:tcMar>
                  <w:vAlign w:val="center"/>
                </w:tcPr>
                <w:p w14:paraId="26F85DAE">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项目不在饮用水源一级、二级保护区的岸线和河段范围内。</w:t>
                  </w:r>
                </w:p>
              </w:tc>
              <w:tc>
                <w:tcPr>
                  <w:tcW w:w="500" w:type="pct"/>
                  <w:tcBorders>
                    <w:tl2br w:val="nil"/>
                    <w:tr2bl w:val="nil"/>
                  </w:tcBorders>
                  <w:noWrap w:val="0"/>
                  <w:tcMar>
                    <w:top w:w="0" w:type="dxa"/>
                    <w:left w:w="57" w:type="dxa"/>
                    <w:bottom w:w="0" w:type="dxa"/>
                    <w:right w:w="57" w:type="dxa"/>
                  </w:tcMar>
                  <w:vAlign w:val="center"/>
                </w:tcPr>
                <w:p w14:paraId="207C5EE3">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3BCF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4D2F1045">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禁止在水产种质资源保护区的岸线和河段范围内新建围湖造田、围海造地或围填海等投资建设项目</w:t>
                  </w:r>
                  <w:r>
                    <w:rPr>
                      <w:rFonts w:hint="eastAsia"/>
                      <w:snapToGrid/>
                      <w:color w:val="000000" w:themeColor="text1"/>
                      <w:spacing w:val="0"/>
                      <w:kern w:val="0"/>
                      <w:position w:val="0"/>
                      <w:sz w:val="21"/>
                      <w:szCs w:val="21"/>
                      <w:lang w:eastAsia="zh-CN"/>
                      <w14:textFill>
                        <w14:solidFill>
                          <w14:schemeClr w14:val="tx1"/>
                        </w14:solidFill>
                      </w14:textFill>
                    </w:rPr>
                    <w:t>。</w:t>
                  </w:r>
                  <w:r>
                    <w:rPr>
                      <w:rFonts w:hint="eastAsia"/>
                      <w:snapToGrid/>
                      <w:color w:val="000000" w:themeColor="text1"/>
                      <w:spacing w:val="0"/>
                      <w:kern w:val="0"/>
                      <w:position w:val="0"/>
                      <w:sz w:val="21"/>
                      <w:szCs w:val="21"/>
                      <w14:textFill>
                        <w14:solidFill>
                          <w14:schemeClr w14:val="tx1"/>
                        </w14:solidFill>
                      </w14:textFill>
                    </w:rPr>
                    <w:t>禁止在国家湿地公园的岸线和河段范围内挖沙、采矿</w:t>
                  </w:r>
                  <w:r>
                    <w:rPr>
                      <w:rFonts w:hint="eastAsia"/>
                      <w:snapToGrid/>
                      <w:color w:val="000000" w:themeColor="text1"/>
                      <w:spacing w:val="0"/>
                      <w:kern w:val="0"/>
                      <w:position w:val="0"/>
                      <w:sz w:val="21"/>
                      <w:szCs w:val="21"/>
                      <w:lang w:eastAsia="zh-CN"/>
                      <w14:textFill>
                        <w14:solidFill>
                          <w14:schemeClr w14:val="tx1"/>
                        </w14:solidFill>
                      </w14:textFill>
                    </w:rPr>
                    <w:t>，</w:t>
                  </w:r>
                  <w:r>
                    <w:rPr>
                      <w:rFonts w:hint="eastAsia"/>
                      <w:snapToGrid/>
                      <w:color w:val="000000" w:themeColor="text1"/>
                      <w:spacing w:val="0"/>
                      <w:kern w:val="0"/>
                      <w:position w:val="0"/>
                      <w:sz w:val="21"/>
                      <w:szCs w:val="21"/>
                      <w14:textFill>
                        <w14:solidFill>
                          <w14:schemeClr w14:val="tx1"/>
                        </w14:solidFill>
                      </w14:textFill>
                    </w:rPr>
                    <w:t>以及任何不符合主体功能定位的投资建设项目。</w:t>
                  </w:r>
                </w:p>
              </w:tc>
              <w:tc>
                <w:tcPr>
                  <w:tcW w:w="1269" w:type="pct"/>
                  <w:tcBorders>
                    <w:tl2br w:val="nil"/>
                    <w:tr2bl w:val="nil"/>
                  </w:tcBorders>
                  <w:noWrap w:val="0"/>
                  <w:tcMar>
                    <w:top w:w="0" w:type="dxa"/>
                    <w:left w:w="57" w:type="dxa"/>
                    <w:bottom w:w="0" w:type="dxa"/>
                    <w:right w:w="57" w:type="dxa"/>
                  </w:tcMar>
                  <w:vAlign w:val="center"/>
                </w:tcPr>
                <w:p w14:paraId="04D1A5B7">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项目不在</w:t>
                  </w:r>
                  <w:r>
                    <w:rPr>
                      <w:rFonts w:hint="eastAsia"/>
                      <w:snapToGrid/>
                      <w:color w:val="000000" w:themeColor="text1"/>
                      <w:spacing w:val="0"/>
                      <w:kern w:val="0"/>
                      <w:position w:val="0"/>
                      <w:sz w:val="21"/>
                      <w:szCs w:val="21"/>
                      <w14:textFill>
                        <w14:solidFill>
                          <w14:schemeClr w14:val="tx1"/>
                        </w14:solidFill>
                      </w14:textFill>
                    </w:rPr>
                    <w:t>水产种质资源保护区的岸线和河段范围内</w:t>
                  </w:r>
                  <w:r>
                    <w:rPr>
                      <w:rFonts w:hint="eastAsia"/>
                      <w:snapToGrid/>
                      <w:color w:val="000000" w:themeColor="text1"/>
                      <w:spacing w:val="0"/>
                      <w:kern w:val="0"/>
                      <w:position w:val="0"/>
                      <w:sz w:val="21"/>
                      <w:szCs w:val="21"/>
                      <w:lang w:eastAsia="zh-CN"/>
                      <w14:textFill>
                        <w14:solidFill>
                          <w14:schemeClr w14:val="tx1"/>
                        </w14:solidFill>
                      </w14:textFill>
                    </w:rPr>
                    <w:t>。</w:t>
                  </w:r>
                </w:p>
              </w:tc>
              <w:tc>
                <w:tcPr>
                  <w:tcW w:w="500" w:type="pct"/>
                  <w:tcBorders>
                    <w:tl2br w:val="nil"/>
                    <w:tr2bl w:val="nil"/>
                  </w:tcBorders>
                  <w:noWrap w:val="0"/>
                  <w:tcMar>
                    <w:top w:w="0" w:type="dxa"/>
                    <w:left w:w="57" w:type="dxa"/>
                    <w:bottom w:w="0" w:type="dxa"/>
                    <w:right w:w="57" w:type="dxa"/>
                  </w:tcMar>
                  <w:vAlign w:val="center"/>
                </w:tcPr>
                <w:p w14:paraId="15267F02">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1861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33EB2714">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69" w:type="pct"/>
                  <w:tcBorders>
                    <w:tl2br w:val="nil"/>
                    <w:tr2bl w:val="nil"/>
                  </w:tcBorders>
                  <w:noWrap w:val="0"/>
                  <w:tcMar>
                    <w:top w:w="0" w:type="dxa"/>
                    <w:left w:w="57" w:type="dxa"/>
                    <w:bottom w:w="0" w:type="dxa"/>
                    <w:right w:w="57" w:type="dxa"/>
                  </w:tcMar>
                  <w:vAlign w:val="center"/>
                </w:tcPr>
                <w:p w14:paraId="39F9F369">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项目不利用、占用长江流域河湖岸线；不</w:t>
                  </w:r>
                  <w:r>
                    <w:rPr>
                      <w:rFonts w:hint="eastAsia"/>
                      <w:snapToGrid/>
                      <w:color w:val="000000" w:themeColor="text1"/>
                      <w:spacing w:val="0"/>
                      <w:kern w:val="0"/>
                      <w:position w:val="0"/>
                      <w:sz w:val="21"/>
                      <w:szCs w:val="21"/>
                      <w14:textFill>
                        <w14:solidFill>
                          <w14:schemeClr w14:val="tx1"/>
                        </w14:solidFill>
                      </w14:textFill>
                    </w:rPr>
                    <w:t>在《全国重要江河湖泊水功能区划》划定的河段及湖泊保护区、保留区内</w:t>
                  </w:r>
                  <w:r>
                    <w:rPr>
                      <w:rFonts w:hint="eastAsia"/>
                      <w:snapToGrid/>
                      <w:color w:val="000000" w:themeColor="text1"/>
                      <w:spacing w:val="0"/>
                      <w:kern w:val="0"/>
                      <w:position w:val="0"/>
                      <w:sz w:val="21"/>
                      <w:szCs w:val="21"/>
                      <w:lang w:eastAsia="zh-CN"/>
                      <w14:textFill>
                        <w14:solidFill>
                          <w14:schemeClr w14:val="tx1"/>
                        </w14:solidFill>
                      </w14:textFill>
                    </w:rPr>
                    <w:t>。</w:t>
                  </w:r>
                </w:p>
              </w:tc>
              <w:tc>
                <w:tcPr>
                  <w:tcW w:w="500" w:type="pct"/>
                  <w:tcBorders>
                    <w:tl2br w:val="nil"/>
                    <w:tr2bl w:val="nil"/>
                  </w:tcBorders>
                  <w:noWrap w:val="0"/>
                  <w:tcMar>
                    <w:top w:w="0" w:type="dxa"/>
                    <w:left w:w="57" w:type="dxa"/>
                    <w:bottom w:w="0" w:type="dxa"/>
                    <w:right w:w="57" w:type="dxa"/>
                  </w:tcMar>
                  <w:vAlign w:val="center"/>
                </w:tcPr>
                <w:p w14:paraId="37C58D2A">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446B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7C7546C2">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禁止未经许可在长江干支流及湖泊新设、改设或扩大排污口</w:t>
                  </w:r>
                  <w:r>
                    <w:rPr>
                      <w:rFonts w:hint="eastAsia"/>
                      <w:snapToGrid/>
                      <w:color w:val="000000" w:themeColor="text1"/>
                      <w:spacing w:val="0"/>
                      <w:kern w:val="0"/>
                      <w:position w:val="0"/>
                      <w:sz w:val="21"/>
                      <w:szCs w:val="21"/>
                      <w:lang w:eastAsia="zh-CN"/>
                      <w14:textFill>
                        <w14:solidFill>
                          <w14:schemeClr w14:val="tx1"/>
                        </w14:solidFill>
                      </w14:textFill>
                    </w:rPr>
                    <w:t>。</w:t>
                  </w:r>
                </w:p>
              </w:tc>
              <w:tc>
                <w:tcPr>
                  <w:tcW w:w="1269" w:type="pct"/>
                  <w:tcBorders>
                    <w:tl2br w:val="nil"/>
                    <w:tr2bl w:val="nil"/>
                  </w:tcBorders>
                  <w:noWrap w:val="0"/>
                  <w:tcMar>
                    <w:top w:w="0" w:type="dxa"/>
                    <w:left w:w="57" w:type="dxa"/>
                    <w:bottom w:w="0" w:type="dxa"/>
                    <w:right w:w="57" w:type="dxa"/>
                  </w:tcMar>
                  <w:vAlign w:val="center"/>
                </w:tcPr>
                <w:p w14:paraId="3BD88FF5">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项目废水</w:t>
                  </w:r>
                  <w:r>
                    <w:rPr>
                      <w:rFonts w:hint="eastAsia"/>
                      <w:snapToGrid/>
                      <w:color w:val="000000" w:themeColor="text1"/>
                      <w:spacing w:val="0"/>
                      <w:kern w:val="0"/>
                      <w:position w:val="0"/>
                      <w:sz w:val="21"/>
                      <w:szCs w:val="21"/>
                      <w:lang w:val="en-US" w:eastAsia="zh-CN"/>
                      <w14:textFill>
                        <w14:solidFill>
                          <w14:schemeClr w14:val="tx1"/>
                        </w14:solidFill>
                      </w14:textFill>
                    </w:rPr>
                    <w:t>不外排</w:t>
                  </w:r>
                  <w:r>
                    <w:rPr>
                      <w:rFonts w:hint="eastAsia"/>
                      <w:snapToGrid/>
                      <w:color w:val="000000" w:themeColor="text1"/>
                      <w:spacing w:val="0"/>
                      <w:kern w:val="0"/>
                      <w:position w:val="0"/>
                      <w:sz w:val="21"/>
                      <w:szCs w:val="21"/>
                      <w:lang w:eastAsia="zh-CN"/>
                      <w14:textFill>
                        <w14:solidFill>
                          <w14:schemeClr w14:val="tx1"/>
                        </w14:solidFill>
                      </w14:textFill>
                    </w:rPr>
                    <w:t>。</w:t>
                  </w:r>
                </w:p>
              </w:tc>
              <w:tc>
                <w:tcPr>
                  <w:tcW w:w="500" w:type="pct"/>
                  <w:tcBorders>
                    <w:tl2br w:val="nil"/>
                    <w:tr2bl w:val="nil"/>
                  </w:tcBorders>
                  <w:noWrap w:val="0"/>
                  <w:tcMar>
                    <w:top w:w="0" w:type="dxa"/>
                    <w:left w:w="57" w:type="dxa"/>
                    <w:bottom w:w="0" w:type="dxa"/>
                    <w:right w:w="57" w:type="dxa"/>
                  </w:tcMar>
                  <w:vAlign w:val="center"/>
                </w:tcPr>
                <w:p w14:paraId="21B0E3EF">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36F9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1C761680">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禁止在“一江一口两湖七河”和332个水生生物保护区开展生产性捕捞</w:t>
                  </w:r>
                  <w:r>
                    <w:rPr>
                      <w:rFonts w:hint="eastAsia"/>
                      <w:snapToGrid/>
                      <w:color w:val="000000" w:themeColor="text1"/>
                      <w:spacing w:val="0"/>
                      <w:kern w:val="0"/>
                      <w:position w:val="0"/>
                      <w:sz w:val="21"/>
                      <w:szCs w:val="21"/>
                      <w:lang w:eastAsia="zh-CN"/>
                      <w14:textFill>
                        <w14:solidFill>
                          <w14:schemeClr w14:val="tx1"/>
                        </w14:solidFill>
                      </w14:textFill>
                    </w:rPr>
                    <w:t>。</w:t>
                  </w:r>
                </w:p>
              </w:tc>
              <w:tc>
                <w:tcPr>
                  <w:tcW w:w="1269" w:type="pct"/>
                  <w:tcBorders>
                    <w:tl2br w:val="nil"/>
                    <w:tr2bl w:val="nil"/>
                  </w:tcBorders>
                  <w:noWrap w:val="0"/>
                  <w:tcMar>
                    <w:top w:w="0" w:type="dxa"/>
                    <w:left w:w="57" w:type="dxa"/>
                    <w:bottom w:w="0" w:type="dxa"/>
                    <w:right w:w="57" w:type="dxa"/>
                  </w:tcMar>
                  <w:vAlign w:val="center"/>
                </w:tcPr>
                <w:p w14:paraId="6C27D82F">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本</w:t>
                  </w:r>
                  <w:r>
                    <w:rPr>
                      <w:rFonts w:hint="eastAsia"/>
                      <w:snapToGrid/>
                      <w:color w:val="000000" w:themeColor="text1"/>
                      <w:spacing w:val="0"/>
                      <w:kern w:val="0"/>
                      <w:position w:val="0"/>
                      <w:sz w:val="21"/>
                      <w:szCs w:val="21"/>
                      <w:lang w:eastAsia="zh-CN"/>
                      <w14:textFill>
                        <w14:solidFill>
                          <w14:schemeClr w14:val="tx1"/>
                        </w14:solidFill>
                      </w14:textFill>
                    </w:rPr>
                    <w:t>项目不涉及捕捞。</w:t>
                  </w:r>
                </w:p>
              </w:tc>
              <w:tc>
                <w:tcPr>
                  <w:tcW w:w="500" w:type="pct"/>
                  <w:tcBorders>
                    <w:tl2br w:val="nil"/>
                    <w:tr2bl w:val="nil"/>
                  </w:tcBorders>
                  <w:noWrap w:val="0"/>
                  <w:tcMar>
                    <w:top w:w="0" w:type="dxa"/>
                    <w:left w:w="57" w:type="dxa"/>
                    <w:bottom w:w="0" w:type="dxa"/>
                    <w:right w:w="57" w:type="dxa"/>
                  </w:tcMar>
                  <w:vAlign w:val="center"/>
                </w:tcPr>
                <w:p w14:paraId="774DAB03">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13AE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31848ECF">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269" w:type="pct"/>
                  <w:tcBorders>
                    <w:tl2br w:val="nil"/>
                    <w:tr2bl w:val="nil"/>
                  </w:tcBorders>
                  <w:noWrap w:val="0"/>
                  <w:tcMar>
                    <w:top w:w="0" w:type="dxa"/>
                    <w:left w:w="57" w:type="dxa"/>
                    <w:bottom w:w="0" w:type="dxa"/>
                    <w:right w:w="57" w:type="dxa"/>
                  </w:tcMar>
                  <w:vAlign w:val="center"/>
                </w:tcPr>
                <w:p w14:paraId="4DFC35B0">
                  <w:pPr>
                    <w:pStyle w:val="84"/>
                    <w:keepNext w:val="0"/>
                    <w:keepLines w:val="0"/>
                    <w:pageBreakBefore w:val="0"/>
                    <w:widowControl w:val="0"/>
                    <w:kinsoku/>
                    <w:wordWrap/>
                    <w:overflowPunct/>
                    <w:topLinePunct w:val="0"/>
                    <w:autoSpaceDE/>
                    <w:autoSpaceDN/>
                    <w:bidi w:val="0"/>
                    <w:adjustRightInd/>
                    <w:snapToGrid/>
                    <w:jc w:val="both"/>
                    <w:textAlignment w:val="auto"/>
                    <w:rPr>
                      <w:rFonts w:hint="default" w:eastAsia="宋体"/>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本</w:t>
                  </w:r>
                  <w:r>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行业类别为C3021 水泥制品制造、C3029 其他水泥类似制品制造。</w:t>
                  </w:r>
                </w:p>
              </w:tc>
              <w:tc>
                <w:tcPr>
                  <w:tcW w:w="500" w:type="pct"/>
                  <w:tcBorders>
                    <w:tl2br w:val="nil"/>
                    <w:tr2bl w:val="nil"/>
                  </w:tcBorders>
                  <w:noWrap w:val="0"/>
                  <w:tcMar>
                    <w:top w:w="0" w:type="dxa"/>
                    <w:left w:w="57" w:type="dxa"/>
                    <w:bottom w:w="0" w:type="dxa"/>
                    <w:right w:w="57" w:type="dxa"/>
                  </w:tcMar>
                  <w:vAlign w:val="center"/>
                </w:tcPr>
                <w:p w14:paraId="7B91A76C">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630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9" w:type="pct"/>
                  <w:tcBorders>
                    <w:tl2br w:val="nil"/>
                    <w:tr2bl w:val="nil"/>
                  </w:tcBorders>
                  <w:noWrap w:val="0"/>
                  <w:tcMar>
                    <w:top w:w="0" w:type="dxa"/>
                    <w:left w:w="28" w:type="dxa"/>
                    <w:bottom w:w="0" w:type="dxa"/>
                    <w:right w:w="28" w:type="dxa"/>
                  </w:tcMar>
                  <w:vAlign w:val="center"/>
                </w:tcPr>
                <w:p w14:paraId="3BF2DB3D">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禁止在合规园区外新建、扩建钢铁、石化、化工、焦化、建材、有色、制浆造纸等高污染项目</w:t>
                  </w:r>
                </w:p>
              </w:tc>
              <w:tc>
                <w:tcPr>
                  <w:tcW w:w="1269" w:type="pct"/>
                  <w:tcBorders>
                    <w:tl2br w:val="nil"/>
                    <w:tr2bl w:val="nil"/>
                  </w:tcBorders>
                  <w:noWrap w:val="0"/>
                  <w:tcMar>
                    <w:top w:w="0" w:type="dxa"/>
                    <w:left w:w="57" w:type="dxa"/>
                    <w:bottom w:w="0" w:type="dxa"/>
                    <w:right w:w="57" w:type="dxa"/>
                  </w:tcMar>
                  <w:vAlign w:val="center"/>
                </w:tcPr>
                <w:p w14:paraId="0FE82EF1">
                  <w:pPr>
                    <w:pStyle w:val="84"/>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eastAsia="zh-CN"/>
                      <w14:textFill>
                        <w14:solidFill>
                          <w14:schemeClr w14:val="tx1"/>
                        </w14:solidFill>
                      </w14:textFill>
                    </w:rPr>
                    <w:t>不涉及</w:t>
                  </w:r>
                </w:p>
              </w:tc>
              <w:tc>
                <w:tcPr>
                  <w:tcW w:w="500" w:type="pct"/>
                  <w:tcBorders>
                    <w:tl2br w:val="nil"/>
                    <w:tr2bl w:val="nil"/>
                  </w:tcBorders>
                  <w:noWrap w:val="0"/>
                  <w:tcMar>
                    <w:top w:w="0" w:type="dxa"/>
                    <w:left w:w="57" w:type="dxa"/>
                    <w:bottom w:w="0" w:type="dxa"/>
                    <w:right w:w="57" w:type="dxa"/>
                  </w:tcMar>
                  <w:vAlign w:val="center"/>
                </w:tcPr>
                <w:p w14:paraId="025F8F9E">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3EDA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1404BA26">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禁止新建、扩建不符合国家石化、现代煤化工等产业布局规划的项目。</w:t>
                  </w:r>
                </w:p>
              </w:tc>
              <w:tc>
                <w:tcPr>
                  <w:tcW w:w="1269" w:type="pct"/>
                  <w:tcBorders>
                    <w:tl2br w:val="nil"/>
                    <w:tr2bl w:val="nil"/>
                  </w:tcBorders>
                  <w:noWrap w:val="0"/>
                  <w:tcMar>
                    <w:top w:w="0" w:type="dxa"/>
                    <w:left w:w="57" w:type="dxa"/>
                    <w:bottom w:w="0" w:type="dxa"/>
                    <w:right w:w="57" w:type="dxa"/>
                  </w:tcMar>
                  <w:vAlign w:val="center"/>
                </w:tcPr>
                <w:p w14:paraId="55ADDCC7">
                  <w:pPr>
                    <w:pStyle w:val="84"/>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eastAsia="zh-CN"/>
                      <w14:textFill>
                        <w14:solidFill>
                          <w14:schemeClr w14:val="tx1"/>
                        </w14:solidFill>
                      </w14:textFill>
                    </w:rPr>
                    <w:t>不涉及</w:t>
                  </w:r>
                </w:p>
              </w:tc>
              <w:tc>
                <w:tcPr>
                  <w:tcW w:w="500" w:type="pct"/>
                  <w:tcBorders>
                    <w:tl2br w:val="nil"/>
                    <w:tr2bl w:val="nil"/>
                  </w:tcBorders>
                  <w:noWrap w:val="0"/>
                  <w:tcMar>
                    <w:top w:w="0" w:type="dxa"/>
                    <w:left w:w="57" w:type="dxa"/>
                    <w:bottom w:w="0" w:type="dxa"/>
                    <w:right w:w="57" w:type="dxa"/>
                  </w:tcMar>
                  <w:vAlign w:val="center"/>
                </w:tcPr>
                <w:p w14:paraId="54D80486">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0F83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7147576C">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269" w:type="pct"/>
                  <w:tcBorders>
                    <w:tl2br w:val="nil"/>
                    <w:tr2bl w:val="nil"/>
                  </w:tcBorders>
                  <w:noWrap w:val="0"/>
                  <w:tcMar>
                    <w:top w:w="0" w:type="dxa"/>
                    <w:left w:w="57" w:type="dxa"/>
                    <w:bottom w:w="0" w:type="dxa"/>
                    <w:right w:w="57" w:type="dxa"/>
                  </w:tcMar>
                  <w:vAlign w:val="center"/>
                </w:tcPr>
                <w:p w14:paraId="77E7352C">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eastAsia="zh-CN"/>
                      <w14:textFill>
                        <w14:solidFill>
                          <w14:schemeClr w14:val="tx1"/>
                        </w14:solidFill>
                      </w14:textFill>
                    </w:rPr>
                    <w:t>项目不属于落后产能项目，不属于高耗能高排放项目。</w:t>
                  </w:r>
                </w:p>
              </w:tc>
              <w:tc>
                <w:tcPr>
                  <w:tcW w:w="500" w:type="pct"/>
                  <w:tcBorders>
                    <w:tl2br w:val="nil"/>
                    <w:tr2bl w:val="nil"/>
                  </w:tcBorders>
                  <w:noWrap w:val="0"/>
                  <w:tcMar>
                    <w:top w:w="0" w:type="dxa"/>
                    <w:left w:w="57" w:type="dxa"/>
                    <w:bottom w:w="0" w:type="dxa"/>
                    <w:right w:w="57" w:type="dxa"/>
                  </w:tcMar>
                  <w:vAlign w:val="center"/>
                </w:tcPr>
                <w:p w14:paraId="46A44BE4">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r w14:paraId="0D67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29" w:type="pct"/>
                  <w:tcBorders>
                    <w:tl2br w:val="nil"/>
                    <w:tr2bl w:val="nil"/>
                  </w:tcBorders>
                  <w:noWrap w:val="0"/>
                  <w:tcMar>
                    <w:top w:w="0" w:type="dxa"/>
                    <w:left w:w="28" w:type="dxa"/>
                    <w:bottom w:w="0" w:type="dxa"/>
                    <w:right w:w="28" w:type="dxa"/>
                  </w:tcMar>
                  <w:vAlign w:val="center"/>
                </w:tcPr>
                <w:p w14:paraId="4B99CCA6">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14:textFill>
                        <w14:solidFill>
                          <w14:schemeClr w14:val="tx1"/>
                        </w14:solidFill>
                      </w14:textFill>
                    </w:rPr>
                    <w:t>法律法规及相关政策文件有更加严格规定的从其规定</w:t>
                  </w:r>
                </w:p>
              </w:tc>
              <w:tc>
                <w:tcPr>
                  <w:tcW w:w="1269" w:type="pct"/>
                  <w:tcBorders>
                    <w:tl2br w:val="nil"/>
                    <w:tr2bl w:val="nil"/>
                  </w:tcBorders>
                  <w:noWrap w:val="0"/>
                  <w:tcMar>
                    <w:top w:w="0" w:type="dxa"/>
                    <w:left w:w="57" w:type="dxa"/>
                    <w:bottom w:w="0" w:type="dxa"/>
                    <w:right w:w="57" w:type="dxa"/>
                  </w:tcMar>
                  <w:vAlign w:val="center"/>
                </w:tcPr>
                <w:p w14:paraId="135FED10">
                  <w:pPr>
                    <w:pStyle w:val="84"/>
                    <w:keepNext w:val="0"/>
                    <w:keepLines w:val="0"/>
                    <w:pageBreakBefore w:val="0"/>
                    <w:widowControl w:val="0"/>
                    <w:kinsoku/>
                    <w:wordWrap/>
                    <w:overflowPunct/>
                    <w:topLinePunct w:val="0"/>
                    <w:autoSpaceDE/>
                    <w:autoSpaceDN/>
                    <w:bidi w:val="0"/>
                    <w:adjustRightInd/>
                    <w:snapToGrid/>
                    <w:jc w:val="both"/>
                    <w:textAlignment w:val="auto"/>
                    <w:rPr>
                      <w:rFonts w:hint="eastAsia" w:eastAsia="宋体"/>
                      <w:snapToGrid/>
                      <w:color w:val="000000" w:themeColor="text1"/>
                      <w:spacing w:val="0"/>
                      <w:kern w:val="0"/>
                      <w:position w:val="0"/>
                      <w:sz w:val="21"/>
                      <w:szCs w:val="21"/>
                      <w:lang w:eastAsia="zh-CN"/>
                      <w14:textFill>
                        <w14:solidFill>
                          <w14:schemeClr w14:val="tx1"/>
                        </w14:solidFill>
                      </w14:textFill>
                    </w:rPr>
                  </w:pPr>
                  <w:r>
                    <w:rPr>
                      <w:rFonts w:hint="eastAsia"/>
                      <w:snapToGrid/>
                      <w:color w:val="000000" w:themeColor="text1"/>
                      <w:spacing w:val="0"/>
                      <w:kern w:val="0"/>
                      <w:position w:val="0"/>
                      <w:sz w:val="21"/>
                      <w:szCs w:val="21"/>
                      <w:lang w:eastAsia="zh-CN"/>
                      <w14:textFill>
                        <w14:solidFill>
                          <w14:schemeClr w14:val="tx1"/>
                        </w14:solidFill>
                      </w14:textFill>
                    </w:rPr>
                    <w:t>本项目符合法律法规及相关政策文件要求。</w:t>
                  </w:r>
                </w:p>
              </w:tc>
              <w:tc>
                <w:tcPr>
                  <w:tcW w:w="500" w:type="pct"/>
                  <w:tcBorders>
                    <w:tl2br w:val="nil"/>
                    <w:tr2bl w:val="nil"/>
                  </w:tcBorders>
                  <w:noWrap w:val="0"/>
                  <w:tcMar>
                    <w:top w:w="0" w:type="dxa"/>
                    <w:left w:w="57" w:type="dxa"/>
                    <w:bottom w:w="0" w:type="dxa"/>
                    <w:right w:w="57" w:type="dxa"/>
                  </w:tcMar>
                  <w:vAlign w:val="center"/>
                </w:tcPr>
                <w:p w14:paraId="62AB90F2">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符合</w:t>
                  </w:r>
                </w:p>
              </w:tc>
            </w:tr>
          </w:tbl>
          <w:p w14:paraId="6CC0F1F1">
            <w:pPr>
              <w:autoSpaceDE w:val="0"/>
              <w:autoSpaceDN w:val="0"/>
              <w:spacing w:before="120" w:beforeLines="50" w:line="360" w:lineRule="auto"/>
              <w:ind w:firstLine="480" w:firstLineChars="2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根据《江西省长江经济带发展负面清单实施细则（试行）》（赣长江办</w:t>
            </w:r>
            <w:r>
              <w:rPr>
                <w:rFonts w:hint="eastAsia"/>
                <w:snapToGrid/>
                <w:color w:val="000000" w:themeColor="text1"/>
                <w:spacing w:val="0"/>
                <w:kern w:val="0"/>
                <w:position w:val="0"/>
                <w:sz w:val="24"/>
                <w14:textFill>
                  <w14:solidFill>
                    <w14:schemeClr w14:val="tx1"/>
                  </w14:solidFill>
                </w14:textFill>
              </w:rPr>
              <w:t>[2022] 7</w:t>
            </w:r>
            <w:r>
              <w:rPr>
                <w:snapToGrid/>
                <w:color w:val="000000" w:themeColor="text1"/>
                <w:spacing w:val="0"/>
                <w:kern w:val="0"/>
                <w:position w:val="0"/>
                <w:sz w:val="24"/>
                <w14:textFill>
                  <w14:solidFill>
                    <w14:schemeClr w14:val="tx1"/>
                  </w14:solidFill>
                </w14:textFill>
              </w:rPr>
              <w:t>号）文件第十七条的规定：禁止在合规园区外新建、扩建钢铁、石化、化工、焦化、建材、有色、制浆造纸等高污染项目。</w:t>
            </w:r>
          </w:p>
          <w:p w14:paraId="76D447BB">
            <w:pPr>
              <w:autoSpaceDE w:val="0"/>
              <w:autoSpaceDN w:val="0"/>
              <w:spacing w:line="360" w:lineRule="auto"/>
              <w:ind w:firstLine="480" w:firstLineChars="2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本项目</w:t>
            </w:r>
            <w:r>
              <w:rPr>
                <w:rFonts w:hint="eastAsia"/>
                <w:snapToGrid/>
                <w:color w:val="000000" w:themeColor="text1"/>
                <w:spacing w:val="0"/>
                <w:kern w:val="0"/>
                <w:position w:val="0"/>
                <w:sz w:val="24"/>
                <w:lang w:val="en-US" w:eastAsia="zh-CN"/>
                <w14:textFill>
                  <w14:solidFill>
                    <w14:schemeClr w14:val="tx1"/>
                  </w14:solidFill>
                </w14:textFill>
              </w:rPr>
              <w:t>行业类别为</w:t>
            </w:r>
            <w:r>
              <w:rPr>
                <w:rFonts w:hint="eastAsia" w:cs="Times New Roman"/>
                <w:snapToGrid/>
                <w:color w:val="000000" w:themeColor="text1"/>
                <w:spacing w:val="0"/>
                <w:kern w:val="0"/>
                <w:position w:val="0"/>
                <w:sz w:val="24"/>
                <w:szCs w:val="24"/>
                <w:lang w:val="en-US" w:eastAsia="zh-CN" w:bidi="ar"/>
                <w14:textFill>
                  <w14:solidFill>
                    <w14:schemeClr w14:val="tx1"/>
                  </w14:solidFill>
                </w14:textFill>
              </w:rPr>
              <w:t>C3021 水泥制品制造、</w:t>
            </w:r>
            <w:r>
              <w:rPr>
                <w:rFonts w:hint="eastAsia" w:cs="Times New Roman"/>
                <w:snapToGrid/>
                <w:color w:val="000000" w:themeColor="text1"/>
                <w:spacing w:val="0"/>
                <w:kern w:val="0"/>
                <w:position w:val="0"/>
                <w:sz w:val="24"/>
                <w:szCs w:val="24"/>
                <w:shd w:val="clear"/>
                <w:lang w:val="en-US" w:eastAsia="zh-CN" w:bidi="ar"/>
                <w14:textFill>
                  <w14:solidFill>
                    <w14:schemeClr w14:val="tx1"/>
                  </w14:solidFill>
                </w14:textFill>
              </w:rPr>
              <w:t>C3029 其他水泥类似制品制造</w:t>
            </w:r>
            <w:r>
              <w:rPr>
                <w:snapToGrid/>
                <w:color w:val="000000" w:themeColor="text1"/>
                <w:spacing w:val="0"/>
                <w:kern w:val="0"/>
                <w:position w:val="0"/>
                <w:sz w:val="24"/>
                <w:shd w:val="clear"/>
                <w14:textFill>
                  <w14:solidFill>
                    <w14:schemeClr w14:val="tx1"/>
                  </w14:solidFill>
                </w14:textFill>
              </w:rPr>
              <w:t>。由此可知，</w:t>
            </w:r>
            <w:r>
              <w:rPr>
                <w:rFonts w:hint="eastAsia"/>
                <w:snapToGrid/>
                <w:color w:val="000000" w:themeColor="text1"/>
                <w:spacing w:val="0"/>
                <w:kern w:val="0"/>
                <w:position w:val="0"/>
                <w:sz w:val="24"/>
                <w:shd w:val="clear"/>
                <w:lang w:val="en-US" w:eastAsia="zh-CN"/>
                <w14:textFill>
                  <w14:solidFill>
                    <w14:schemeClr w14:val="tx1"/>
                  </w14:solidFill>
                </w14:textFill>
              </w:rPr>
              <w:t>本</w:t>
            </w:r>
            <w:r>
              <w:rPr>
                <w:snapToGrid/>
                <w:color w:val="000000" w:themeColor="text1"/>
                <w:spacing w:val="0"/>
                <w:kern w:val="0"/>
                <w:position w:val="0"/>
                <w:sz w:val="24"/>
                <w:shd w:val="clear"/>
                <w14:textFill>
                  <w14:solidFill>
                    <w14:schemeClr w14:val="tx1"/>
                  </w14:solidFill>
                </w14:textFill>
              </w:rPr>
              <w:t>项目的建设符合</w:t>
            </w:r>
            <w:r>
              <w:rPr>
                <w:rFonts w:hint="eastAsia"/>
                <w:snapToGrid/>
                <w:color w:val="000000" w:themeColor="text1"/>
                <w:spacing w:val="0"/>
                <w:kern w:val="0"/>
                <w:position w:val="0"/>
                <w:sz w:val="24"/>
                <w:shd w:val="clear"/>
                <w14:textFill>
                  <w14:solidFill>
                    <w14:schemeClr w14:val="tx1"/>
                  </w14:solidFill>
                </w14:textFill>
              </w:rPr>
              <w:t>“</w:t>
            </w:r>
            <w:r>
              <w:rPr>
                <w:snapToGrid/>
                <w:color w:val="000000" w:themeColor="text1"/>
                <w:spacing w:val="0"/>
                <w:kern w:val="0"/>
                <w:position w:val="0"/>
                <w:sz w:val="24"/>
                <w:shd w:val="clear"/>
                <w14:textFill>
                  <w14:solidFill>
                    <w14:schemeClr w14:val="tx1"/>
                  </w14:solidFill>
                </w14:textFill>
              </w:rPr>
              <w:t>赣长</w:t>
            </w:r>
            <w:r>
              <w:rPr>
                <w:snapToGrid/>
                <w:color w:val="000000" w:themeColor="text1"/>
                <w:spacing w:val="0"/>
                <w:kern w:val="0"/>
                <w:position w:val="0"/>
                <w:sz w:val="24"/>
                <w14:textFill>
                  <w14:solidFill>
                    <w14:schemeClr w14:val="tx1"/>
                  </w14:solidFill>
                </w14:textFill>
              </w:rPr>
              <w:t>江办</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2022</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7</w:t>
            </w:r>
            <w:r>
              <w:rPr>
                <w:rFonts w:hint="eastAsia"/>
                <w:snapToGrid/>
                <w:color w:val="000000" w:themeColor="text1"/>
                <w:spacing w:val="0"/>
                <w:kern w:val="0"/>
                <w:position w:val="0"/>
                <w:sz w:val="24"/>
                <w:lang w:val="en-US" w:eastAsia="zh-CN"/>
                <w14:textFill>
                  <w14:solidFill>
                    <w14:schemeClr w14:val="tx1"/>
                  </w14:solidFill>
                </w14:textFill>
              </w:rPr>
              <w:t xml:space="preserve"> </w:t>
            </w:r>
            <w:r>
              <w:rPr>
                <w:snapToGrid/>
                <w:color w:val="000000" w:themeColor="text1"/>
                <w:spacing w:val="0"/>
                <w:kern w:val="0"/>
                <w:position w:val="0"/>
                <w:sz w:val="24"/>
                <w14:textFill>
                  <w14:solidFill>
                    <w14:schemeClr w14:val="tx1"/>
                  </w14:solidFill>
                </w14:textFill>
              </w:rPr>
              <w:t>号</w:t>
            </w:r>
            <w:r>
              <w:rPr>
                <w:rFonts w:hint="eastAsia"/>
                <w:snapToGrid/>
                <w:color w:val="000000" w:themeColor="text1"/>
                <w:spacing w:val="0"/>
                <w:kern w:val="0"/>
                <w:position w:val="0"/>
                <w:sz w:val="24"/>
                <w14:textFill>
                  <w14:solidFill>
                    <w14:schemeClr w14:val="tx1"/>
                  </w14:solidFill>
                </w14:textFill>
              </w:rPr>
              <w:t>”</w:t>
            </w:r>
            <w:r>
              <w:rPr>
                <w:snapToGrid/>
                <w:color w:val="000000" w:themeColor="text1"/>
                <w:spacing w:val="0"/>
                <w:kern w:val="0"/>
                <w:position w:val="0"/>
                <w:sz w:val="24"/>
                <w14:textFill>
                  <w14:solidFill>
                    <w14:schemeClr w14:val="tx1"/>
                  </w14:solidFill>
                </w14:textFill>
              </w:rPr>
              <w:t>文要求。</w:t>
            </w:r>
          </w:p>
          <w:p w14:paraId="2C0594B0">
            <w:pPr>
              <w:pStyle w:val="36"/>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cs="Times New Roman"/>
                <w:b/>
                <w:bCs/>
                <w:snapToGrid/>
                <w:color w:val="000000" w:themeColor="text1"/>
                <w:spacing w:val="0"/>
                <w:kern w:val="0"/>
                <w:position w:val="0"/>
                <w:highlight w:val="none"/>
                <w:lang w:val="en-US" w:eastAsia="zh-CN"/>
                <w14:textFill>
                  <w14:solidFill>
                    <w14:schemeClr w14:val="tx1"/>
                  </w14:solidFill>
                </w14:textFill>
              </w:rPr>
            </w:pPr>
            <w:r>
              <w:rPr>
                <w:rFonts w:hint="eastAsia" w:ascii="Times New Roman" w:cs="Times New Roman"/>
                <w:b/>
                <w:bCs/>
                <w:snapToGrid/>
                <w:color w:val="000000" w:themeColor="text1"/>
                <w:spacing w:val="0"/>
                <w:kern w:val="0"/>
                <w:position w:val="0"/>
                <w:highlight w:val="none"/>
                <w:lang w:val="en-US" w:eastAsia="zh-CN"/>
                <w14:textFill>
                  <w14:solidFill>
                    <w14:schemeClr w14:val="tx1"/>
                  </w14:solidFill>
                </w14:textFill>
              </w:rPr>
              <w:t>4</w:t>
            </w:r>
            <w:r>
              <w:rPr>
                <w:rFonts w:hint="eastAsia" w:ascii="Times New Roman" w:hAnsi="Times New Roman" w:eastAsia="宋体" w:cs="Times New Roman"/>
                <w:b/>
                <w:bCs/>
                <w:snapToGrid/>
                <w:color w:val="000000" w:themeColor="text1"/>
                <w:spacing w:val="0"/>
                <w:kern w:val="0"/>
                <w:position w:val="0"/>
                <w:highlight w:val="none"/>
                <w:lang w:val="en-US" w:eastAsia="zh-CN"/>
                <w14:textFill>
                  <w14:solidFill>
                    <w14:schemeClr w14:val="tx1"/>
                  </w14:solidFill>
                </w14:textFill>
              </w:rPr>
              <w:t>、与</w:t>
            </w:r>
            <w:r>
              <w:rPr>
                <w:b/>
                <w:bCs/>
                <w:color w:val="000000" w:themeColor="text1"/>
                <w:spacing w:val="-1"/>
                <w:highlight w:val="none"/>
                <w14:textFill>
                  <w14:solidFill>
                    <w14:schemeClr w14:val="tx1"/>
                  </w14:solidFill>
                </w14:textFill>
              </w:rPr>
              <w:t>《</w:t>
            </w:r>
            <w:r>
              <w:rPr>
                <w:rFonts w:hint="eastAsia"/>
                <w:b/>
                <w:bCs/>
                <w:color w:val="000000" w:themeColor="text1"/>
                <w:spacing w:val="-1"/>
                <w:highlight w:val="none"/>
                <w:lang w:val="en-US" w:eastAsia="zh-CN"/>
                <w14:textFill>
                  <w14:solidFill>
                    <w14:schemeClr w14:val="tx1"/>
                  </w14:solidFill>
                </w14:textFill>
              </w:rPr>
              <w:t>宁都县“十四五”生态环境保护规划</w:t>
            </w:r>
            <w:r>
              <w:rPr>
                <w:b/>
                <w:bCs/>
                <w:color w:val="000000" w:themeColor="text1"/>
                <w:spacing w:val="-1"/>
                <w:highlight w:val="none"/>
                <w14:textFill>
                  <w14:solidFill>
                    <w14:schemeClr w14:val="tx1"/>
                  </w14:solidFill>
                </w14:textFill>
              </w:rPr>
              <w:t>》</w:t>
            </w:r>
            <w:r>
              <w:rPr>
                <w:rFonts w:hint="eastAsia"/>
                <w:b/>
                <w:bCs/>
                <w:color w:val="000000" w:themeColor="text1"/>
                <w:spacing w:val="-1"/>
                <w:highlight w:val="none"/>
                <w:lang w:val="en-US" w:eastAsia="zh-CN"/>
                <w14:textFill>
                  <w14:solidFill>
                    <w14:schemeClr w14:val="tx1"/>
                  </w14:solidFill>
                </w14:textFill>
              </w:rPr>
              <w:t>的</w:t>
            </w:r>
            <w:r>
              <w:rPr>
                <w:rFonts w:hint="eastAsia" w:ascii="Times New Roman" w:hAnsi="Times New Roman" w:eastAsia="宋体" w:cs="Times New Roman"/>
                <w:b/>
                <w:bCs/>
                <w:snapToGrid/>
                <w:color w:val="000000" w:themeColor="text1"/>
                <w:spacing w:val="0"/>
                <w:kern w:val="0"/>
                <w:position w:val="0"/>
                <w:highlight w:val="none"/>
                <w:lang w:val="en-US" w:eastAsia="zh-CN"/>
                <w14:textFill>
                  <w14:solidFill>
                    <w14:schemeClr w14:val="tx1"/>
                  </w14:solidFill>
                </w14:textFill>
              </w:rPr>
              <w:t>相符性</w:t>
            </w:r>
            <w:r>
              <w:rPr>
                <w:rFonts w:hint="eastAsia" w:ascii="Times New Roman" w:cs="Times New Roman"/>
                <w:b/>
                <w:bCs/>
                <w:snapToGrid/>
                <w:color w:val="000000" w:themeColor="text1"/>
                <w:spacing w:val="0"/>
                <w:kern w:val="0"/>
                <w:position w:val="0"/>
                <w:highlight w:val="none"/>
                <w:lang w:val="en-US" w:eastAsia="zh-CN"/>
                <w14:textFill>
                  <w14:solidFill>
                    <w14:schemeClr w14:val="tx1"/>
                  </w14:solidFill>
                </w14:textFill>
              </w:rPr>
              <w:t>分析</w:t>
            </w:r>
          </w:p>
          <w:p w14:paraId="2FDE4B7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snapToGrid/>
                <w:color w:val="000000" w:themeColor="text1"/>
                <w:spacing w:val="0"/>
                <w:w w:val="100"/>
                <w:position w:val="0"/>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position w:val="0"/>
                <w:lang w:val="en-US" w:eastAsia="zh-CN"/>
                <w14:textFill>
                  <w14:solidFill>
                    <w14:schemeClr w14:val="tx1"/>
                  </w14:solidFill>
                </w14:textFill>
              </w:rPr>
              <w:t>表1-</w:t>
            </w:r>
            <w:r>
              <w:rPr>
                <w:rFonts w:hint="eastAsia" w:ascii="Times New Roman" w:hAnsi="Times New Roman" w:cs="Times New Roman"/>
                <w:b/>
                <w:bCs/>
                <w:snapToGrid/>
                <w:color w:val="000000" w:themeColor="text1"/>
                <w:spacing w:val="0"/>
                <w:w w:val="100"/>
                <w:position w:val="0"/>
                <w:lang w:val="en-US" w:eastAsia="zh-CN"/>
                <w14:textFill>
                  <w14:solidFill>
                    <w14:schemeClr w14:val="tx1"/>
                  </w14:solidFill>
                </w14:textFill>
              </w:rPr>
              <w:t>7</w:t>
            </w:r>
            <w:r>
              <w:rPr>
                <w:rFonts w:hint="eastAsia" w:ascii="Times New Roman" w:hAnsi="Times New Roman" w:eastAsia="宋体" w:cs="Times New Roman"/>
                <w:b/>
                <w:bCs/>
                <w:snapToGrid/>
                <w:color w:val="000000" w:themeColor="text1"/>
                <w:spacing w:val="0"/>
                <w:w w:val="100"/>
                <w:position w:val="0"/>
                <w:lang w:val="en-US" w:eastAsia="zh-CN"/>
                <w14:textFill>
                  <w14:solidFill>
                    <w14:schemeClr w14:val="tx1"/>
                  </w14:solidFill>
                </w14:textFill>
              </w:rPr>
              <w:t xml:space="preserve">  </w:t>
            </w:r>
            <w:r>
              <w:rPr>
                <w:rFonts w:hint="default" w:ascii="Times New Roman" w:hAnsi="Times New Roman" w:eastAsia="宋体" w:cs="Times New Roman"/>
                <w:b/>
                <w:bCs/>
                <w:snapToGrid/>
                <w:color w:val="000000" w:themeColor="text1"/>
                <w:spacing w:val="0"/>
                <w:w w:val="100"/>
                <w:position w:val="0"/>
                <w:lang w:val="zh-CN"/>
                <w14:textFill>
                  <w14:solidFill>
                    <w14:schemeClr w14:val="tx1"/>
                  </w14:solidFill>
                </w14:textFill>
              </w:rPr>
              <w:t>与</w:t>
            </w:r>
            <w:r>
              <w:rPr>
                <w:rFonts w:hint="default" w:ascii="Times New Roman" w:hAnsi="Times New Roman" w:eastAsia="宋体" w:cs="Times New Roman"/>
                <w:b/>
                <w:bCs/>
                <w:snapToGrid/>
                <w:color w:val="000000" w:themeColor="text1"/>
                <w:spacing w:val="0"/>
                <w:w w:val="100"/>
                <w:position w:val="0"/>
                <w:lang w:val="zh-CN" w:eastAsia="zh-CN"/>
                <w14:textFill>
                  <w14:solidFill>
                    <w14:schemeClr w14:val="tx1"/>
                  </w14:solidFill>
                </w14:textFill>
              </w:rPr>
              <w:t>《</w:t>
            </w:r>
            <w:r>
              <w:rPr>
                <w:rFonts w:hint="eastAsia"/>
                <w:b/>
                <w:bCs/>
                <w:color w:val="000000" w:themeColor="text1"/>
                <w:spacing w:val="-1"/>
                <w:highlight w:val="none"/>
                <w:lang w:val="en-US" w:eastAsia="zh-CN"/>
                <w14:textFill>
                  <w14:solidFill>
                    <w14:schemeClr w14:val="tx1"/>
                  </w14:solidFill>
                </w14:textFill>
              </w:rPr>
              <w:t>宁都县“十四五”生态环境保护规划</w:t>
            </w:r>
            <w:r>
              <w:rPr>
                <w:rFonts w:hint="default" w:ascii="Times New Roman" w:hAnsi="Times New Roman" w:eastAsia="宋体" w:cs="Times New Roman"/>
                <w:b/>
                <w:bCs/>
                <w:snapToGrid/>
                <w:color w:val="000000" w:themeColor="text1"/>
                <w:spacing w:val="0"/>
                <w:w w:val="100"/>
                <w:position w:val="0"/>
                <w:lang w:val="zh-CN" w:eastAsia="zh-CN"/>
                <w14:textFill>
                  <w14:solidFill>
                    <w14:schemeClr w14:val="tx1"/>
                  </w14:solidFill>
                </w14:textFill>
              </w:rPr>
              <w:t>》</w:t>
            </w:r>
            <w:r>
              <w:rPr>
                <w:rFonts w:hint="eastAsia" w:ascii="Times New Roman" w:hAnsi="Times New Roman" w:eastAsia="宋体" w:cs="Times New Roman"/>
                <w:b/>
                <w:bCs/>
                <w:snapToGrid/>
                <w:color w:val="000000" w:themeColor="text1"/>
                <w:spacing w:val="0"/>
                <w:w w:val="100"/>
                <w:position w:val="0"/>
                <w:lang w:val="en-US" w:eastAsia="zh-CN"/>
                <w14:textFill>
                  <w14:solidFill>
                    <w14:schemeClr w14:val="tx1"/>
                  </w14:solidFill>
                </w14:textFill>
              </w:rPr>
              <w:t>相符性分析</w:t>
            </w:r>
          </w:p>
          <w:tbl>
            <w:tblPr>
              <w:tblStyle w:val="27"/>
              <w:tblW w:w="498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2498"/>
              <w:gridCol w:w="781"/>
            </w:tblGrid>
            <w:tr w14:paraId="00FFEB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dxa"/>
                  <w:tcBorders>
                    <w:tl2br w:val="nil"/>
                    <w:tr2bl w:val="nil"/>
                  </w:tcBorders>
                  <w:noWrap w:val="0"/>
                  <w:vAlign w:val="center"/>
                </w:tcPr>
                <w:p w14:paraId="584B92A5">
                  <w:pPr>
                    <w:pStyle w:val="113"/>
                    <w:rPr>
                      <w:rFonts w:hint="default" w:ascii="Times New Roman" w:hAnsi="Times New Roman" w:eastAsia="宋体" w:cs="Times New Roman"/>
                      <w:b/>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b/>
                      <w:snapToGrid/>
                      <w:color w:val="000000" w:themeColor="text1"/>
                      <w:spacing w:val="0"/>
                      <w:w w:val="100"/>
                      <w:position w:val="0"/>
                      <w:sz w:val="21"/>
                      <w:szCs w:val="21"/>
                      <w:lang w:val="en-US" w:eastAsia="zh-CN"/>
                      <w14:textFill>
                        <w14:solidFill>
                          <w14:schemeClr w14:val="tx1"/>
                        </w14:solidFill>
                      </w14:textFill>
                    </w:rPr>
                    <w:t>规划内容</w:t>
                  </w:r>
                </w:p>
              </w:tc>
              <w:tc>
                <w:tcPr>
                  <w:tcW w:w="2499" w:type="dxa"/>
                  <w:tcBorders>
                    <w:tl2br w:val="nil"/>
                    <w:tr2bl w:val="nil"/>
                  </w:tcBorders>
                  <w:noWrap w:val="0"/>
                  <w:vAlign w:val="center"/>
                </w:tcPr>
                <w:p w14:paraId="61522AB5">
                  <w:pPr>
                    <w:pStyle w:val="113"/>
                    <w:rPr>
                      <w:rFonts w:hint="default" w:ascii="Times New Roman" w:hAnsi="Times New Roman" w:eastAsia="宋体" w:cs="Times New Roman"/>
                      <w:b/>
                      <w:snapToGrid/>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w w:val="100"/>
                      <w:position w:val="0"/>
                      <w:sz w:val="21"/>
                      <w:szCs w:val="21"/>
                      <w14:textFill>
                        <w14:solidFill>
                          <w14:schemeClr w14:val="tx1"/>
                        </w14:solidFill>
                      </w14:textFill>
                    </w:rPr>
                    <w:t>本项目</w:t>
                  </w:r>
                </w:p>
              </w:tc>
              <w:tc>
                <w:tcPr>
                  <w:tcW w:w="781" w:type="dxa"/>
                  <w:tcBorders>
                    <w:tl2br w:val="nil"/>
                    <w:tr2bl w:val="nil"/>
                  </w:tcBorders>
                  <w:noWrap w:val="0"/>
                  <w:vAlign w:val="center"/>
                </w:tcPr>
                <w:p w14:paraId="4BB71F5B">
                  <w:pPr>
                    <w:pStyle w:val="113"/>
                    <w:jc w:val="center"/>
                    <w:rPr>
                      <w:rFonts w:hint="eastAsia" w:ascii="Times New Roman" w:hAnsi="Times New Roman" w:eastAsia="宋体" w:cs="Times New Roman"/>
                      <w:b/>
                      <w:snapToGrid/>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b/>
                      <w:snapToGrid/>
                      <w:color w:val="000000" w:themeColor="text1"/>
                      <w:spacing w:val="0"/>
                      <w:w w:val="100"/>
                      <w:position w:val="0"/>
                      <w:sz w:val="21"/>
                      <w:szCs w:val="21"/>
                      <w14:textFill>
                        <w14:solidFill>
                          <w14:schemeClr w14:val="tx1"/>
                        </w14:solidFill>
                      </w14:textFill>
                    </w:rPr>
                    <w:t>相符</w:t>
                  </w:r>
                  <w:r>
                    <w:rPr>
                      <w:rFonts w:hint="eastAsia" w:cs="Times New Roman"/>
                      <w:b/>
                      <w:snapToGrid/>
                      <w:color w:val="000000" w:themeColor="text1"/>
                      <w:spacing w:val="0"/>
                      <w:w w:val="100"/>
                      <w:position w:val="0"/>
                      <w:sz w:val="21"/>
                      <w:szCs w:val="21"/>
                      <w:lang w:val="en-US" w:eastAsia="zh-CN"/>
                      <w14:textFill>
                        <w14:solidFill>
                          <w14:schemeClr w14:val="tx1"/>
                        </w14:solidFill>
                      </w14:textFill>
                    </w:rPr>
                    <w:t>性</w:t>
                  </w:r>
                </w:p>
              </w:tc>
            </w:tr>
            <w:tr w14:paraId="096046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dxa"/>
                  <w:tcBorders>
                    <w:tl2br w:val="nil"/>
                    <w:tr2bl w:val="nil"/>
                  </w:tcBorders>
                  <w:noWrap w:val="0"/>
                  <w:vAlign w:val="center"/>
                </w:tcPr>
                <w:p w14:paraId="4E63DC6B">
                  <w:pPr>
                    <w:pStyle w:val="113"/>
                    <w:jc w:val="both"/>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4.2.1加强工业源废气污染综合防治：严厉打击工矿企业无组织排放行为，着力实施工业园区大气污染综合治理工程。全面整治</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散乱污</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企业及产业集群，实行拉网式排查和清单式、台账式、网格化管理，根据企业实际，分类实施关停、整合搬迁、整改提升等措施，推动企业向宁都县工业园区集中，实现</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散乱污</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企业彻底</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清零</w:t>
                  </w:r>
                  <w:r>
                    <w:rPr>
                      <w:rFonts w:hint="eastAsia" w:ascii="Times New Roman" w:hAnsi="Times New Roman" w:cs="Times New Roman"/>
                      <w:snapToGrid/>
                      <w:color w:val="000000" w:themeColor="text1"/>
                      <w:spacing w:val="0"/>
                      <w:w w:val="10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w:t>
                  </w:r>
                </w:p>
              </w:tc>
              <w:tc>
                <w:tcPr>
                  <w:tcW w:w="2499" w:type="dxa"/>
                  <w:vMerge w:val="restart"/>
                  <w:tcBorders>
                    <w:tl2br w:val="nil"/>
                    <w:tr2bl w:val="nil"/>
                  </w:tcBorders>
                  <w:noWrap w:val="0"/>
                  <w:vAlign w:val="center"/>
                </w:tcPr>
                <w:p w14:paraId="348F334D">
                  <w:pPr>
                    <w:keepNext w:val="0"/>
                    <w:keepLines w:val="0"/>
                    <w:widowControl/>
                    <w:suppressLineNumbers w:val="0"/>
                    <w:jc w:val="both"/>
                    <w:rPr>
                      <w:rFonts w:hint="eastAsia" w:ascii="宋体" w:hAnsi="宋体" w:eastAsia="宋体" w:cs="宋体"/>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原料堆场粉尘：原料堆场地面进行硬化处理，来往运输车辆用篷布覆盖</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位于厂房内，仅留车辆进出口通道，堆料区、下料区和进出口通道安装喷雾装置进行喷淋作业。原料堆场安装固定式喷雾装置覆盖整个堆场。运输车辆粉尘：地面固化，每日进行地面清洁。运输车辆加盖篷布，严禁超载，杜绝汽车抛洒，保持车体整洁，净车上路。道路两侧设置固定喷雾降尘或移动式雾炮降尘。筒仓进料粉尘：筒仓顶部均设置脉冲式布袋除尘器，筒仓进料粉尘经脉冲式布袋除尘器收集处理后在厂房中自然沉降，以无组织方式排放。搅拌粉尘：搅拌机顶部设置布袋除尘器。产生的粉尘经脉冲式布袋除尘器处理后，在厂房内无组织排放。同时，厂房内设置喷雾装置控制皮带输送时产生的原料输送扬尘。在下料斗设置三面围挡，顶部设置喷雾装置进行降尘</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781" w:type="dxa"/>
                  <w:tcBorders>
                    <w:tl2br w:val="nil"/>
                    <w:tr2bl w:val="nil"/>
                  </w:tcBorders>
                  <w:noWrap w:val="0"/>
                  <w:vAlign w:val="center"/>
                </w:tcPr>
                <w:p w14:paraId="790847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r w14:paraId="133765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dxa"/>
                  <w:tcBorders>
                    <w:tl2br w:val="nil"/>
                    <w:tr2bl w:val="nil"/>
                  </w:tcBorders>
                  <w:noWrap w:val="0"/>
                  <w:vAlign w:val="center"/>
                </w:tcPr>
                <w:p w14:paraId="6E7ECAB6">
                  <w:pPr>
                    <w:pStyle w:val="113"/>
                    <w:jc w:val="both"/>
                    <w:rPr>
                      <w:rFonts w:hint="default"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4.2.4加强城市尘土和可吸入颗粒物污染控制</w:t>
                  </w:r>
                  <w:r>
                    <w:rPr>
                      <w:rFonts w:hint="eastAsia" w:cs="Times New Roman"/>
                      <w:snapToGrid/>
                      <w:color w:val="000000" w:themeColor="text1"/>
                      <w:spacing w:val="0"/>
                      <w:w w:val="100"/>
                      <w:position w:val="0"/>
                      <w:sz w:val="21"/>
                      <w:szCs w:val="21"/>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开展道路扬尘和工地扬尘管控治理工程。加强施工工地扬尘环境监管，积极推进绿色施工，构建过程全覆盖、管理全方位、责任全链条的施工扬尘治理体系。加强渣土运输车辆管控，打击违规运输、违法倾倒行为，实施密闭运输和准运证制度。持续开展“洗城行动”，加大道路机械化清扫等低沉作业方式和环卫专业冲洗等力度和频次，推进城市道路白改黑。加强城市公共绿地和道路绿化的建设和管理，减少裸露地面和地面尘土。完善扬尘控制责任体系，进一步精细化覆盖全县主要城镇的可吸入颗粒物（PM</w:t>
                  </w:r>
                  <w:r>
                    <w:rPr>
                      <w:rFonts w:hint="eastAsia" w:ascii="Times New Roman" w:hAnsi="Times New Roman" w:eastAsia="宋体" w:cs="Times New Roman"/>
                      <w:snapToGrid/>
                      <w:color w:val="000000" w:themeColor="text1"/>
                      <w:spacing w:val="0"/>
                      <w:w w:val="100"/>
                      <w:position w:val="0"/>
                      <w:sz w:val="21"/>
                      <w:szCs w:val="21"/>
                      <w:vertAlign w:val="subscript"/>
                      <w:lang w:val="en-US" w:eastAsia="zh-CN"/>
                      <w14:textFill>
                        <w14:solidFill>
                          <w14:schemeClr w14:val="tx1"/>
                        </w14:solidFill>
                      </w14:textFill>
                    </w:rPr>
                    <w:t>10</w:t>
                  </w:r>
                  <w:r>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、PM</w:t>
                  </w:r>
                  <w:r>
                    <w:rPr>
                      <w:rFonts w:hint="eastAsia" w:ascii="Times New Roman" w:hAnsi="Times New Roman" w:eastAsia="宋体" w:cs="Times New Roman"/>
                      <w:snapToGrid/>
                      <w:color w:val="000000" w:themeColor="text1"/>
                      <w:spacing w:val="0"/>
                      <w:w w:val="100"/>
                      <w:position w:val="0"/>
                      <w:sz w:val="21"/>
                      <w:szCs w:val="21"/>
                      <w:vertAlign w:val="subscript"/>
                      <w:lang w:val="en-US" w:eastAsia="zh-CN"/>
                      <w14:textFill>
                        <w14:solidFill>
                          <w14:schemeClr w14:val="tx1"/>
                        </w14:solidFill>
                      </w14:textFill>
                    </w:rPr>
                    <w:t>2.5</w:t>
                  </w:r>
                  <w:r>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t>）监测网络。</w:t>
                  </w:r>
                </w:p>
              </w:tc>
              <w:tc>
                <w:tcPr>
                  <w:tcW w:w="2499" w:type="dxa"/>
                  <w:vMerge w:val="continue"/>
                  <w:tcBorders>
                    <w:tl2br w:val="nil"/>
                    <w:tr2bl w:val="nil"/>
                  </w:tcBorders>
                  <w:noWrap w:val="0"/>
                  <w:vAlign w:val="center"/>
                </w:tcPr>
                <w:p w14:paraId="32FB0933">
                  <w:pPr>
                    <w:pStyle w:val="113"/>
                    <w:jc w:val="both"/>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pPr>
                </w:p>
              </w:tc>
              <w:tc>
                <w:tcPr>
                  <w:tcW w:w="781" w:type="dxa"/>
                  <w:tcBorders>
                    <w:tl2br w:val="nil"/>
                    <w:tr2bl w:val="nil"/>
                  </w:tcBorders>
                  <w:noWrap w:val="0"/>
                  <w:vAlign w:val="center"/>
                </w:tcPr>
                <w:p w14:paraId="7EA9586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符合</w:t>
                  </w:r>
                </w:p>
              </w:tc>
            </w:tr>
          </w:tbl>
          <w:p w14:paraId="7FAFAAB1">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default" w:cs="Times New Roman"/>
                <w:b/>
                <w:snapToGrid/>
                <w:color w:val="000000" w:themeColor="text1"/>
                <w:spacing w:val="0"/>
                <w:w w:val="100"/>
                <w:kern w:val="0"/>
                <w:position w:val="0"/>
                <w:sz w:val="24"/>
                <w:lang w:val="en-US" w:eastAsia="zh-CN"/>
                <w14:textFill>
                  <w14:solidFill>
                    <w14:schemeClr w14:val="tx1"/>
                  </w14:solidFill>
                </w14:textFill>
              </w:rPr>
            </w:pPr>
            <w:r>
              <w:rPr>
                <w:rFonts w:hint="eastAsia" w:cs="Times New Roman"/>
                <w:b/>
                <w:snapToGrid/>
                <w:color w:val="000000" w:themeColor="text1"/>
                <w:spacing w:val="0"/>
                <w:w w:val="100"/>
                <w:kern w:val="0"/>
                <w:position w:val="0"/>
                <w:sz w:val="24"/>
                <w:lang w:val="en-US" w:eastAsia="zh-CN"/>
                <w14:textFill>
                  <w14:solidFill>
                    <w14:schemeClr w14:val="tx1"/>
                  </w14:solidFill>
                </w14:textFill>
              </w:rPr>
              <w:t>5、与《赣州市扬尘污染防治条例》的相符性分析</w:t>
            </w:r>
          </w:p>
          <w:p w14:paraId="1E139D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mallCaps w:val="0"/>
                <w:snapToGrid/>
                <w:color w:val="000000" w:themeColor="text1"/>
                <w:spacing w:val="0"/>
                <w:w w:val="100"/>
                <w:kern w:val="0"/>
                <w:position w:val="0"/>
                <w:szCs w:val="21"/>
                <w14:textFill>
                  <w14:solidFill>
                    <w14:schemeClr w14:val="tx1"/>
                  </w14:solidFill>
                </w14:textFill>
              </w:rPr>
            </w:pPr>
            <w:r>
              <w:rPr>
                <w:rFonts w:hint="default" w:ascii="Times New Roman" w:hAnsi="Times New Roman" w:cs="Times New Roman"/>
                <w:b/>
                <w:bCs/>
                <w:smallCaps w:val="0"/>
                <w:snapToGrid/>
                <w:color w:val="000000" w:themeColor="text1"/>
                <w:spacing w:val="0"/>
                <w:w w:val="100"/>
                <w:kern w:val="0"/>
                <w:position w:val="0"/>
                <w:szCs w:val="21"/>
                <w14:textFill>
                  <w14:solidFill>
                    <w14:schemeClr w14:val="tx1"/>
                  </w14:solidFill>
                </w14:textFill>
              </w:rPr>
              <w:t>表1-</w:t>
            </w:r>
            <w:r>
              <w:rPr>
                <w:rFonts w:hint="eastAsia" w:cs="Times New Roman"/>
                <w:b/>
                <w:bCs/>
                <w:smallCaps w:val="0"/>
                <w:snapToGrid/>
                <w:color w:val="000000" w:themeColor="text1"/>
                <w:spacing w:val="0"/>
                <w:w w:val="100"/>
                <w:kern w:val="0"/>
                <w:position w:val="0"/>
                <w:szCs w:val="21"/>
                <w:lang w:val="en-US" w:eastAsia="zh-CN"/>
                <w14:textFill>
                  <w14:solidFill>
                    <w14:schemeClr w14:val="tx1"/>
                  </w14:solidFill>
                </w14:textFill>
              </w:rPr>
              <w:t>8</w:t>
            </w:r>
            <w:r>
              <w:rPr>
                <w:rFonts w:hint="default" w:ascii="Times New Roman" w:hAnsi="Times New Roman" w:cs="Times New Roman"/>
                <w:b/>
                <w:bCs/>
                <w:smallCaps w:val="0"/>
                <w:snapToGrid/>
                <w:color w:val="000000" w:themeColor="text1"/>
                <w:spacing w:val="0"/>
                <w:w w:val="100"/>
                <w:kern w:val="0"/>
                <w:position w:val="0"/>
                <w:szCs w:val="21"/>
                <w14:textFill>
                  <w14:solidFill>
                    <w14:schemeClr w14:val="tx1"/>
                  </w14:solidFill>
                </w14:textFill>
              </w:rPr>
              <w:t xml:space="preserve">  </w:t>
            </w:r>
            <w:r>
              <w:rPr>
                <w:rFonts w:hint="default" w:ascii="Times New Roman" w:hAnsi="Times New Roman" w:cs="Times New Roman"/>
                <w:b/>
                <w:bCs/>
                <w:smallCaps w:val="0"/>
                <w:snapToGrid/>
                <w:color w:val="000000" w:themeColor="text1"/>
                <w:spacing w:val="0"/>
                <w:w w:val="100"/>
                <w:kern w:val="0"/>
                <w:position w:val="0"/>
                <w:szCs w:val="21"/>
                <w:lang w:val="en-US" w:eastAsia="zh-CN"/>
                <w14:textFill>
                  <w14:solidFill>
                    <w14:schemeClr w14:val="tx1"/>
                  </w14:solidFill>
                </w14:textFill>
              </w:rPr>
              <w:t>与《赣州市扬尘污染防治条例》</w:t>
            </w:r>
            <w:r>
              <w:rPr>
                <w:rFonts w:hint="default" w:ascii="Times New Roman" w:hAnsi="Times New Roman" w:cs="Times New Roman"/>
                <w:b/>
                <w:bCs/>
                <w:smallCaps w:val="0"/>
                <w:snapToGrid/>
                <w:color w:val="000000" w:themeColor="text1"/>
                <w:spacing w:val="0"/>
                <w:w w:val="100"/>
                <w:kern w:val="0"/>
                <w:position w:val="0"/>
                <w:szCs w:val="21"/>
                <w14:textFill>
                  <w14:solidFill>
                    <w14:schemeClr w14:val="tx1"/>
                  </w14:solidFill>
                </w14:textFill>
              </w:rPr>
              <w:t>相符性分析一览表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6"/>
              <w:gridCol w:w="2120"/>
              <w:gridCol w:w="886"/>
            </w:tblGrid>
            <w:tr w14:paraId="381C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6" w:type="dxa"/>
                  <w:tcBorders>
                    <w:tl2br w:val="nil"/>
                    <w:tr2bl w:val="nil"/>
                  </w:tcBorders>
                  <w:noWrap w:val="0"/>
                  <w:vAlign w:val="center"/>
                </w:tcPr>
                <w:p w14:paraId="6EAE0335">
                  <w:pPr>
                    <w:pStyle w:val="1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ind w:firstLine="0" w:firstLineChars="0"/>
                    <w:textAlignment w:val="center"/>
                    <w:outlineLvl w:val="9"/>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bidi="ar"/>
                      <w14:textFill>
                        <w14:solidFill>
                          <w14:schemeClr w14:val="tx1"/>
                        </w14:solidFill>
                      </w14:textFill>
                    </w:rPr>
                    <w:t>条例要求</w:t>
                  </w:r>
                </w:p>
              </w:tc>
              <w:tc>
                <w:tcPr>
                  <w:tcW w:w="2120" w:type="dxa"/>
                  <w:tcBorders>
                    <w:tl2br w:val="nil"/>
                    <w:tr2bl w:val="nil"/>
                  </w:tcBorders>
                  <w:noWrap w:val="0"/>
                  <w:vAlign w:val="center"/>
                </w:tcPr>
                <w:p w14:paraId="1C08119E">
                  <w:pPr>
                    <w:pStyle w:val="1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ind w:firstLine="0" w:firstLineChars="0"/>
                    <w:textAlignment w:val="center"/>
                    <w:outlineLvl w:val="9"/>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t>本项目</w:t>
                  </w:r>
                </w:p>
              </w:tc>
              <w:tc>
                <w:tcPr>
                  <w:tcW w:w="886" w:type="dxa"/>
                  <w:tcBorders>
                    <w:tl2br w:val="nil"/>
                    <w:tr2bl w:val="nil"/>
                  </w:tcBorders>
                  <w:noWrap w:val="0"/>
                  <w:vAlign w:val="center"/>
                </w:tcPr>
                <w:p w14:paraId="4A3DFF8A">
                  <w:pPr>
                    <w:pStyle w:val="1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ind w:firstLine="0" w:firstLineChars="0"/>
                    <w:textAlignment w:val="center"/>
                    <w:outlineLvl w:val="9"/>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cs="Times New Roman"/>
                      <w:b/>
                      <w:bCs/>
                      <w:snapToGrid/>
                      <w:color w:val="000000" w:themeColor="text1"/>
                      <w:spacing w:val="0"/>
                      <w:w w:val="100"/>
                      <w:kern w:val="0"/>
                      <w:position w:val="0"/>
                      <w:sz w:val="21"/>
                      <w:szCs w:val="21"/>
                      <w:vertAlign w:val="baseline"/>
                      <w:lang w:val="en-US" w:eastAsia="zh-CN"/>
                      <w14:textFill>
                        <w14:solidFill>
                          <w14:schemeClr w14:val="tx1"/>
                        </w14:solidFill>
                      </w14:textFill>
                    </w:rPr>
                    <w:t>相符性</w:t>
                  </w:r>
                </w:p>
              </w:tc>
            </w:tr>
            <w:tr w14:paraId="39B3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6" w:type="dxa"/>
                  <w:tcBorders>
                    <w:tl2br w:val="nil"/>
                    <w:tr2bl w:val="nil"/>
                  </w:tcBorders>
                  <w:noWrap w:val="0"/>
                  <w:vAlign w:val="center"/>
                </w:tcPr>
                <w:p w14:paraId="048DB9A4">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第十七条</w:t>
                  </w:r>
                  <w:r>
                    <w:rPr>
                      <w:rFonts w:hint="eastAsia"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 xml:space="preserve"> </w:t>
                  </w:r>
                  <w:r>
                    <w:rPr>
                      <w:rFonts w:hint="eastAsia" w:ascii="Times New Roman" w:hAnsi="Times New Roman"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混凝</w:t>
                  </w: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土和预拌砂浆生产企业应当采取下列扬尘污染防治措施：</w:t>
                  </w:r>
                </w:p>
                <w:p w14:paraId="2B7CA1E1">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（一）搅拌楼整体封闭，上料、配料、输送廊道、搅拌等生产过程实行封闭运行，定期对粉料仓收尘装置维护保养；</w:t>
                  </w:r>
                </w:p>
                <w:p w14:paraId="16F80CD5">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（二）硬化出入口及场区地面，并加强清扫、洒水，设置罐车专用清洗设施；</w:t>
                  </w:r>
                </w:p>
                <w:p w14:paraId="565E490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（三）</w:t>
                  </w:r>
                  <w:r>
                    <w:rPr>
                      <w:rFonts w:hint="eastAsia" w:ascii="Times New Roman" w:hAnsi="Times New Roman"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混凝</w:t>
                  </w: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土罐车安装防止水泥浆撒漏接料装置，干混砂浆运输车和砂浆储罐安装除尘装置。</w:t>
                  </w:r>
                </w:p>
                <w:p w14:paraId="3104B8C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第十八条</w:t>
                  </w:r>
                  <w:r>
                    <w:rPr>
                      <w:rFonts w:hint="eastAsia"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装卸和运输渣土、砂石、土方、灰浆、垃圾、煤炭等散装、流体物料的，应当采取下列扬尘污染防治措施：</w:t>
                  </w:r>
                </w:p>
                <w:p w14:paraId="17BAB503">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（一）装卸和运输车辆，应当采取密闭或者其他措施防止物料遗撒，安装限速装置和卫星定位系统；</w:t>
                  </w:r>
                </w:p>
                <w:p w14:paraId="74F89C7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（二）运输车辆在除泥、冲洗干净后方可上路行驶，按照规定的时间、地点、路线和速度行驶；</w:t>
                  </w:r>
                </w:p>
                <w:p w14:paraId="415351B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（三）建设单位、施工单位或者运输单位应当在出土现场和渣土堆场配备现场管理人员，负责运输车辆的保洁、装卸的验收工作；</w:t>
                  </w:r>
                </w:p>
                <w:p w14:paraId="2AB8A94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（四）运输单位和个人应当加强对车辆密闭装置的维护，确保设备正常使用，不得超载，装载物不得超过车厢挡板高度；</w:t>
                  </w:r>
                </w:p>
                <w:p w14:paraId="6B10040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（五）法律、法规规定的其他要求。</w:t>
                  </w:r>
                </w:p>
                <w:p w14:paraId="33065BE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第十九条</w:t>
                  </w:r>
                  <w:r>
                    <w:rPr>
                      <w:rFonts w:hint="eastAsia"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贮存易产生扬尘的煤炭、煤矸石、煤渣、煤灰、水泥、石灰、石膏、砂土等物料的堆场应当密闭；不能密闭的，贮存单位或者个人应当采取下列扬尘污染防治措施：</w:t>
                  </w:r>
                </w:p>
                <w:p w14:paraId="0CA6BBE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（一）对堆场场地、路面进行硬化处理，并保持路面整洁，在出口处设置车辆冲洗设施，车辆冲洗干净后方可驶出；</w:t>
                  </w:r>
                </w:p>
                <w:p w14:paraId="7E0EC8B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（二）堆场周边应当配备高于堆存物料的围挡、防风抑尘网等设施；</w:t>
                  </w:r>
                </w:p>
                <w:p w14:paraId="4DE09FE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（三）根据物料类别采取充分覆盖、喷淋、围挡或者绿化等防尘抑尘措施。</w:t>
                  </w:r>
                </w:p>
                <w:p w14:paraId="25FD98A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Times New Roman" w:hAnsi="Times New Roman" w:eastAsia="宋体" w:cs="Times New Roman"/>
                      <w:b/>
                      <w:bCs/>
                      <w:snapToGrid/>
                      <w:color w:val="000000" w:themeColor="text1"/>
                      <w:spacing w:val="0"/>
                      <w:w w:val="100"/>
                      <w:kern w:val="0"/>
                      <w:positio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露天装卸物料应当采取密闭或者喷淋等防尘措施；输送物料在装料、卸料处配备吸尘、喷淋等防尘设施。</w:t>
                  </w:r>
                </w:p>
              </w:tc>
              <w:tc>
                <w:tcPr>
                  <w:tcW w:w="2120" w:type="dxa"/>
                  <w:tcBorders>
                    <w:tl2br w:val="nil"/>
                    <w:tr2bl w:val="nil"/>
                  </w:tcBorders>
                  <w:noWrap w:val="0"/>
                  <w:vAlign w:val="center"/>
                </w:tcPr>
                <w:p w14:paraId="1C7895A4">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原料堆场粉尘：原料堆场地面进行硬化处理，来往运输车辆用篷布覆盖</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位于厂房内，仅留车辆进出口通道，堆料区、下料区和进出口通道安装喷雾装置进行喷淋作业。原料堆场安装固定式喷雾装置覆盖整个堆场。运输车辆粉尘：地面固化，每日进行地面清洁。运输车辆加盖篷布，严禁超载，杜绝汽车抛洒，保持车体整洁，净车上路。道路两侧设置固定喷雾降尘或移动式雾炮降尘。筒仓进料粉尘：筒仓顶部均设置脉冲式布袋除尘器，筒仓进料粉尘经脉冲式布袋除尘器收集处理后在厂房中自然沉降，以无组织方式排放。</w:t>
                  </w:r>
                </w:p>
                <w:p w14:paraId="5FAA458A">
                  <w:pPr>
                    <w:pStyle w:val="1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ind w:firstLine="0" w:firstLineChars="0"/>
                    <w:jc w:val="both"/>
                    <w:textAlignment w:val="center"/>
                    <w:outlineLvl w:val="9"/>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搅拌粉尘：搅拌机顶部设置布袋除尘器。产生的粉尘经脉冲式布袋除尘器处理后，在厂房内无组织排放。同时，厂房内设置喷雾装置控制皮带输送时产生的原料输送扬尘。在下料斗设置三面围挡，顶部设置喷雾装置进行降尘</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886" w:type="dxa"/>
                  <w:tcBorders>
                    <w:tl2br w:val="nil"/>
                    <w:tr2bl w:val="nil"/>
                  </w:tcBorders>
                  <w:noWrap w:val="0"/>
                  <w:vAlign w:val="center"/>
                </w:tcPr>
                <w:p w14:paraId="32ED2B85">
                  <w:pPr>
                    <w:pStyle w:val="1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ind w:firstLine="0" w:firstLineChars="0"/>
                    <w:textAlignment w:val="center"/>
                    <w:outlineLvl w:val="9"/>
                    <w:rPr>
                      <w:rFonts w:hint="default" w:ascii="Times New Roman" w:hAnsi="Times New Roman" w:eastAsia="宋体" w:cs="Times New Roman"/>
                      <w:b/>
                      <w:bCs/>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0"/>
                      <w:position w:val="0"/>
                      <w:sz w:val="21"/>
                      <w:szCs w:val="21"/>
                      <w:highlight w:val="none"/>
                      <w:lang w:val="en-US" w:eastAsia="zh-CN" w:bidi="ar-SA"/>
                      <w14:textFill>
                        <w14:solidFill>
                          <w14:schemeClr w14:val="tx1"/>
                        </w14:solidFill>
                      </w14:textFill>
                    </w:rPr>
                    <w:t>符合</w:t>
                  </w:r>
                </w:p>
              </w:tc>
            </w:tr>
          </w:tbl>
          <w:p w14:paraId="6902EF60">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default" w:ascii="Times New Roman" w:hAnsi="Times New Roman" w:cs="Times New Roman"/>
                <w:b/>
                <w:snapToGrid/>
                <w:color w:val="000000" w:themeColor="text1"/>
                <w:spacing w:val="0"/>
                <w:kern w:val="0"/>
                <w:position w:val="0"/>
                <w:sz w:val="24"/>
                <w14:textFill>
                  <w14:solidFill>
                    <w14:schemeClr w14:val="tx1"/>
                  </w14:solidFill>
                </w14:textFill>
              </w:rPr>
            </w:pPr>
            <w:r>
              <w:rPr>
                <w:rFonts w:hint="eastAsia" w:cs="Times New Roman"/>
                <w:b/>
                <w:snapToGrid/>
                <w:color w:val="000000" w:themeColor="text1"/>
                <w:spacing w:val="0"/>
                <w:kern w:val="0"/>
                <w:position w:val="0"/>
                <w:sz w:val="24"/>
                <w:lang w:val="en-US" w:eastAsia="zh-CN"/>
                <w14:textFill>
                  <w14:solidFill>
                    <w14:schemeClr w14:val="tx1"/>
                  </w14:solidFill>
                </w14:textFill>
              </w:rPr>
              <w:t>6</w:t>
            </w:r>
            <w:r>
              <w:rPr>
                <w:rFonts w:hint="default" w:ascii="Times New Roman" w:hAnsi="Times New Roman" w:cs="Times New Roman"/>
                <w:b/>
                <w:snapToGrid/>
                <w:color w:val="000000" w:themeColor="text1"/>
                <w:spacing w:val="0"/>
                <w:kern w:val="0"/>
                <w:position w:val="0"/>
                <w:sz w:val="24"/>
                <w14:textFill>
                  <w14:solidFill>
                    <w14:schemeClr w14:val="tx1"/>
                  </w14:solidFill>
                </w14:textFill>
              </w:rPr>
              <w:t>、选址合理性分析</w:t>
            </w:r>
          </w:p>
          <w:p w14:paraId="49339239">
            <w:pPr>
              <w:autoSpaceDE w:val="0"/>
              <w:autoSpaceDN w:val="0"/>
              <w:spacing w:line="360" w:lineRule="auto"/>
              <w:ind w:firstLine="480" w:firstLineChars="200"/>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（1）选址合理性</w:t>
            </w:r>
          </w:p>
          <w:p w14:paraId="0765BDF7">
            <w:pPr>
              <w:autoSpaceDE w:val="0"/>
              <w:autoSpaceDN w:val="0"/>
              <w:spacing w:line="360" w:lineRule="auto"/>
              <w:ind w:firstLine="480" w:firstLineChars="200"/>
              <w:rPr>
                <w:rFonts w:hint="default" w:ascii="Times New Roman" w:hAnsi="Times New Roman" w:cs="Times New Roman"/>
                <w:snapToGrid/>
                <w:color w:val="000000" w:themeColor="text1"/>
                <w:spacing w:val="0"/>
                <w:kern w:val="0"/>
                <w:position w:val="0"/>
                <w:sz w:val="24"/>
                <w14:textFill>
                  <w14:solidFill>
                    <w14:schemeClr w14:val="tx1"/>
                  </w14:solidFill>
                </w14:textFill>
              </w:rPr>
            </w:pP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cs="Times New Roman"/>
                <w:snapToGrid/>
                <w:color w:val="000000" w:themeColor="text1"/>
                <w:spacing w:val="0"/>
                <w:kern w:val="0"/>
                <w:position w:val="0"/>
                <w:sz w:val="24"/>
                <w14:textFill>
                  <w14:solidFill>
                    <w14:schemeClr w14:val="tx1"/>
                  </w14:solidFill>
                </w14:textFill>
              </w:rPr>
              <w:t>项目位于</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r>
              <w:rPr>
                <w:rFonts w:hint="default" w:ascii="Times New Roman" w:hAnsi="Times New Roman" w:cs="Times New Roman"/>
                <w:snapToGrid/>
                <w:color w:val="000000" w:themeColor="text1"/>
                <w:spacing w:val="0"/>
                <w:kern w:val="0"/>
                <w:position w:val="0"/>
                <w:sz w:val="24"/>
                <w14:textFill>
                  <w14:solidFill>
                    <w14:schemeClr w14:val="tx1"/>
                  </w14:solidFill>
                </w14:textFill>
              </w:rPr>
              <w:t>，用地性质为工业用地。周边环境质量良好，基础设施（路、水、电等）配套较完善，项目区域内无需要保护的文物古迹、珍稀动植物，周围环境较简单，周围无重大污染源区，所在地环境空气质量现状符合功能区区划要求，地表水水质现状符合水环境功能区划要求，区域声</w:t>
            </w:r>
            <w:r>
              <w:rPr>
                <w:rFonts w:hint="eastAsia" w:cs="Times New Roman"/>
                <w:snapToGrid/>
                <w:color w:val="000000" w:themeColor="text1"/>
                <w:spacing w:val="0"/>
                <w:kern w:val="0"/>
                <w:position w:val="0"/>
                <w:sz w:val="24"/>
                <w:lang w:val="en-US" w:eastAsia="zh-CN"/>
                <w14:textFill>
                  <w14:solidFill>
                    <w14:schemeClr w14:val="tx1"/>
                  </w14:solidFill>
                </w14:textFill>
              </w:rPr>
              <w:t>环境</w:t>
            </w:r>
            <w:r>
              <w:rPr>
                <w:rFonts w:hint="default" w:ascii="Times New Roman" w:hAnsi="Times New Roman" w:cs="Times New Roman"/>
                <w:snapToGrid/>
                <w:color w:val="000000" w:themeColor="text1"/>
                <w:spacing w:val="0"/>
                <w:kern w:val="0"/>
                <w:position w:val="0"/>
                <w:sz w:val="24"/>
                <w14:textFill>
                  <w14:solidFill>
                    <w14:schemeClr w14:val="tx1"/>
                  </w14:solidFill>
                </w14:textFill>
              </w:rPr>
              <w:t>现状符合声环境功能区划要求，环境容量满足</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cs="Times New Roman"/>
                <w:snapToGrid/>
                <w:color w:val="000000" w:themeColor="text1"/>
                <w:spacing w:val="0"/>
                <w:kern w:val="0"/>
                <w:position w:val="0"/>
                <w:sz w:val="24"/>
                <w14:textFill>
                  <w14:solidFill>
                    <w14:schemeClr w14:val="tx1"/>
                  </w14:solidFill>
                </w14:textFill>
              </w:rPr>
              <w:t>项目建设的需要。</w:t>
            </w:r>
          </w:p>
          <w:p w14:paraId="3C1C82C1">
            <w:pPr>
              <w:autoSpaceDE w:val="0"/>
              <w:autoSpaceDN w:val="0"/>
              <w:spacing w:line="360" w:lineRule="auto"/>
              <w:ind w:firstLine="480" w:firstLineChars="200"/>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（2）与周边环境的相容性</w:t>
            </w:r>
          </w:p>
          <w:p w14:paraId="018B4B76">
            <w:pPr>
              <w:shd w:val="clear"/>
              <w:autoSpaceDE w:val="0"/>
              <w:autoSpaceDN w:val="0"/>
              <w:spacing w:line="360" w:lineRule="auto"/>
              <w:ind w:firstLine="480" w:firstLineChars="200"/>
              <w:rPr>
                <w:rFonts w:hint="eastAsia"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根据现场踏勘可知，</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本项目</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北侧为</w:t>
            </w:r>
            <w:r>
              <w:rPr>
                <w:rFonts w:hint="eastAsia" w:cs="Times New Roman"/>
                <w:snapToGrid/>
                <w:color w:val="000000" w:themeColor="text1"/>
                <w:spacing w:val="0"/>
                <w:kern w:val="0"/>
                <w:position w:val="0"/>
                <w:sz w:val="24"/>
                <w:lang w:val="en-US" w:eastAsia="zh-CN"/>
                <w14:textFill>
                  <w14:solidFill>
                    <w14:schemeClr w14:val="tx1"/>
                  </w14:solidFill>
                </w14:textFill>
              </w:rPr>
              <w:t>“宁都县城区建筑垃圾消纳及资源化利用处置场建设项目”，南侧为工业用地（未开发），西侧及东侧为林地</w:t>
            </w:r>
            <w:r>
              <w:rPr>
                <w:rFonts w:hint="eastAsia" w:cs="Times New Roman"/>
                <w:snapToGrid/>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以</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厂界</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为中心划定50m的卫生防护距离，在此防护距离范围内</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现</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无居民</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区及居民点</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，不涉及拆迁。为最大减轻对周围环境的影响，环评要求</w:t>
            </w:r>
            <w:r>
              <w:rPr>
                <w:rFonts w:hint="eastAsia" w:ascii="Times New Roman" w:hAnsi="Times New Roman" w:eastAsia="宋体" w:cs="Times New Roman"/>
                <w:snapToGrid/>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今后在卫生防护距离内不应新建住宅、学校、医院等环境敏感设施</w:t>
            </w:r>
            <w:r>
              <w:rPr>
                <w:rFonts w:hint="eastAsia" w:cs="Times New Roman"/>
                <w:snapToGrid/>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不宜建设食品、医药等企业，以免产生不良影响。</w:t>
            </w:r>
            <w:r>
              <w:rPr>
                <w:rFonts w:hint="eastAsia" w:ascii="Times New Roman" w:hAnsi="Times New Roman" w:eastAsia="宋体" w:cs="Times New Roman"/>
                <w:snapToGrid/>
                <w:color w:val="000000" w:themeColor="text1"/>
                <w:spacing w:val="0"/>
                <w:kern w:val="0"/>
                <w:position w:val="0"/>
                <w:sz w:val="24"/>
                <w14:textFill>
                  <w14:solidFill>
                    <w14:schemeClr w14:val="tx1"/>
                  </w14:solidFill>
                </w14:textFill>
              </w:rPr>
              <w:t>本项目在正常排放情况下</w:t>
            </w:r>
            <w:r>
              <w:rPr>
                <w:rFonts w:hint="eastAsia" w:cs="Times New Roman"/>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14:textFill>
                  <w14:solidFill>
                    <w14:schemeClr w14:val="tx1"/>
                  </w14:solidFill>
                </w14:textFill>
              </w:rPr>
              <w:t>大气污染</w:t>
            </w:r>
            <w:r>
              <w:rPr>
                <w:rFonts w:hint="eastAsia" w:cs="Times New Roman"/>
                <w:snapToGrid/>
                <w:color w:val="000000" w:themeColor="text1"/>
                <w:spacing w:val="0"/>
                <w:kern w:val="0"/>
                <w:position w:val="0"/>
                <w:sz w:val="24"/>
                <w:lang w:val="en-US" w:eastAsia="zh-CN"/>
                <w14:textFill>
                  <w14:solidFill>
                    <w14:schemeClr w14:val="tx1"/>
                  </w14:solidFill>
                </w14:textFill>
              </w:rPr>
              <w:t>物</w:t>
            </w:r>
            <w:r>
              <w:rPr>
                <w:rFonts w:hint="eastAsia" w:ascii="Times New Roman" w:hAnsi="Times New Roman" w:eastAsia="宋体" w:cs="Times New Roman"/>
                <w:snapToGrid/>
                <w:color w:val="000000" w:themeColor="text1"/>
                <w:spacing w:val="0"/>
                <w:kern w:val="0"/>
                <w:position w:val="0"/>
                <w:sz w:val="24"/>
                <w14:textFill>
                  <w14:solidFill>
                    <w14:schemeClr w14:val="tx1"/>
                  </w14:solidFill>
                </w14:textFill>
              </w:rPr>
              <w:t>对周围大气环境贡献值均远低于相应质量标准要求，对外界大气</w:t>
            </w:r>
            <w:r>
              <w:rPr>
                <w:rFonts w:hint="eastAsia" w:cs="Times New Roman"/>
                <w:snapToGrid/>
                <w:color w:val="000000" w:themeColor="text1"/>
                <w:spacing w:val="0"/>
                <w:kern w:val="0"/>
                <w:position w:val="0"/>
                <w:sz w:val="24"/>
                <w:lang w:eastAsia="zh-CN"/>
                <w14:textFill>
                  <w14:solidFill>
                    <w14:schemeClr w14:val="tx1"/>
                  </w14:solidFill>
                </w14:textFill>
              </w:rPr>
              <w:t>环境影响</w:t>
            </w:r>
            <w:r>
              <w:rPr>
                <w:rFonts w:hint="eastAsia" w:ascii="Times New Roman" w:hAnsi="Times New Roman" w:eastAsia="宋体" w:cs="Times New Roman"/>
                <w:snapToGrid/>
                <w:color w:val="000000" w:themeColor="text1"/>
                <w:spacing w:val="0"/>
                <w:kern w:val="0"/>
                <w:position w:val="0"/>
                <w:sz w:val="24"/>
                <w14:textFill>
                  <w14:solidFill>
                    <w14:schemeClr w14:val="tx1"/>
                  </w14:solidFill>
                </w14:textFill>
              </w:rPr>
              <w:t>较小</w:t>
            </w:r>
            <w:r>
              <w:rPr>
                <w:rFonts w:hint="eastAsia"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t>。</w:t>
            </w:r>
          </w:p>
          <w:p w14:paraId="39A89AA8">
            <w:pPr>
              <w:shd w:val="clea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综上所述</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项目对外环境无明显制约因素，选址合理。</w:t>
            </w:r>
          </w:p>
          <w:p w14:paraId="5607CC9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napToGrid/>
                <w:color w:val="000000" w:themeColor="text1"/>
                <w:spacing w:val="0"/>
                <w:kern w:val="0"/>
                <w:position w:val="0"/>
                <w:sz w:val="24"/>
                <w14:textFill>
                  <w14:solidFill>
                    <w14:schemeClr w14:val="tx1"/>
                  </w14:solidFill>
                </w14:textFill>
              </w:rPr>
            </w:pPr>
            <w:r>
              <w:rPr>
                <w:rFonts w:hint="eastAsia" w:cs="Times New Roman"/>
                <w:b/>
                <w:snapToGrid/>
                <w:color w:val="000000" w:themeColor="text1"/>
                <w:spacing w:val="0"/>
                <w:kern w:val="0"/>
                <w:position w:val="0"/>
                <w:sz w:val="24"/>
                <w:lang w:val="en-US" w:eastAsia="zh-CN"/>
                <w14:textFill>
                  <w14:solidFill>
                    <w14:schemeClr w14:val="tx1"/>
                  </w14:solidFill>
                </w14:textFill>
              </w:rPr>
              <w:t>7</w:t>
            </w:r>
            <w:r>
              <w:rPr>
                <w:rFonts w:hint="default" w:ascii="Times New Roman" w:hAnsi="Times New Roman" w:cs="Times New Roman"/>
                <w:b/>
                <w:snapToGrid/>
                <w:color w:val="000000" w:themeColor="text1"/>
                <w:spacing w:val="0"/>
                <w:kern w:val="0"/>
                <w:position w:val="0"/>
                <w:sz w:val="24"/>
                <w14:textFill>
                  <w14:solidFill>
                    <w14:schemeClr w14:val="tx1"/>
                  </w14:solidFill>
                </w14:textFill>
              </w:rPr>
              <w:t>、总平面布置合理性分析</w:t>
            </w:r>
          </w:p>
          <w:p w14:paraId="158903EC">
            <w:pP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根据</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厂区平面布置图</w:t>
            </w:r>
            <w:r>
              <w:rPr>
                <w:rFonts w:hint="eastAsia" w:cs="Times New Roman"/>
                <w:snapToGrid/>
                <w:color w:val="000000" w:themeColor="text1"/>
                <w:spacing w:val="0"/>
                <w:kern w:val="0"/>
                <w:position w:val="0"/>
                <w:sz w:val="24"/>
                <w:lang w:val="en-US" w:eastAsia="zh-CN"/>
                <w14:textFill>
                  <w14:solidFill>
                    <w14:schemeClr w14:val="tx1"/>
                  </w14:solidFill>
                </w14:textFill>
              </w:rPr>
              <w:t>（见附图 2）</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本项目地块呈矩形，各生产单元均设置于厂房内，由南向北主要布置辅助用房、设备楼及料仓。厂区</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充分利用</w:t>
            </w:r>
            <w:r>
              <w:rPr>
                <w:rFonts w:hint="eastAsia" w:cs="Times New Roman"/>
                <w:snapToGrid/>
                <w:color w:val="000000" w:themeColor="text1"/>
                <w:spacing w:val="0"/>
                <w:kern w:val="0"/>
                <w:position w:val="0"/>
                <w:sz w:val="24"/>
                <w:lang w:val="en-US" w:eastAsia="zh-CN"/>
                <w14:textFill>
                  <w14:solidFill>
                    <w14:schemeClr w14:val="tx1"/>
                  </w14:solidFill>
                </w14:textFill>
              </w:rPr>
              <w:t>了项目生产工艺的流程</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特点进行</w:t>
            </w:r>
            <w:r>
              <w:rPr>
                <w:rFonts w:hint="eastAsia" w:cs="Times New Roman"/>
                <w:snapToGrid/>
                <w:color w:val="000000" w:themeColor="text1"/>
                <w:spacing w:val="0"/>
                <w:kern w:val="0"/>
                <w:position w:val="0"/>
                <w:sz w:val="24"/>
                <w:lang w:val="en-US" w:eastAsia="zh-CN"/>
                <w14:textFill>
                  <w14:solidFill>
                    <w14:schemeClr w14:val="tx1"/>
                  </w14:solidFill>
                </w14:textFill>
              </w:rPr>
              <w:t>布置</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，各生产环节之间的物料输送在减少动力消耗的基础上合理布局，且均满足运输、防火、防、安全、卫生、环保、绿化和设置管线等规范要求。</w:t>
            </w:r>
          </w:p>
          <w:p w14:paraId="5EBB83EA">
            <w:pP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因此</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项目平面布置具有合理性。</w:t>
            </w:r>
          </w:p>
          <w:p w14:paraId="4C552ECE">
            <w:pP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2A9ACC1">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58429D10">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0546DF0F">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62E096C">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5D0069F1">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197BEAE">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0540406">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36150E9">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3185CB7F">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5536A75">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A8FAD8C">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2115952">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8F7654A">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0A3562E">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099F8D46">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C7AFD27">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BEFA905">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BA440FF">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28FC02F">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06C6CDF">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B495EB1">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4A53C5C">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08FA3A5">
            <w:pP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5E9DD17">
            <w:pPr>
              <w:pStyle w:val="9"/>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59FAE289">
            <w:pPr>
              <w:rPr>
                <w:rFonts w:hint="default"/>
                <w:lang w:val="en-US" w:eastAsia="zh-CN"/>
              </w:rPr>
            </w:pPr>
          </w:p>
          <w:p w14:paraId="187D75BB">
            <w:pP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58914F9">
            <w:pPr>
              <w:rPr>
                <w:rFonts w:hint="eastAsia"/>
                <w:color w:val="000000" w:themeColor="text1"/>
                <w:lang w:val="en-US" w:eastAsia="zh-CN"/>
                <w14:textFill>
                  <w14:solidFill>
                    <w14:schemeClr w14:val="tx1"/>
                  </w14:solidFill>
                </w14:textFill>
              </w:rPr>
            </w:pPr>
          </w:p>
          <w:p w14:paraId="349C9386">
            <w:pPr>
              <w:autoSpaceDE w:val="0"/>
              <w:autoSpaceDN w:val="0"/>
              <w:spacing w:line="360" w:lineRule="auto"/>
              <w:ind w:firstLine="480" w:firstLineChars="200"/>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tc>
      </w:tr>
    </w:tbl>
    <w:p w14:paraId="3DFA6242">
      <w:pPr>
        <w:spacing w:line="360" w:lineRule="auto"/>
        <w:outlineLvl w:val="0"/>
        <w:rPr>
          <w:rFonts w:eastAsia="黑体"/>
          <w:snapToGrid/>
          <w:color w:val="000000" w:themeColor="text1"/>
          <w:spacing w:val="0"/>
          <w:kern w:val="0"/>
          <w:position w:val="0"/>
          <w:sz w:val="30"/>
          <w14:textFill>
            <w14:solidFill>
              <w14:schemeClr w14:val="tx1"/>
            </w14:solidFill>
          </w14:textFill>
        </w:rPr>
        <w:sectPr>
          <w:headerReference r:id="rId5" w:type="default"/>
          <w:footerReference r:id="rId6" w:type="default"/>
          <w:pgSz w:w="11906" w:h="16838"/>
          <w:pgMar w:top="1531" w:right="1531" w:bottom="1531" w:left="1531" w:header="964" w:footer="1020" w:gutter="0"/>
          <w:pgBorders>
            <w:top w:val="none" w:sz="0" w:space="0"/>
            <w:left w:val="none" w:sz="0" w:space="0"/>
            <w:bottom w:val="none" w:sz="0" w:space="0"/>
            <w:right w:val="none" w:sz="0" w:space="0"/>
          </w:pgBorders>
          <w:pgNumType w:fmt="decimal" w:start="1"/>
          <w:cols w:space="720" w:num="1"/>
          <w:docGrid w:linePitch="312" w:charSpace="0"/>
        </w:sectPr>
      </w:pPr>
    </w:p>
    <w:p w14:paraId="4B3CA9CB">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pPr>
      <w:bookmarkStart w:id="5" w:name="_Toc30157"/>
      <w:r>
        <w:rPr>
          <w:rFonts w:hint="eastAsia" w:ascii="黑体" w:hAnsi="黑体" w:eastAsia="黑体"/>
          <w:snapToGrid/>
          <w:color w:val="000000" w:themeColor="text1"/>
          <w:spacing w:val="0"/>
          <w:kern w:val="0"/>
          <w:position w:val="0"/>
          <w:sz w:val="30"/>
          <w:szCs w:val="30"/>
          <w14:textFill>
            <w14:solidFill>
              <w14:schemeClr w14:val="tx1"/>
            </w14:solidFill>
          </w14:textFill>
        </w:rPr>
        <w:t>二、建设项目工程分析</w:t>
      </w:r>
      <w:bookmarkEnd w:id="5"/>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38"/>
      </w:tblGrid>
      <w:tr w14:paraId="0DF1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tcBorders>
              <w:tl2br w:val="nil"/>
              <w:tr2bl w:val="nil"/>
            </w:tcBorders>
            <w:noWrap w:val="0"/>
            <w:vAlign w:val="center"/>
          </w:tcPr>
          <w:p w14:paraId="6F04AFBF">
            <w:pPr>
              <w:pStyle w:val="23"/>
              <w:adjustRightInd w:val="0"/>
              <w:snapToGrid w:val="0"/>
              <w:spacing w:before="0" w:beforeAutospacing="0" w:after="0" w:afterAutospacing="0"/>
              <w:jc w:val="center"/>
              <w:rPr>
                <w:rFonts w:cs="宋体"/>
                <w:snapToGrid/>
                <w:color w:val="000000" w:themeColor="text1"/>
                <w:spacing w:val="0"/>
                <w:kern w:val="0"/>
                <w:position w:val="0"/>
                <w:sz w:val="24"/>
                <w:szCs w:val="24"/>
                <w14:textFill>
                  <w14:solidFill>
                    <w14:schemeClr w14:val="tx1"/>
                  </w14:solidFill>
                </w14:textFill>
              </w:rPr>
            </w:pPr>
            <w:r>
              <w:rPr>
                <w:rFonts w:hint="eastAsia" w:cs="宋体"/>
                <w:snapToGrid/>
                <w:color w:val="000000" w:themeColor="text1"/>
                <w:spacing w:val="0"/>
                <w:kern w:val="0"/>
                <w:position w:val="0"/>
                <w:sz w:val="24"/>
                <w:szCs w:val="24"/>
                <w14:textFill>
                  <w14:solidFill>
                    <w14:schemeClr w14:val="tx1"/>
                  </w14:solidFill>
                </w14:textFill>
              </w:rPr>
              <w:t>建设内容</w:t>
            </w:r>
          </w:p>
        </w:tc>
        <w:tc>
          <w:tcPr>
            <w:tcW w:w="8338" w:type="dxa"/>
            <w:tcBorders>
              <w:tl2br w:val="nil"/>
              <w:tr2bl w:val="nil"/>
            </w:tcBorders>
            <w:noWrap w:val="0"/>
            <w:vAlign w:val="top"/>
          </w:tcPr>
          <w:p w14:paraId="60B14AE4">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snapToGrid/>
                <w:color w:val="000000" w:themeColor="text1"/>
                <w:spacing w:val="0"/>
                <w:kern w:val="0"/>
                <w:position w:val="0"/>
                <w:sz w:val="24"/>
                <w:szCs w:val="24"/>
                <w:lang w:val="en-US" w:eastAsia="zh-CN"/>
                <w14:textFill>
                  <w14:solidFill>
                    <w14:schemeClr w14:val="tx1"/>
                  </w14:solidFill>
                </w14:textFill>
              </w:rPr>
              <w:t>1、项目由来</w:t>
            </w:r>
          </w:p>
          <w:p w14:paraId="5487C7A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宁都县城市建设投资集团有限公司投资</w:t>
            </w:r>
            <w:r>
              <w:rPr>
                <w:rFonts w:hint="eastAsia" w:cs="Times New Roman"/>
                <w:snapToGrid/>
                <w:color w:val="000000" w:themeColor="text1"/>
                <w:spacing w:val="0"/>
                <w:kern w:val="0"/>
                <w:position w:val="0"/>
                <w:sz w:val="24"/>
                <w:szCs w:val="24"/>
                <w:lang w:val="en-US" w:eastAsia="zh-CN"/>
                <w14:textFill>
                  <w14:solidFill>
                    <w14:schemeClr w14:val="tx1"/>
                  </w14:solidFill>
                </w14:textFill>
              </w:rPr>
              <w:t>6000万元，在</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江西省赣州市宁都县梅江镇土围村下枝坊组建设“</w:t>
            </w: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宁都县城投混凝土有限公司年产60万立方商品混凝土搅拌站项目</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规划用地为41932.11m</w:t>
            </w:r>
            <w:r>
              <w:rPr>
                <w:rFonts w:hint="eastAsia" w:ascii="Times New Roman" w:hAnsi="Times New Roman" w:eastAsia="宋体"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建设有1#</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料仓</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料仓</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设备楼</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设备楼</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辅助用房</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实验室</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等工程</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，购置混凝土生产线2条、预拌砂浆生产线1条及其他辅助设备</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建成后可达年产商品混凝</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土</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60万m</w:t>
            </w:r>
            <w:r>
              <w:rPr>
                <w:rFonts w:hint="eastAsia" w:ascii="Times New Roman" w:hAnsi="Times New Roman" w:eastAsia="宋体"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、预拌砂浆10万m</w:t>
            </w:r>
            <w:r>
              <w:rPr>
                <w:rFonts w:hint="eastAsia" w:ascii="Times New Roman" w:hAnsi="Times New Roman" w:eastAsia="宋体"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的生产能力。</w:t>
            </w:r>
          </w:p>
          <w:p w14:paraId="1FC944C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根据《中华人民共和国环境保护法</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建设项目环境保护管理条例》（国务院682号令）等文件的有关规定，</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本项目需进行环境影响评价。</w:t>
            </w:r>
            <w:r>
              <w:rPr>
                <w:rFonts w:hint="eastAsia" w:cs="Times New Roman"/>
                <w:snapToGrid/>
                <w:color w:val="000000" w:themeColor="text1"/>
                <w:spacing w:val="0"/>
                <w:kern w:val="0"/>
                <w:position w:val="0"/>
                <w:sz w:val="24"/>
                <w:lang w:val="en-US" w:eastAsia="zh-CN"/>
                <w14:textFill>
                  <w14:solidFill>
                    <w14:schemeClr w14:val="tx1"/>
                  </w14:solidFill>
                </w14:textFill>
              </w:rPr>
              <w:t>宁都县城市建设投资集团有限公司</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委托</w:t>
            </w:r>
            <w:r>
              <w:rPr>
                <w:rFonts w:hint="eastAsia" w:cs="Times New Roman"/>
                <w:snapToGrid/>
                <w:color w:val="000000" w:themeColor="text1"/>
                <w:spacing w:val="0"/>
                <w:kern w:val="0"/>
                <w:position w:val="0"/>
                <w:sz w:val="24"/>
                <w:lang w:val="en-US" w:eastAsia="zh-CN"/>
                <w14:textFill>
                  <w14:solidFill>
                    <w14:schemeClr w14:val="tx1"/>
                  </w14:solidFill>
                </w14:textFill>
              </w:rPr>
              <w:t>环咨</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（赣州）环境工程有限公司</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进行</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本</w:t>
            </w:r>
            <w:r>
              <w:rPr>
                <w:rFonts w:hint="eastAsia" w:cs="Times New Roman"/>
                <w:snapToGrid/>
                <w:color w:val="000000" w:themeColor="text1"/>
                <w:spacing w:val="0"/>
                <w:kern w:val="0"/>
                <w:position w:val="0"/>
                <w:sz w:val="24"/>
                <w:szCs w:val="24"/>
                <w:highlight w:val="none"/>
                <w:lang w:val="en-US" w:eastAsia="zh-CN"/>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的环境影响评价工作。对照《国民经济行业代码》（GB/T4754-2017），本项目所属行业类别为</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C3021 水泥制品制造、C3029 其他水泥类似制品制造</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，对照《建设项目环境影响评价分类管理名录》（2021年版）</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，本项目属于分类管理目录中的“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二十七、非金属矿物制品业30，55.石膏、水泥制品及类似制品制造302，商品混凝土；水泥制品制造</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”，应编制环境影响报告表。</w:t>
            </w:r>
          </w:p>
          <w:p w14:paraId="6CA0B4B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snapToGrid/>
                <w:color w:val="000000" w:themeColor="text1"/>
                <w:spacing w:val="0"/>
                <w:kern w:val="0"/>
                <w:position w:val="0"/>
                <w:sz w:val="24"/>
                <w:szCs w:val="24"/>
                <w:highlight w:val="none"/>
                <w:lang w:val="en-US" w:eastAsia="zh-CN"/>
                <w14:textFill>
                  <w14:solidFill>
                    <w14:schemeClr w14:val="tx1"/>
                  </w14:solidFill>
                </w14:textFill>
              </w:rPr>
              <w:t>2</w:t>
            </w:r>
            <w:r>
              <w:rPr>
                <w:rFonts w:hint="eastAsia"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t>、</w:t>
            </w:r>
            <w:r>
              <w:rPr>
                <w:rFonts w:hint="eastAsia" w:cs="Times New Roman"/>
                <w:b/>
                <w:snapToGrid/>
                <w:color w:val="000000" w:themeColor="text1"/>
                <w:spacing w:val="0"/>
                <w:kern w:val="0"/>
                <w:position w:val="0"/>
                <w:sz w:val="24"/>
                <w:szCs w:val="24"/>
                <w:highlight w:val="none"/>
                <w:lang w:val="en-US" w:eastAsia="zh-CN"/>
                <w14:textFill>
                  <w14:solidFill>
                    <w14:schemeClr w14:val="tx1"/>
                  </w14:solidFill>
                </w14:textFill>
              </w:rPr>
              <w:t>项目</w:t>
            </w:r>
            <w:r>
              <w:rPr>
                <w:rFonts w:hint="eastAsia"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t>概况</w:t>
            </w:r>
          </w:p>
          <w:p w14:paraId="2DA8BF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项目名称</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宁都县城投混凝土有限公司年产60万立方商品混凝土搅拌站项目；</w:t>
            </w:r>
          </w:p>
          <w:p w14:paraId="2E4DCF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建设单位</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宁都县城市建设投资集团有限公司</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w:t>
            </w:r>
          </w:p>
          <w:p w14:paraId="46C22E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建设性质</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新建</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p>
          <w:p w14:paraId="391B12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项目投资</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项目总投资</w:t>
            </w:r>
            <w:r>
              <w:rPr>
                <w:rFonts w:hint="eastAsia" w:cs="Times New Roman"/>
                <w:snapToGrid/>
                <w:color w:val="000000" w:themeColor="text1"/>
                <w:spacing w:val="0"/>
                <w:kern w:val="0"/>
                <w:position w:val="0"/>
                <w:sz w:val="24"/>
                <w:lang w:val="en-US" w:eastAsia="zh-CN"/>
                <w14:textFill>
                  <w14:solidFill>
                    <w14:schemeClr w14:val="tx1"/>
                  </w14:solidFill>
                </w14:textFill>
              </w:rPr>
              <w:t>6000</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万元，其中环保投资</w:t>
            </w:r>
            <w:r>
              <w:rPr>
                <w:rFonts w:hint="eastAsia" w:cs="Times New Roman"/>
                <w:snapToGrid/>
                <w:color w:val="000000" w:themeColor="text1"/>
                <w:spacing w:val="0"/>
                <w:kern w:val="0"/>
                <w:position w:val="0"/>
                <w:sz w:val="24"/>
                <w:lang w:val="en-US" w:eastAsia="zh-CN"/>
                <w14:textFill>
                  <w14:solidFill>
                    <w14:schemeClr w14:val="tx1"/>
                  </w14:solidFill>
                </w14:textFill>
              </w:rPr>
              <w:t>150</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万元，占总投资的</w:t>
            </w:r>
            <w:r>
              <w:rPr>
                <w:rFonts w:hint="eastAsia" w:cs="Times New Roman"/>
                <w:snapToGrid/>
                <w:color w:val="000000" w:themeColor="text1"/>
                <w:spacing w:val="0"/>
                <w:kern w:val="0"/>
                <w:position w:val="0"/>
                <w:sz w:val="24"/>
                <w:lang w:val="en-US" w:eastAsia="zh-CN"/>
                <w14:textFill>
                  <w14:solidFill>
                    <w14:schemeClr w14:val="tx1"/>
                  </w14:solidFill>
                </w14:textFill>
              </w:rPr>
              <w:t>2.5</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4E3328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建设地</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点</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厂</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区</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中心地理坐标为</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东经</w:t>
            </w:r>
            <w:r>
              <w:rPr>
                <w:rFonts w:hint="default" w:ascii="Times New Roman" w:hAnsi="Times New Roman" w:cs="Times New Roman"/>
                <w:snapToGrid/>
                <w:color w:val="000000" w:themeColor="text1"/>
                <w:spacing w:val="0"/>
                <w:kern w:val="0"/>
                <w:position w:val="0"/>
                <w:sz w:val="24"/>
                <w:szCs w:val="24"/>
                <w:u w:val="none"/>
                <w:shd w:val="clear" w:color="auto" w:fill="auto"/>
                <w:lang w:eastAsia="zh-CN"/>
                <w14:textFill>
                  <w14:solidFill>
                    <w14:schemeClr w14:val="tx1"/>
                  </w14:solidFill>
                </w14:textFill>
              </w:rPr>
              <w:t>115°59′2.044″</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，北纬</w:t>
            </w:r>
            <w:r>
              <w:rPr>
                <w:rFonts w:hint="default" w:ascii="Times New Roman" w:hAnsi="Times New Roman" w:cs="Times New Roman"/>
                <w:snapToGrid/>
                <w:color w:val="000000" w:themeColor="text1"/>
                <w:spacing w:val="0"/>
                <w:kern w:val="0"/>
                <w:position w:val="0"/>
                <w:sz w:val="24"/>
                <w:szCs w:val="24"/>
                <w:u w:val="none"/>
                <w:shd w:val="clear" w:color="auto" w:fill="auto"/>
                <w:lang w:val="en-US" w:eastAsia="zh-CN"/>
                <w14:textFill>
                  <w14:solidFill>
                    <w14:schemeClr w14:val="tx1"/>
                  </w14:solidFill>
                </w14:textFill>
              </w:rPr>
              <w:t>26°27′3.983″</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项目地理位置</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详见附图</w:t>
            </w:r>
            <w:r>
              <w:rPr>
                <w:rFonts w:hint="eastAsia" w:cs="Times New Roman"/>
                <w:snapToGrid/>
                <w:color w:val="000000" w:themeColor="text1"/>
                <w:spacing w:val="0"/>
                <w:kern w:val="0"/>
                <w:position w:val="0"/>
                <w:sz w:val="24"/>
                <w:lang w:val="en-US" w:eastAsia="zh-CN"/>
                <w14:textFill>
                  <w14:solidFill>
                    <w14:schemeClr w14:val="tx1"/>
                  </w14:solidFill>
                </w14:textFill>
              </w:rPr>
              <w:t xml:space="preserve"> </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p>
          <w:p w14:paraId="33029E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占地</w:t>
            </w:r>
            <w:r>
              <w:rPr>
                <w:rFonts w:hint="eastAsia" w:cs="Times New Roman"/>
                <w:snapToGrid/>
                <w:color w:val="000000" w:themeColor="text1"/>
                <w:spacing w:val="0"/>
                <w:kern w:val="0"/>
                <w:position w:val="0"/>
                <w:sz w:val="24"/>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占地面积为</w:t>
            </w:r>
            <w:r>
              <w:rPr>
                <w:rFonts w:hint="eastAsia" w:cs="Times New Roman"/>
                <w:color w:val="000000" w:themeColor="text1"/>
                <w:sz w:val="24"/>
                <w:lang w:val="en-US" w:eastAsia="zh-CN"/>
                <w14:textFill>
                  <w14:solidFill>
                    <w14:schemeClr w14:val="tx1"/>
                  </w14:solidFill>
                </w14:textFill>
              </w:rPr>
              <w:t>41932.11</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m</w:t>
            </w:r>
            <w:r>
              <w:rPr>
                <w:rFonts w:hint="eastAsia" w:ascii="Times New Roman" w:hAnsi="Times New Roman" w:eastAsia="宋体" w:cs="Times New Roman"/>
                <w:snapToGrid/>
                <w:color w:val="000000" w:themeColor="text1"/>
                <w:spacing w:val="0"/>
                <w:kern w:val="0"/>
                <w:position w:val="0"/>
                <w:sz w:val="24"/>
                <w:vertAlign w:val="superscript"/>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规划条件通知书</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见</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附件</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 xml:space="preserve"> 3</w:t>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w:t>
            </w:r>
          </w:p>
          <w:p w14:paraId="46C74B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本项目的建设情况见表2-1。</w:t>
            </w:r>
          </w:p>
          <w:p w14:paraId="706595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-1  建设项目组成一览表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445"/>
              <w:gridCol w:w="5533"/>
            </w:tblGrid>
            <w:tr w14:paraId="5BAC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tcBorders>
                    <w:tl2br w:val="nil"/>
                    <w:tr2bl w:val="nil"/>
                  </w:tcBorders>
                  <w:noWrap w:val="0"/>
                  <w:vAlign w:val="center"/>
                </w:tcPr>
                <w:p w14:paraId="09A9F1D8">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工程类别</w:t>
                  </w:r>
                </w:p>
              </w:tc>
              <w:tc>
                <w:tcPr>
                  <w:tcW w:w="890" w:type="pct"/>
                  <w:tcBorders>
                    <w:tl2br w:val="nil"/>
                    <w:tr2bl w:val="nil"/>
                  </w:tcBorders>
                  <w:noWrap w:val="0"/>
                  <w:vAlign w:val="center"/>
                </w:tcPr>
                <w:p w14:paraId="72FBC09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工程名称</w:t>
                  </w:r>
                </w:p>
              </w:tc>
              <w:tc>
                <w:tcPr>
                  <w:tcW w:w="3411" w:type="pct"/>
                  <w:tcBorders>
                    <w:tl2br w:val="nil"/>
                    <w:tr2bl w:val="nil"/>
                  </w:tcBorders>
                  <w:noWrap w:val="0"/>
                  <w:vAlign w:val="center"/>
                </w:tcPr>
                <w:p w14:paraId="03078763">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工程内容及规模</w:t>
                  </w:r>
                </w:p>
              </w:tc>
            </w:tr>
            <w:tr w14:paraId="44D0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tcBorders>
                    <w:tl2br w:val="nil"/>
                    <w:tr2bl w:val="nil"/>
                  </w:tcBorders>
                  <w:noWrap w:val="0"/>
                  <w:vAlign w:val="center"/>
                </w:tcPr>
                <w:p w14:paraId="109DF2B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主体工程</w:t>
                  </w:r>
                </w:p>
              </w:tc>
              <w:tc>
                <w:tcPr>
                  <w:tcW w:w="890" w:type="pct"/>
                  <w:tcBorders>
                    <w:tl2br w:val="nil"/>
                    <w:tr2bl w:val="nil"/>
                  </w:tcBorders>
                  <w:noWrap w:val="0"/>
                  <w:vAlign w:val="center"/>
                </w:tcPr>
                <w:p w14:paraId="24EC9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1#设备楼</w:t>
                  </w:r>
                </w:p>
              </w:tc>
              <w:tc>
                <w:tcPr>
                  <w:tcW w:w="3411" w:type="pct"/>
                  <w:tcBorders>
                    <w:tl2br w:val="nil"/>
                    <w:tr2bl w:val="nil"/>
                  </w:tcBorders>
                  <w:noWrap w:val="0"/>
                  <w:vAlign w:val="center"/>
                </w:tcPr>
                <w:p w14:paraId="5FC9CD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位于2#料仓中部，32.2m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16m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24m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1581</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，设置水泥筒仓（260t）4个、矿粉筒仓（260t）2个、煤灰筒仓（260t）2个、膨胀剂筒仓（80t）2个、外加剂罐4个及搅拌主机等设施。</w:t>
                  </w:r>
                </w:p>
              </w:tc>
            </w:tr>
            <w:tr w14:paraId="5407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0DE4EBDD">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163E1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2#设备楼</w:t>
                  </w:r>
                </w:p>
              </w:tc>
              <w:tc>
                <w:tcPr>
                  <w:tcW w:w="3411" w:type="pct"/>
                  <w:tcBorders>
                    <w:tl2br w:val="nil"/>
                    <w:tr2bl w:val="nil"/>
                  </w:tcBorders>
                  <w:noWrap w:val="0"/>
                  <w:vAlign w:val="center"/>
                </w:tcPr>
                <w:p w14:paraId="330C33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位于2#料仓南侧，59.5m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58.3m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10.5m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3468.85</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，设置水泥筒仓（80t）1个、外加剂罐1个及搅拌主机等设施。</w:t>
                  </w:r>
                </w:p>
              </w:tc>
            </w:tr>
            <w:tr w14:paraId="399A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tcBorders>
                    <w:tl2br w:val="nil"/>
                    <w:tr2bl w:val="nil"/>
                  </w:tcBorders>
                  <w:noWrap w:val="0"/>
                  <w:vAlign w:val="center"/>
                </w:tcPr>
                <w:p w14:paraId="56E80ECF">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仓储工程</w:t>
                  </w:r>
                </w:p>
              </w:tc>
              <w:tc>
                <w:tcPr>
                  <w:tcW w:w="890" w:type="pct"/>
                  <w:tcBorders>
                    <w:tl2br w:val="nil"/>
                    <w:tr2bl w:val="nil"/>
                  </w:tcBorders>
                  <w:noWrap w:val="0"/>
                  <w:vAlign w:val="center"/>
                </w:tcPr>
                <w:p w14:paraId="75B3B6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1#料仓</w:t>
                  </w:r>
                </w:p>
              </w:tc>
              <w:tc>
                <w:tcPr>
                  <w:tcW w:w="3411" w:type="pct"/>
                  <w:tcBorders>
                    <w:tl2br w:val="nil"/>
                    <w:tr2bl w:val="nil"/>
                  </w:tcBorders>
                  <w:noWrap w:val="0"/>
                  <w:vAlign w:val="center"/>
                </w:tcPr>
                <w:p w14:paraId="045DAE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位于2#料仓东侧，1F，182m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29m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12.5m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10538</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，用于存放骨料。</w:t>
                  </w:r>
                </w:p>
              </w:tc>
            </w:tr>
            <w:tr w14:paraId="368B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2D931E20">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47E00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2#料仓</w:t>
                  </w:r>
                </w:p>
              </w:tc>
              <w:tc>
                <w:tcPr>
                  <w:tcW w:w="3411" w:type="pct"/>
                  <w:tcBorders>
                    <w:tl2br w:val="nil"/>
                    <w:tr2bl w:val="nil"/>
                  </w:tcBorders>
                  <w:noWrap w:val="0"/>
                  <w:vAlign w:val="center"/>
                </w:tcPr>
                <w:p w14:paraId="1D7165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位于厂区中部，1F，182m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88.4m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10.5m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7767.88</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，用于存放骨料。</w:t>
                  </w:r>
                </w:p>
              </w:tc>
            </w:tr>
            <w:tr w14:paraId="3334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tcBorders>
                    <w:tl2br w:val="nil"/>
                    <w:tr2bl w:val="nil"/>
                  </w:tcBorders>
                  <w:noWrap w:val="0"/>
                  <w:vAlign w:val="center"/>
                </w:tcPr>
                <w:p w14:paraId="2F98A0EA">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辅助工程</w:t>
                  </w:r>
                </w:p>
              </w:tc>
              <w:tc>
                <w:tcPr>
                  <w:tcW w:w="890" w:type="pct"/>
                  <w:tcBorders>
                    <w:tl2br w:val="nil"/>
                    <w:tr2bl w:val="nil"/>
                  </w:tcBorders>
                  <w:noWrap w:val="0"/>
                  <w:vAlign w:val="center"/>
                </w:tcPr>
                <w:p w14:paraId="4F2B5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辅助用房</w:t>
                  </w:r>
                </w:p>
              </w:tc>
              <w:tc>
                <w:tcPr>
                  <w:tcW w:w="3411" w:type="pct"/>
                  <w:tcBorders>
                    <w:tl2br w:val="nil"/>
                    <w:tr2bl w:val="nil"/>
                  </w:tcBorders>
                  <w:noWrap w:val="0"/>
                  <w:vAlign w:val="center"/>
                </w:tcPr>
                <w:p w14:paraId="7C1061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位于2#设备楼南侧，3F，41m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10.7m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1896.8</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011A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61681FC6">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p>
              </w:tc>
              <w:tc>
                <w:tcPr>
                  <w:tcW w:w="890" w:type="pct"/>
                  <w:tcBorders>
                    <w:tl2br w:val="nil"/>
                    <w:tr2bl w:val="nil"/>
                  </w:tcBorders>
                  <w:noWrap w:val="0"/>
                  <w:vAlign w:val="center"/>
                </w:tcPr>
                <w:p w14:paraId="524E0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维修车间</w:t>
                  </w:r>
                </w:p>
              </w:tc>
              <w:tc>
                <w:tcPr>
                  <w:tcW w:w="3411" w:type="pct"/>
                  <w:tcBorders>
                    <w:tl2br w:val="nil"/>
                    <w:tr2bl w:val="nil"/>
                  </w:tcBorders>
                  <w:noWrap w:val="0"/>
                  <w:vAlign w:val="center"/>
                </w:tcPr>
                <w:p w14:paraId="01966B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位于2#料仓内部，</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1</w:t>
                  </w:r>
                  <w:r>
                    <w:rPr>
                      <w:rFonts w:hint="eastAsia" w:cs="Times New Roman"/>
                      <w:snapToGrid/>
                      <w:color w:val="000000" w:themeColor="text1"/>
                      <w:spacing w:val="0"/>
                      <w:kern w:val="0"/>
                      <w:position w:val="0"/>
                      <w:sz w:val="21"/>
                      <w:szCs w:val="21"/>
                      <w:lang w:val="en-US" w:eastAsia="zh-CN"/>
                      <w14:textFill>
                        <w14:solidFill>
                          <w14:schemeClr w14:val="tx1"/>
                        </w14:solidFill>
                      </w14:textFill>
                    </w:rPr>
                    <w:t>92</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30C1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29A436F7">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4182CC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实验室</w:t>
                  </w:r>
                </w:p>
              </w:tc>
              <w:tc>
                <w:tcPr>
                  <w:tcW w:w="3411" w:type="pct"/>
                  <w:tcBorders>
                    <w:tl2br w:val="nil"/>
                    <w:tr2bl w:val="nil"/>
                  </w:tcBorders>
                  <w:noWrap w:val="0"/>
                  <w:vAlign w:val="center"/>
                </w:tcPr>
                <w:p w14:paraId="4BE0A8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位于2#料仓西侧，1F，55m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L</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8m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B</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3m</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H</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建筑</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面积</w:t>
                  </w:r>
                  <w:r>
                    <w:rPr>
                      <w:rFonts w:hint="eastAsia"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440</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1"/>
                      <w:szCs w:val="21"/>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540E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tcBorders>
                    <w:tl2br w:val="nil"/>
                    <w:tr2bl w:val="nil"/>
                  </w:tcBorders>
                  <w:noWrap w:val="0"/>
                  <w:vAlign w:val="center"/>
                </w:tcPr>
                <w:p w14:paraId="34454C5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公用工程</w:t>
                  </w:r>
                </w:p>
              </w:tc>
              <w:tc>
                <w:tcPr>
                  <w:tcW w:w="890" w:type="pct"/>
                  <w:tcBorders>
                    <w:tl2br w:val="nil"/>
                    <w:tr2bl w:val="nil"/>
                  </w:tcBorders>
                  <w:noWrap w:val="0"/>
                  <w:vAlign w:val="center"/>
                </w:tcPr>
                <w:p w14:paraId="5182D03E">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给水</w:t>
                  </w:r>
                </w:p>
              </w:tc>
              <w:tc>
                <w:tcPr>
                  <w:tcW w:w="3411" w:type="pct"/>
                  <w:tcBorders>
                    <w:tl2br w:val="nil"/>
                    <w:tr2bl w:val="nil"/>
                  </w:tcBorders>
                  <w:noWrap w:val="0"/>
                  <w:vAlign w:val="center"/>
                </w:tcPr>
                <w:p w14:paraId="18658E82">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由市政</w:t>
                  </w:r>
                  <w:r>
                    <w:rPr>
                      <w:rFonts w:hint="eastAsia" w:cs="Times New Roman"/>
                      <w:snapToGrid/>
                      <w:color w:val="000000" w:themeColor="text1"/>
                      <w:spacing w:val="0"/>
                      <w:kern w:val="0"/>
                      <w:position w:val="0"/>
                      <w:sz w:val="21"/>
                      <w:szCs w:val="21"/>
                      <w:lang w:val="en-US" w:eastAsia="zh-CN"/>
                      <w14:textFill>
                        <w14:solidFill>
                          <w14:schemeClr w14:val="tx1"/>
                        </w14:solidFill>
                      </w14:textFill>
                    </w:rPr>
                    <w:t>供</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水管网给水</w:t>
                  </w:r>
                </w:p>
              </w:tc>
            </w:tr>
            <w:tr w14:paraId="03EB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02D1096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58F69E92">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排水</w:t>
                  </w:r>
                </w:p>
              </w:tc>
              <w:tc>
                <w:tcPr>
                  <w:tcW w:w="3411" w:type="pct"/>
                  <w:tcBorders>
                    <w:tl2br w:val="nil"/>
                    <w:tr2bl w:val="nil"/>
                  </w:tcBorders>
                  <w:noWrap w:val="0"/>
                  <w:vAlign w:val="center"/>
                </w:tcPr>
                <w:p w14:paraId="72F94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采用雨、污分流制</w:t>
                  </w:r>
                </w:p>
              </w:tc>
            </w:tr>
            <w:tr w14:paraId="1153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4A30F52F">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1AEC8C66">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供电</w:t>
                  </w:r>
                </w:p>
              </w:tc>
              <w:tc>
                <w:tcPr>
                  <w:tcW w:w="3411" w:type="pct"/>
                  <w:tcBorders>
                    <w:tl2br w:val="nil"/>
                    <w:tr2bl w:val="nil"/>
                  </w:tcBorders>
                  <w:noWrap w:val="0"/>
                  <w:vAlign w:val="center"/>
                </w:tcPr>
                <w:p w14:paraId="781AB18E">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由</w:t>
                  </w:r>
                  <w:r>
                    <w:rPr>
                      <w:rFonts w:hint="eastAsia" w:cs="Times New Roman"/>
                      <w:snapToGrid/>
                      <w:color w:val="000000" w:themeColor="text1"/>
                      <w:spacing w:val="0"/>
                      <w:kern w:val="0"/>
                      <w:position w:val="0"/>
                      <w:sz w:val="21"/>
                      <w:szCs w:val="21"/>
                      <w:lang w:val="en-US" w:eastAsia="zh-CN"/>
                      <w14:textFill>
                        <w14:solidFill>
                          <w14:schemeClr w14:val="tx1"/>
                        </w14:solidFill>
                      </w14:textFill>
                    </w:rPr>
                    <w:t>区域</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电网供电</w:t>
                  </w:r>
                </w:p>
              </w:tc>
            </w:tr>
            <w:tr w14:paraId="073D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tcBorders>
                    <w:tl2br w:val="nil"/>
                    <w:tr2bl w:val="nil"/>
                  </w:tcBorders>
                  <w:noWrap w:val="0"/>
                  <w:vAlign w:val="center"/>
                </w:tcPr>
                <w:p w14:paraId="342C98E6">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环保工程</w:t>
                  </w:r>
                </w:p>
              </w:tc>
              <w:tc>
                <w:tcPr>
                  <w:tcW w:w="890" w:type="pct"/>
                  <w:tcBorders>
                    <w:tl2br w:val="nil"/>
                    <w:tr2bl w:val="nil"/>
                  </w:tcBorders>
                  <w:noWrap w:val="0"/>
                  <w:vAlign w:val="center"/>
                </w:tcPr>
                <w:p w14:paraId="48DBE1FA">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废气</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处理</w:t>
                  </w:r>
                </w:p>
              </w:tc>
              <w:tc>
                <w:tcPr>
                  <w:tcW w:w="3411" w:type="pct"/>
                  <w:tcBorders>
                    <w:tl2br w:val="nil"/>
                    <w:tr2bl w:val="nil"/>
                  </w:tcBorders>
                  <w:noWrap w:val="0"/>
                  <w:vAlign w:val="center"/>
                </w:tcPr>
                <w:p w14:paraId="6811A419">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原料堆场粉尘：堆场</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设置于半封闭厂房内，</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地面进行硬化处理，来往运输车辆用篷布覆盖</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仅留车辆进出口通道，堆料区、下料区和进出口通道安装喷雾</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抑尘</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装置。原料堆场安装固定式喷雾装置覆盖整个堆场。</w:t>
                  </w:r>
                </w:p>
                <w:p w14:paraId="2D6D4190">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运输车辆粉尘：</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道路硬化</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，每日进行地面清洁。运输车辆加盖篷布，严禁超载，杜绝汽车抛洒。道路两侧设置固定喷雾降尘或移动式雾炮降尘。</w:t>
                  </w:r>
                </w:p>
                <w:p w14:paraId="51614C4B">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筒仓进料粉尘：筒仓顶部均设置脉冲式布袋除尘器，筒仓粉尘经脉冲式布袋除尘器收集处理后在厂房中自然沉降，以无组织方式排放。</w:t>
                  </w:r>
                </w:p>
                <w:p w14:paraId="7E74825B">
                  <w:pPr>
                    <w:keepNext w:val="0"/>
                    <w:keepLines w:val="0"/>
                    <w:widowControl/>
                    <w:suppressLineNumbers w:val="0"/>
                    <w:jc w:val="both"/>
                    <w:rPr>
                      <w:rFonts w:hint="default" w:hAnsi="Times New Roman" w:eastAsia="宋体" w:cs="Times New Roman"/>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搅拌粉尘：搅拌机顶部设置布袋除尘器。产生的粉尘经布袋除尘器处理后，在厂房内无组织排放。同时，厂房内设置喷雾装置控制皮带输送时产生的原料输送扬尘。在下料斗设置三面围挡，顶部设置喷雾装置进行降尘</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r>
            <w:tr w14:paraId="7849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78DBB6D6">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2194067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w:t>
                  </w:r>
                  <w:r>
                    <w:rPr>
                      <w:rFonts w:hint="eastAsia" w:cs="Times New Roman"/>
                      <w:snapToGrid/>
                      <w:color w:val="000000" w:themeColor="text1"/>
                      <w:spacing w:val="0"/>
                      <w:kern w:val="0"/>
                      <w:position w:val="0"/>
                      <w:sz w:val="21"/>
                      <w:szCs w:val="21"/>
                      <w:lang w:val="en-US" w:eastAsia="zh-CN"/>
                      <w14:textFill>
                        <w14:solidFill>
                          <w14:schemeClr w14:val="tx1"/>
                        </w14:solidFill>
                      </w14:textFill>
                    </w:rPr>
                    <w:t>水</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处理</w:t>
                  </w:r>
                </w:p>
              </w:tc>
              <w:tc>
                <w:tcPr>
                  <w:tcW w:w="3411" w:type="pct"/>
                  <w:tcBorders>
                    <w:tl2br w:val="nil"/>
                    <w:tr2bl w:val="nil"/>
                  </w:tcBorders>
                  <w:noWrap w:val="0"/>
                  <w:vAlign w:val="center"/>
                </w:tcPr>
                <w:p w14:paraId="32832CE6">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地面冲洗废水、</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搅拌机</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清洗废水：经</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“车间</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沉淀池+砂水分离机+压滤设施</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”处理后</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回用于</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生产</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，不外排。</w:t>
                  </w:r>
                </w:p>
                <w:p w14:paraId="5B6102FA">
                  <w:pPr>
                    <w:keepNext w:val="0"/>
                    <w:keepLines w:val="0"/>
                    <w:widowControl/>
                    <w:suppressLineNumbers w:val="0"/>
                    <w:jc w:val="both"/>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车辆冲洗废水：经</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洗车平台</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沉淀池沉淀后</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循环利用</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，不外排。</w:t>
                  </w:r>
                </w:p>
                <w:p w14:paraId="074CE5D2">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生活污水：经化粪池收集处理后</w:t>
                  </w:r>
                  <w:r>
                    <w:rPr>
                      <w:rFonts w:hint="eastAsia"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用于厂区绿化，不外排</w:t>
                  </w:r>
                  <w:r>
                    <w:rPr>
                      <w:rFonts w:hint="eastAsia" w:ascii="Times New Roman" w:hAnsi="Times New Roman" w:eastAsia="宋体"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w:t>
                  </w:r>
                </w:p>
              </w:tc>
            </w:tr>
            <w:tr w14:paraId="1B24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21D5D02B">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043C2E6E">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噪声治理</w:t>
                  </w:r>
                </w:p>
              </w:tc>
              <w:tc>
                <w:tcPr>
                  <w:tcW w:w="3411" w:type="pct"/>
                  <w:tcBorders>
                    <w:tl2br w:val="nil"/>
                    <w:tr2bl w:val="nil"/>
                  </w:tcBorders>
                  <w:noWrap w:val="0"/>
                  <w:vAlign w:val="center"/>
                </w:tcPr>
                <w:p w14:paraId="2F96363F">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合理布局，项目选用低噪设备，设备基本放置于厂房内，设备基座采用减震基座。</w:t>
                  </w:r>
                </w:p>
              </w:tc>
            </w:tr>
            <w:tr w14:paraId="1B00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tcBorders>
                    <w:tl2br w:val="nil"/>
                    <w:tr2bl w:val="nil"/>
                  </w:tcBorders>
                  <w:noWrap w:val="0"/>
                  <w:vAlign w:val="center"/>
                </w:tcPr>
                <w:p w14:paraId="29CCBB2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890" w:type="pct"/>
                  <w:tcBorders>
                    <w:tl2br w:val="nil"/>
                    <w:tr2bl w:val="nil"/>
                  </w:tcBorders>
                  <w:noWrap w:val="0"/>
                  <w:vAlign w:val="center"/>
                </w:tcPr>
                <w:p w14:paraId="1B1726D5">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固体废物</w:t>
                  </w:r>
                </w:p>
                <w:p w14:paraId="4AB0E24C">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处理</w:t>
                  </w:r>
                </w:p>
              </w:tc>
              <w:tc>
                <w:tcPr>
                  <w:tcW w:w="3411" w:type="pct"/>
                  <w:tcBorders>
                    <w:tl2br w:val="nil"/>
                    <w:tr2bl w:val="nil"/>
                  </w:tcBorders>
                  <w:noWrap w:val="0"/>
                  <w:vAlign w:val="center"/>
                </w:tcPr>
                <w:p w14:paraId="0AAF9506">
                  <w:pPr>
                    <w:keepNext w:val="0"/>
                    <w:keepLines w:val="0"/>
                    <w:widowControl/>
                    <w:suppressLineNumbers w:val="0"/>
                    <w:jc w:val="both"/>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一般工业固体废物：主要为废除尘布袋、除尘布袋收集的粉尘、沉渣及废实验样品。废除尘布袋、实验室废样品暂存于一般固废暂存间（占地面积20m</w:t>
                  </w:r>
                  <w:r>
                    <w:rPr>
                      <w:rFonts w:hint="eastAsia" w:cs="Times New Roman"/>
                      <w:smallCaps w:val="0"/>
                      <w:snapToGrid/>
                      <w:color w:val="000000" w:themeColor="text1"/>
                      <w:spacing w:val="0"/>
                      <w:w w:val="100"/>
                      <w:kern w:val="0"/>
                      <w:position w:val="0"/>
                      <w:sz w:val="21"/>
                      <w:szCs w:val="21"/>
                      <w:vertAlign w:val="superscript"/>
                      <w:lang w:val="en-US" w:eastAsia="zh-CN" w:bidi="ar-SA"/>
                      <w14:textFill>
                        <w14:solidFill>
                          <w14:schemeClr w14:val="tx1"/>
                        </w14:solidFill>
                      </w14:textFill>
                    </w:rPr>
                    <w:t>2</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），定期交由环卫部门清运处置；除尘布袋收集的粉尘、沉渣回用于生产。</w:t>
                  </w:r>
                </w:p>
                <w:p w14:paraId="2A096BDC">
                  <w:pPr>
                    <w:keepNext w:val="0"/>
                    <w:keepLines w:val="0"/>
                    <w:widowControl/>
                    <w:suppressLineNumbers w:val="0"/>
                    <w:jc w:val="both"/>
                    <w:rPr>
                      <w:rFonts w:hint="eastAsia" w:ascii="Times New Roman" w:hAnsi="Times New Roman"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危险废物：主要为废机油、废机油桶、含油废抹布及废手套，暂</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存于</w:t>
                  </w:r>
                  <w:r>
                    <w:rPr>
                      <w:rFonts w:hint="eastAsia" w:ascii="Times New Roman" w:hAnsi="Times New Roman" w:eastAsia="宋体"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危废暂存间（</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占地面积10m</w:t>
                  </w:r>
                  <w:r>
                    <w:rPr>
                      <w:rFonts w:hint="eastAsia" w:cs="Times New Roman"/>
                      <w:smallCaps w:val="0"/>
                      <w:snapToGrid/>
                      <w:color w:val="000000" w:themeColor="text1"/>
                      <w:spacing w:val="0"/>
                      <w:w w:val="100"/>
                      <w:kern w:val="0"/>
                      <w:position w:val="0"/>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），定期交由有资质的单位处置</w:t>
                  </w:r>
                  <w:r>
                    <w:rPr>
                      <w:rFonts w:hint="eastAsia" w:ascii="Times New Roman" w:hAnsi="Times New Roman"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w:t>
                  </w:r>
                </w:p>
                <w:p w14:paraId="5F89133F">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生</w:t>
                  </w:r>
                  <w:r>
                    <w:rPr>
                      <w:rFonts w:hint="eastAsia" w:ascii="Times New Roman" w:hAnsi="Times New Roman" w:eastAsia="宋体"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活垃圾：生活垃圾经垃圾桶收集后由环卫部门定期清运处置。</w:t>
                  </w:r>
                </w:p>
              </w:tc>
            </w:tr>
            <w:tr w14:paraId="0D9C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pct"/>
                  <w:gridSpan w:val="2"/>
                  <w:tcBorders>
                    <w:tl2br w:val="nil"/>
                    <w:tr2bl w:val="nil"/>
                  </w:tcBorders>
                  <w:noWrap w:val="0"/>
                  <w:vAlign w:val="center"/>
                </w:tcPr>
                <w:p w14:paraId="225EC5F2">
                  <w:pPr>
                    <w:keepNext w:val="0"/>
                    <w:keepLines w:val="0"/>
                    <w:pageBreakBefore w:val="0"/>
                    <w:widowControl w:val="0"/>
                    <w:tabs>
                      <w:tab w:val="left" w:pos="3255"/>
                    </w:tabs>
                    <w:kinsoku/>
                    <w:wordWrap/>
                    <w:overflowPunct/>
                    <w:topLinePunct w:val="0"/>
                    <w:autoSpaceDE/>
                    <w:autoSpaceDN/>
                    <w:bidi w:val="0"/>
                    <w:adjustRightInd/>
                    <w:snapToGrid/>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环境风险</w:t>
                  </w:r>
                </w:p>
              </w:tc>
              <w:tc>
                <w:tcPr>
                  <w:tcW w:w="3411" w:type="pct"/>
                  <w:tcBorders>
                    <w:tl2br w:val="nil"/>
                    <w:tr2bl w:val="nil"/>
                  </w:tcBorders>
                  <w:noWrap w:val="0"/>
                  <w:vAlign w:val="center"/>
                </w:tcPr>
                <w:p w14:paraId="2EB59D61">
                  <w:pPr>
                    <w:keepNext w:val="0"/>
                    <w:keepLines w:val="0"/>
                    <w:widowControl/>
                    <w:suppressLineNumbers w:val="0"/>
                    <w:jc w:val="center"/>
                    <w:rPr>
                      <w:rFonts w:hint="default"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厂区设置1座初期雨水池（有效容积90m</w:t>
                  </w:r>
                  <w:r>
                    <w:rPr>
                      <w:rFonts w:hint="eastAsia" w:cs="Times New Roman"/>
                      <w:smallCaps w:val="0"/>
                      <w:snapToGrid/>
                      <w:color w:val="000000" w:themeColor="text1"/>
                      <w:spacing w:val="0"/>
                      <w:w w:val="100"/>
                      <w:kern w:val="0"/>
                      <w:position w:val="0"/>
                      <w:sz w:val="21"/>
                      <w:szCs w:val="21"/>
                      <w:highlight w:val="none"/>
                      <w:vertAlign w:val="superscript"/>
                      <w:lang w:val="en-US" w:eastAsia="zh-CN" w:bidi="ar-SA"/>
                      <w14:textFill>
                        <w14:solidFill>
                          <w14:schemeClr w14:val="tx1"/>
                        </w14:solidFill>
                      </w14:textFill>
                    </w:rPr>
                    <w:t>3</w:t>
                  </w:r>
                  <w:r>
                    <w:rPr>
                      <w:rFonts w:hint="eastAsia" w:cs="Times New Roman"/>
                      <w:smallCaps w:val="0"/>
                      <w:snapToGrid/>
                      <w:color w:val="000000" w:themeColor="text1"/>
                      <w:spacing w:val="0"/>
                      <w:w w:val="100"/>
                      <w:kern w:val="0"/>
                      <w:position w:val="0"/>
                      <w:sz w:val="21"/>
                      <w:szCs w:val="21"/>
                      <w:highlight w:val="none"/>
                      <w:lang w:val="en-US" w:eastAsia="zh-CN" w:bidi="ar-SA"/>
                      <w14:textFill>
                        <w14:solidFill>
                          <w14:schemeClr w14:val="tx1"/>
                        </w14:solidFill>
                      </w14:textFill>
                    </w:rPr>
                    <w:t>）</w:t>
                  </w:r>
                </w:p>
              </w:tc>
            </w:tr>
          </w:tbl>
          <w:p w14:paraId="7E348C7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pPr>
            <w:r>
              <w:rPr>
                <w:rFonts w:hint="eastAsia" w:cs="Times New Roman"/>
                <w:b/>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4"/>
                <w:lang w:eastAsia="zh-CN"/>
                <w14:textFill>
                  <w14:solidFill>
                    <w14:schemeClr w14:val="tx1"/>
                  </w14:solidFill>
                </w14:textFill>
              </w:rPr>
              <w:t>、</w:t>
            </w:r>
            <w:r>
              <w:rPr>
                <w:rFonts w:hint="eastAsia" w:cs="Times New Roman"/>
                <w:b/>
                <w:snapToGrid/>
                <w:color w:val="000000" w:themeColor="text1"/>
                <w:spacing w:val="0"/>
                <w:kern w:val="0"/>
                <w:position w:val="0"/>
                <w:sz w:val="24"/>
                <w:lang w:val="en-US" w:eastAsia="zh-CN"/>
                <w14:textFill>
                  <w14:solidFill>
                    <w14:schemeClr w14:val="tx1"/>
                  </w14:solidFill>
                </w14:textFill>
              </w:rPr>
              <w:t>产品方案</w:t>
            </w:r>
          </w:p>
          <w:p w14:paraId="0B0EC6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本项目产品见表2-</w:t>
            </w:r>
            <w:r>
              <w:rPr>
                <w:rFonts w:hint="eastAsia" w:cs="Times New Roman"/>
                <w:snapToGrid/>
                <w:color w:val="000000" w:themeColor="text1"/>
                <w:spacing w:val="0"/>
                <w:kern w:val="0"/>
                <w:position w:val="0"/>
                <w:sz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p>
          <w:p w14:paraId="12A5C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highlight w:val="none"/>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highlight w:val="none"/>
                <w:lang w:val="en-US" w:eastAsia="zh-CN"/>
                <w14:textFill>
                  <w14:solidFill>
                    <w14:schemeClr w14:val="tx1"/>
                  </w14:solidFill>
                </w14:textFill>
              </w:rPr>
              <w:t>2-</w:t>
            </w:r>
            <w:r>
              <w:rPr>
                <w:rFonts w:hint="eastAsia" w:eastAsia="宋体" w:cs="Times New Roman"/>
                <w:b/>
                <w:snapToGrid/>
                <w:color w:val="000000" w:themeColor="text1"/>
                <w:spacing w:val="0"/>
                <w:kern w:val="0"/>
                <w:positio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1"/>
                <w:szCs w:val="21"/>
                <w:highlight w:val="none"/>
                <w14:textFill>
                  <w14:solidFill>
                    <w14:schemeClr w14:val="tx1"/>
                  </w14:solidFill>
                </w14:textFill>
              </w:rPr>
              <w:t xml:space="preserve">  </w:t>
            </w:r>
            <w:r>
              <w:rPr>
                <w:rFonts w:hint="eastAsia" w:cs="Times New Roman"/>
                <w:b/>
                <w:snapToGrid/>
                <w:color w:val="000000" w:themeColor="text1"/>
                <w:spacing w:val="0"/>
                <w:kern w:val="0"/>
                <w:position w:val="0"/>
                <w:sz w:val="21"/>
                <w:szCs w:val="21"/>
                <w:highlight w:val="none"/>
                <w:lang w:val="en-US" w:eastAsia="zh-CN"/>
                <w14:textFill>
                  <w14:solidFill>
                    <w14:schemeClr w14:val="tx1"/>
                  </w14:solidFill>
                </w14:textFill>
              </w:rPr>
              <w:t>产品方案一览</w:t>
            </w:r>
            <w:r>
              <w:rPr>
                <w:rFonts w:hint="default" w:ascii="Times New Roman" w:hAnsi="Times New Roman" w:eastAsia="宋体" w:cs="Times New Roman"/>
                <w:b/>
                <w:snapToGrid/>
                <w:color w:val="000000" w:themeColor="text1"/>
                <w:spacing w:val="0"/>
                <w:kern w:val="0"/>
                <w:position w:val="0"/>
                <w:sz w:val="21"/>
                <w:szCs w:val="21"/>
                <w:highlight w:val="none"/>
                <w14:textFill>
                  <w14:solidFill>
                    <w14:schemeClr w14:val="tx1"/>
                  </w14:solidFill>
                </w14:textFill>
              </w:rPr>
              <w:t>表</w:t>
            </w:r>
          </w:p>
          <w:tbl>
            <w:tblPr>
              <w:tblStyle w:val="81"/>
              <w:tblW w:w="49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1338"/>
              <w:gridCol w:w="1287"/>
              <w:gridCol w:w="1412"/>
              <w:gridCol w:w="3422"/>
            </w:tblGrid>
            <w:tr w14:paraId="72DE4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3" w:type="pct"/>
                  <w:vMerge w:val="restart"/>
                  <w:tcBorders>
                    <w:tl2br w:val="nil"/>
                    <w:tr2bl w:val="nil"/>
                  </w:tcBorders>
                  <w:vAlign w:val="center"/>
                </w:tcPr>
                <w:p w14:paraId="2FEC90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序号</w:t>
                  </w:r>
                </w:p>
              </w:tc>
              <w:tc>
                <w:tcPr>
                  <w:tcW w:w="826" w:type="pct"/>
                  <w:vMerge w:val="restart"/>
                  <w:tcBorders>
                    <w:tl2br w:val="nil"/>
                    <w:tr2bl w:val="nil"/>
                  </w:tcBorders>
                  <w:vAlign w:val="center"/>
                </w:tcPr>
                <w:p w14:paraId="65DF4D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产品名称</w:t>
                  </w:r>
                </w:p>
              </w:tc>
              <w:tc>
                <w:tcPr>
                  <w:tcW w:w="1666" w:type="pct"/>
                  <w:gridSpan w:val="2"/>
                  <w:tcBorders>
                    <w:tl2br w:val="nil"/>
                    <w:tr2bl w:val="nil"/>
                  </w:tcBorders>
                  <w:vAlign w:val="center"/>
                </w:tcPr>
                <w:p w14:paraId="36C51E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年</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产量</w:t>
                  </w:r>
                </w:p>
              </w:tc>
              <w:tc>
                <w:tcPr>
                  <w:tcW w:w="2113" w:type="pct"/>
                  <w:vMerge w:val="restart"/>
                  <w:tcBorders>
                    <w:tl2br w:val="nil"/>
                    <w:tr2bl w:val="nil"/>
                  </w:tcBorders>
                  <w:vAlign w:val="center"/>
                </w:tcPr>
                <w:p w14:paraId="00CF560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备注</w:t>
                  </w:r>
                </w:p>
              </w:tc>
            </w:tr>
            <w:tr w14:paraId="6D363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3" w:type="pct"/>
                  <w:vMerge w:val="continue"/>
                  <w:tcBorders>
                    <w:tl2br w:val="nil"/>
                    <w:tr2bl w:val="nil"/>
                  </w:tcBorders>
                  <w:vAlign w:val="center"/>
                </w:tcPr>
                <w:p w14:paraId="10CD47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p>
              </w:tc>
              <w:tc>
                <w:tcPr>
                  <w:tcW w:w="826" w:type="pct"/>
                  <w:vMerge w:val="continue"/>
                  <w:tcBorders>
                    <w:tl2br w:val="nil"/>
                    <w:tr2bl w:val="nil"/>
                  </w:tcBorders>
                  <w:vAlign w:val="center"/>
                </w:tcPr>
                <w:p w14:paraId="34FD33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p>
              </w:tc>
              <w:tc>
                <w:tcPr>
                  <w:tcW w:w="794" w:type="pct"/>
                  <w:tcBorders>
                    <w:tl2br w:val="nil"/>
                    <w:tr2bl w:val="nil"/>
                  </w:tcBorders>
                  <w:vAlign w:val="center"/>
                </w:tcPr>
                <w:p w14:paraId="2AF0B3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体积</w:t>
                  </w:r>
                </w:p>
              </w:tc>
              <w:tc>
                <w:tcPr>
                  <w:tcW w:w="872" w:type="pct"/>
                  <w:tcBorders>
                    <w:tl2br w:val="nil"/>
                    <w:tr2bl w:val="nil"/>
                  </w:tcBorders>
                  <w:vAlign w:val="center"/>
                </w:tcPr>
                <w:p w14:paraId="4AB16BA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重量</w:t>
                  </w:r>
                </w:p>
              </w:tc>
              <w:tc>
                <w:tcPr>
                  <w:tcW w:w="2113" w:type="pct"/>
                  <w:vMerge w:val="continue"/>
                  <w:tcBorders>
                    <w:tl2br w:val="nil"/>
                    <w:tr2bl w:val="nil"/>
                  </w:tcBorders>
                  <w:vAlign w:val="center"/>
                </w:tcPr>
                <w:p w14:paraId="6259AB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s="Times New Roman"/>
                      <w:b/>
                      <w:bCs/>
                      <w:snapToGrid/>
                      <w:color w:val="000000" w:themeColor="text1"/>
                      <w:spacing w:val="0"/>
                      <w:kern w:val="0"/>
                      <w:position w:val="0"/>
                      <w:sz w:val="21"/>
                      <w:szCs w:val="21"/>
                      <w:lang w:val="en-US" w:eastAsia="zh-CN"/>
                      <w14:textFill>
                        <w14:solidFill>
                          <w14:schemeClr w14:val="tx1"/>
                        </w14:solidFill>
                      </w14:textFill>
                    </w:rPr>
                  </w:pPr>
                </w:p>
              </w:tc>
            </w:tr>
            <w:tr w14:paraId="05B98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3" w:type="pct"/>
                  <w:tcBorders>
                    <w:tl2br w:val="nil"/>
                    <w:tr2bl w:val="nil"/>
                  </w:tcBorders>
                  <w:vAlign w:val="center"/>
                </w:tcPr>
                <w:p w14:paraId="12C759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w:t>
                  </w:r>
                </w:p>
              </w:tc>
              <w:tc>
                <w:tcPr>
                  <w:tcW w:w="826" w:type="pct"/>
                  <w:tcBorders>
                    <w:tl2br w:val="nil"/>
                    <w:tr2bl w:val="nil"/>
                  </w:tcBorders>
                  <w:vAlign w:val="center"/>
                </w:tcPr>
                <w:p w14:paraId="382BC7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商品混凝土</w:t>
                  </w:r>
                </w:p>
              </w:tc>
              <w:tc>
                <w:tcPr>
                  <w:tcW w:w="794" w:type="pct"/>
                  <w:tcBorders>
                    <w:tl2br w:val="nil"/>
                    <w:tr2bl w:val="nil"/>
                  </w:tcBorders>
                  <w:vAlign w:val="center"/>
                </w:tcPr>
                <w:p w14:paraId="00DD5C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万m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/a</w:t>
                  </w:r>
                </w:p>
              </w:tc>
              <w:tc>
                <w:tcPr>
                  <w:tcW w:w="872" w:type="pct"/>
                  <w:tcBorders>
                    <w:tl2br w:val="nil"/>
                    <w:tr2bl w:val="nil"/>
                  </w:tcBorders>
                  <w:vAlign w:val="center"/>
                </w:tcPr>
                <w:p w14:paraId="45CD32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119.4万t/a</w:t>
                  </w:r>
                </w:p>
              </w:tc>
              <w:tc>
                <w:tcPr>
                  <w:tcW w:w="2113" w:type="pct"/>
                  <w:tcBorders>
                    <w:tl2br w:val="nil"/>
                    <w:tr2bl w:val="nil"/>
                  </w:tcBorders>
                  <w:vAlign w:val="center"/>
                </w:tcPr>
                <w:p w14:paraId="39476C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《预拌混凝土</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GB/T14902-2012</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w:t>
                  </w:r>
                </w:p>
              </w:tc>
            </w:tr>
            <w:tr w14:paraId="31D50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3" w:type="pct"/>
                  <w:tcBorders>
                    <w:tl2br w:val="nil"/>
                    <w:tr2bl w:val="nil"/>
                  </w:tcBorders>
                  <w:vAlign w:val="center"/>
                </w:tcPr>
                <w:p w14:paraId="6C2F98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w:t>
                  </w:r>
                </w:p>
              </w:tc>
              <w:tc>
                <w:tcPr>
                  <w:tcW w:w="826" w:type="pct"/>
                  <w:tcBorders>
                    <w:tl2br w:val="nil"/>
                    <w:tr2bl w:val="nil"/>
                  </w:tcBorders>
                  <w:vAlign w:val="center"/>
                </w:tcPr>
                <w:p w14:paraId="07561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预拌砂浆</w:t>
                  </w:r>
                </w:p>
              </w:tc>
              <w:tc>
                <w:tcPr>
                  <w:tcW w:w="794" w:type="pct"/>
                  <w:tcBorders>
                    <w:tl2br w:val="nil"/>
                    <w:tr2bl w:val="nil"/>
                  </w:tcBorders>
                  <w:vAlign w:val="center"/>
                </w:tcPr>
                <w:p w14:paraId="37E64C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10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万m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/a</w:t>
                  </w:r>
                </w:p>
              </w:tc>
              <w:tc>
                <w:tcPr>
                  <w:tcW w:w="872" w:type="pct"/>
                  <w:tcBorders>
                    <w:tl2br w:val="nil"/>
                    <w:tr2bl w:val="nil"/>
                  </w:tcBorders>
                  <w:vAlign w:val="center"/>
                </w:tcPr>
                <w:p w14:paraId="064D11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20.4万t/a</w:t>
                  </w:r>
                </w:p>
              </w:tc>
              <w:tc>
                <w:tcPr>
                  <w:tcW w:w="2113" w:type="pct"/>
                  <w:tcBorders>
                    <w:tl2br w:val="nil"/>
                    <w:tr2bl w:val="nil"/>
                  </w:tcBorders>
                  <w:vAlign w:val="center"/>
                </w:tcPr>
                <w:p w14:paraId="0A7DCA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《预拌砂浆</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GB/T</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25181</w:t>
                  </w: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-201</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9</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w:t>
                  </w:r>
                </w:p>
              </w:tc>
            </w:tr>
          </w:tbl>
          <w:p w14:paraId="00EEF9AC">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cs="Times New Roman"/>
                <w:b/>
                <w:snapToGrid/>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b/>
                <w:snapToGrid/>
                <w:color w:val="000000" w:themeColor="text1"/>
                <w:spacing w:val="0"/>
                <w:kern w:val="0"/>
                <w:position w:val="0"/>
                <w:sz w:val="21"/>
                <w:szCs w:val="21"/>
                <w:highlight w:val="none"/>
                <w:lang w:val="en-US" w:eastAsia="zh-CN"/>
                <w14:textFill>
                  <w14:solidFill>
                    <w14:schemeClr w14:val="tx1"/>
                  </w14:solidFill>
                </w14:textFill>
              </w:rPr>
              <w:t>注：</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根据《建筑结构荷载规范》（GB50009-2012）附录A中水泥砂浆、粉煤灰陶砾石混凝土的自重分别为20kN/m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、19.5kN/m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vertAlign w:val="baseline"/>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商品混凝土重量=</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60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万m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/a</w:t>
            </w:r>
            <w:r>
              <w:rPr>
                <w:rFonts w:hint="default"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19.5</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kN/m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vertAlign w:val="baseline"/>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9.8N/kg</w:t>
            </w:r>
            <w:r>
              <w:rPr>
                <w:rFonts w:hint="eastAsia" w:cs="Times New Roman"/>
                <w:snapToGrid/>
                <w:color w:val="000000" w:themeColor="text1"/>
                <w:spacing w:val="0"/>
                <w:kern w:val="0"/>
                <w:position w:val="0"/>
                <w:sz w:val="21"/>
                <w:szCs w:val="21"/>
                <w:highlight w:val="none"/>
                <w:vertAlign w:val="baseline"/>
                <w:lang w:val="en-US" w:eastAsia="zh-CN"/>
                <w14:textFill>
                  <w14:solidFill>
                    <w14:schemeClr w14:val="tx1"/>
                  </w14:solidFill>
                </w14:textFill>
              </w:rPr>
              <w:t>÷1000÷10000=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119.4万t/a；</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预拌砂浆</w:t>
            </w:r>
            <w:r>
              <w:rPr>
                <w:rFonts w:hint="eastAsia" w:cs="Times New Roman"/>
                <w:snapToGrid/>
                <w:color w:val="000000" w:themeColor="text1"/>
                <w:spacing w:val="0"/>
                <w:kern w:val="0"/>
                <w:position w:val="0"/>
                <w:sz w:val="21"/>
                <w:szCs w:val="21"/>
                <w:lang w:val="en-US" w:eastAsia="zh-CN"/>
                <w14:textFill>
                  <w14:solidFill>
                    <w14:schemeClr w14:val="tx1"/>
                  </w14:solidFill>
                </w14:textFill>
              </w:rPr>
              <w:t>重量=</w:t>
            </w:r>
            <w:r>
              <w:rPr>
                <w:rFonts w:hint="eastAsia"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10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万m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/a</w:t>
            </w:r>
            <w:r>
              <w:rPr>
                <w:rFonts w:hint="default"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20</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kN/m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highlight w:val="none"/>
                <w:vertAlign w:val="baseline"/>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9.8N/kg</w:t>
            </w:r>
            <w:r>
              <w:rPr>
                <w:rFonts w:hint="eastAsia" w:cs="Times New Roman"/>
                <w:snapToGrid/>
                <w:color w:val="000000" w:themeColor="text1"/>
                <w:spacing w:val="0"/>
                <w:kern w:val="0"/>
                <w:position w:val="0"/>
                <w:sz w:val="21"/>
                <w:szCs w:val="21"/>
                <w:highlight w:val="none"/>
                <w:vertAlign w:val="baseline"/>
                <w:lang w:val="en-US" w:eastAsia="zh-CN"/>
                <w14:textFill>
                  <w14:solidFill>
                    <w14:schemeClr w14:val="tx1"/>
                  </w14:solidFill>
                </w14:textFill>
              </w:rPr>
              <w:t>÷1000÷10000=20.4</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万t/a。</w:t>
            </w:r>
          </w:p>
          <w:p w14:paraId="41850DB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snapToGrid/>
                <w:color w:val="000000" w:themeColor="text1"/>
                <w:spacing w:val="0"/>
                <w:kern w:val="0"/>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t>、主要设备及原辅材料</w:t>
            </w:r>
          </w:p>
          <w:p w14:paraId="5C9E49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2-</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3</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 xml:space="preserve">  主要设备表</w:t>
            </w:r>
          </w:p>
          <w:tbl>
            <w:tblPr>
              <w:tblStyle w:val="27"/>
              <w:tblW w:w="497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03"/>
              <w:gridCol w:w="959"/>
              <w:gridCol w:w="776"/>
              <w:gridCol w:w="98"/>
              <w:gridCol w:w="1376"/>
              <w:gridCol w:w="2162"/>
              <w:gridCol w:w="1047"/>
              <w:gridCol w:w="1047"/>
            </w:tblGrid>
            <w:tr w14:paraId="56E4F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340" w:hRule="atLeast"/>
                <w:jc w:val="center"/>
              </w:trPr>
              <w:tc>
                <w:tcPr>
                  <w:tcW w:w="373" w:type="pct"/>
                  <w:tcBorders>
                    <w:tl2br w:val="nil"/>
                    <w:tr2bl w:val="nil"/>
                  </w:tcBorders>
                  <w:shd w:val="clear" w:color="auto" w:fill="auto"/>
                  <w:noWrap/>
                  <w:vAlign w:val="center"/>
                </w:tcPr>
                <w:p w14:paraId="5F37A63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序号</w:t>
                  </w:r>
                </w:p>
              </w:tc>
              <w:tc>
                <w:tcPr>
                  <w:tcW w:w="1988" w:type="pct"/>
                  <w:gridSpan w:val="4"/>
                  <w:tcBorders>
                    <w:tl2br w:val="nil"/>
                    <w:tr2bl w:val="nil"/>
                  </w:tcBorders>
                  <w:shd w:val="clear" w:color="auto" w:fill="auto"/>
                  <w:vAlign w:val="center"/>
                </w:tcPr>
                <w:p w14:paraId="2B50D8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设备名称</w:t>
                  </w:r>
                </w:p>
              </w:tc>
              <w:tc>
                <w:tcPr>
                  <w:tcW w:w="1340" w:type="pct"/>
                  <w:tcBorders>
                    <w:tl2br w:val="nil"/>
                    <w:tr2bl w:val="nil"/>
                  </w:tcBorders>
                  <w:shd w:val="clear" w:color="auto" w:fill="auto"/>
                  <w:vAlign w:val="center"/>
                </w:tcPr>
                <w:p w14:paraId="73D8F0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型号规格</w:t>
                  </w:r>
                </w:p>
              </w:tc>
              <w:tc>
                <w:tcPr>
                  <w:tcW w:w="648" w:type="pct"/>
                  <w:tcBorders>
                    <w:tl2br w:val="nil"/>
                    <w:tr2bl w:val="nil"/>
                  </w:tcBorders>
                  <w:shd w:val="clear" w:color="auto" w:fill="auto"/>
                  <w:vAlign w:val="center"/>
                </w:tcPr>
                <w:p w14:paraId="68D4EC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数量</w:t>
                  </w:r>
                </w:p>
              </w:tc>
              <w:tc>
                <w:tcPr>
                  <w:tcW w:w="648" w:type="pct"/>
                  <w:tcBorders>
                    <w:tl2br w:val="nil"/>
                    <w:tr2bl w:val="nil"/>
                  </w:tcBorders>
                  <w:shd w:val="clear" w:color="auto" w:fill="auto"/>
                  <w:vAlign w:val="center"/>
                </w:tcPr>
                <w:p w14:paraId="25EC73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位置</w:t>
                  </w:r>
                </w:p>
              </w:tc>
            </w:tr>
            <w:tr w14:paraId="55E0B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D3A0C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594" w:type="pct"/>
                  <w:vMerge w:val="restart"/>
                  <w:tcBorders>
                    <w:tl2br w:val="nil"/>
                    <w:tr2bl w:val="nil"/>
                  </w:tcBorders>
                  <w:shd w:val="clear" w:color="auto" w:fill="auto"/>
                  <w:noWrap/>
                  <w:vAlign w:val="center"/>
                </w:tcPr>
                <w:p w14:paraId="2597F6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混凝土生产线</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（2条）</w:t>
                  </w:r>
                </w:p>
              </w:tc>
              <w:tc>
                <w:tcPr>
                  <w:tcW w:w="480" w:type="pct"/>
                  <w:vMerge w:val="restart"/>
                  <w:tcBorders>
                    <w:tl2br w:val="nil"/>
                    <w:tr2bl w:val="nil"/>
                  </w:tcBorders>
                  <w:shd w:val="clear" w:color="auto" w:fill="auto"/>
                  <w:noWrap/>
                  <w:vAlign w:val="center"/>
                </w:tcPr>
                <w:p w14:paraId="6174F0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地仓配料站</w:t>
                  </w:r>
                </w:p>
              </w:tc>
              <w:tc>
                <w:tcPr>
                  <w:tcW w:w="913" w:type="pct"/>
                  <w:gridSpan w:val="2"/>
                  <w:tcBorders>
                    <w:tl2br w:val="nil"/>
                    <w:tr2bl w:val="nil"/>
                  </w:tcBorders>
                  <w:shd w:val="clear" w:color="auto" w:fill="auto"/>
                  <w:noWrap/>
                  <w:vAlign w:val="center"/>
                </w:tcPr>
                <w:p w14:paraId="78408854">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sz w:val="21"/>
                      <w:szCs w:val="21"/>
                      <w:lang w:bidi="ar"/>
                    </w:rPr>
                    <w:t>储料仓</w:t>
                  </w:r>
                </w:p>
              </w:tc>
              <w:tc>
                <w:tcPr>
                  <w:tcW w:w="1340" w:type="pct"/>
                  <w:tcBorders>
                    <w:tl2br w:val="nil"/>
                    <w:tr2bl w:val="nil"/>
                  </w:tcBorders>
                  <w:shd w:val="clear" w:color="auto" w:fill="auto"/>
                  <w:noWrap/>
                  <w:vAlign w:val="center"/>
                </w:tcPr>
                <w:p w14:paraId="24B8EE9D">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kern w:val="0"/>
                      <w:sz w:val="21"/>
                      <w:szCs w:val="21"/>
                      <w:lang w:bidi="ar"/>
                    </w:rPr>
                    <w:t>25</w:t>
                  </w:r>
                  <w:r>
                    <w:rPr>
                      <w:rFonts w:hint="default" w:ascii="Times New Roman" w:hAnsi="Times New Roman" w:eastAsia="宋体" w:cs="Times New Roman"/>
                      <w:kern w:val="0"/>
                      <w:sz w:val="21"/>
                      <w:szCs w:val="21"/>
                      <w:lang w:val="en-US" w:eastAsia="zh-CN" w:bidi="ar"/>
                    </w:rPr>
                    <w:t>m</w:t>
                  </w:r>
                  <w:r>
                    <w:rPr>
                      <w:rFonts w:hint="default" w:ascii="Times New Roman" w:hAnsi="Times New Roman" w:eastAsia="宋体" w:cs="Times New Roman"/>
                      <w:kern w:val="0"/>
                      <w:sz w:val="21"/>
                      <w:szCs w:val="21"/>
                      <w:vertAlign w:val="superscript"/>
                      <w:lang w:val="en-US" w:eastAsia="zh-CN" w:bidi="ar"/>
                    </w:rPr>
                    <w:t>3</w:t>
                  </w:r>
                  <w:r>
                    <w:rPr>
                      <w:rStyle w:val="90"/>
                      <w:rFonts w:hint="default" w:ascii="Times New Roman" w:hAnsi="Times New Roman" w:eastAsia="宋体" w:cs="Times New Roman"/>
                      <w:sz w:val="21"/>
                      <w:szCs w:val="21"/>
                      <w:lang w:bidi="ar"/>
                    </w:rPr>
                    <w:t>混凝土结构</w:t>
                  </w:r>
                </w:p>
              </w:tc>
              <w:tc>
                <w:tcPr>
                  <w:tcW w:w="648" w:type="pct"/>
                  <w:tcBorders>
                    <w:tl2br w:val="nil"/>
                    <w:tr2bl w:val="nil"/>
                  </w:tcBorders>
                  <w:shd w:val="clear" w:color="auto" w:fill="auto"/>
                  <w:noWrap/>
                  <w:vAlign w:val="center"/>
                </w:tcPr>
                <w:p w14:paraId="6C830A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套/条线</w:t>
                  </w:r>
                </w:p>
              </w:tc>
              <w:tc>
                <w:tcPr>
                  <w:tcW w:w="648" w:type="pct"/>
                  <w:vMerge w:val="restart"/>
                  <w:tcBorders>
                    <w:tl2br w:val="nil"/>
                    <w:tr2bl w:val="nil"/>
                  </w:tcBorders>
                  <w:shd w:val="clear" w:color="auto" w:fill="auto"/>
                  <w:noWrap/>
                  <w:vAlign w:val="center"/>
                </w:tcPr>
                <w:p w14:paraId="39F466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p>
              </w:tc>
            </w:tr>
            <w:tr w14:paraId="443A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5AB547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94" w:type="pct"/>
                  <w:vMerge w:val="continue"/>
                  <w:tcBorders>
                    <w:tl2br w:val="nil"/>
                    <w:tr2bl w:val="nil"/>
                  </w:tcBorders>
                  <w:shd w:val="clear" w:color="auto" w:fill="auto"/>
                  <w:noWrap/>
                  <w:vAlign w:val="center"/>
                </w:tcPr>
                <w:p w14:paraId="6E16D7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480" w:type="pct"/>
                  <w:vMerge w:val="continue"/>
                  <w:tcBorders>
                    <w:tl2br w:val="nil"/>
                    <w:tr2bl w:val="nil"/>
                  </w:tcBorders>
                  <w:shd w:val="clear" w:color="auto" w:fill="auto"/>
                  <w:noWrap/>
                  <w:vAlign w:val="center"/>
                </w:tcPr>
                <w:p w14:paraId="628ADA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913" w:type="pct"/>
                  <w:gridSpan w:val="2"/>
                  <w:tcBorders>
                    <w:tl2br w:val="nil"/>
                    <w:tr2bl w:val="nil"/>
                  </w:tcBorders>
                  <w:shd w:val="clear" w:color="auto" w:fill="auto"/>
                  <w:noWrap/>
                  <w:vAlign w:val="center"/>
                </w:tcPr>
                <w:p w14:paraId="7D3817AA">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sz w:val="21"/>
                      <w:szCs w:val="21"/>
                      <w:lang w:bidi="ar"/>
                    </w:rPr>
                    <w:t>储料斗</w:t>
                  </w:r>
                </w:p>
              </w:tc>
              <w:tc>
                <w:tcPr>
                  <w:tcW w:w="1340" w:type="pct"/>
                  <w:tcBorders>
                    <w:tl2br w:val="nil"/>
                    <w:tr2bl w:val="nil"/>
                  </w:tcBorders>
                  <w:shd w:val="clear" w:color="auto" w:fill="auto"/>
                  <w:noWrap/>
                  <w:vAlign w:val="center"/>
                </w:tcPr>
                <w:p w14:paraId="474CD261">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sz w:val="21"/>
                      <w:szCs w:val="21"/>
                      <w:lang w:bidi="ar"/>
                    </w:rPr>
                    <w:t>双门粗精称计量结构</w:t>
                  </w:r>
                </w:p>
              </w:tc>
              <w:tc>
                <w:tcPr>
                  <w:tcW w:w="648" w:type="pct"/>
                  <w:tcBorders>
                    <w:tl2br w:val="nil"/>
                    <w:tr2bl w:val="nil"/>
                  </w:tcBorders>
                  <w:shd w:val="clear" w:color="auto" w:fill="auto"/>
                  <w:noWrap/>
                  <w:vAlign w:val="center"/>
                </w:tcPr>
                <w:p w14:paraId="4B18D3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套/条线</w:t>
                  </w:r>
                </w:p>
              </w:tc>
              <w:tc>
                <w:tcPr>
                  <w:tcW w:w="648" w:type="pct"/>
                  <w:vMerge w:val="continue"/>
                  <w:tcBorders>
                    <w:tl2br w:val="nil"/>
                    <w:tr2bl w:val="nil"/>
                  </w:tcBorders>
                  <w:shd w:val="clear" w:color="auto" w:fill="auto"/>
                  <w:noWrap/>
                  <w:vAlign w:val="center"/>
                </w:tcPr>
                <w:p w14:paraId="59D9EF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3607D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632BBA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594" w:type="pct"/>
                  <w:vMerge w:val="continue"/>
                  <w:tcBorders>
                    <w:tl2br w:val="nil"/>
                    <w:tr2bl w:val="nil"/>
                  </w:tcBorders>
                  <w:shd w:val="clear" w:color="auto" w:fill="auto"/>
                  <w:noWrap/>
                  <w:vAlign w:val="center"/>
                </w:tcPr>
                <w:p w14:paraId="6CF8FC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480" w:type="pct"/>
                  <w:vMerge w:val="continue"/>
                  <w:tcBorders>
                    <w:tl2br w:val="nil"/>
                    <w:tr2bl w:val="nil"/>
                  </w:tcBorders>
                  <w:shd w:val="clear" w:color="auto" w:fill="auto"/>
                  <w:noWrap/>
                  <w:vAlign w:val="center"/>
                </w:tcPr>
                <w:p w14:paraId="69BEF9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913" w:type="pct"/>
                  <w:gridSpan w:val="2"/>
                  <w:tcBorders>
                    <w:tl2br w:val="nil"/>
                    <w:tr2bl w:val="nil"/>
                  </w:tcBorders>
                  <w:shd w:val="clear" w:color="auto" w:fill="auto"/>
                  <w:noWrap/>
                  <w:vAlign w:val="center"/>
                </w:tcPr>
                <w:p w14:paraId="5BFD7B08">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sz w:val="21"/>
                      <w:szCs w:val="21"/>
                      <w:lang w:bidi="ar"/>
                    </w:rPr>
                    <w:t>计量斗</w:t>
                  </w:r>
                </w:p>
              </w:tc>
              <w:tc>
                <w:tcPr>
                  <w:tcW w:w="1340" w:type="pct"/>
                  <w:tcBorders>
                    <w:tl2br w:val="nil"/>
                    <w:tr2bl w:val="nil"/>
                  </w:tcBorders>
                  <w:shd w:val="clear" w:color="auto" w:fill="auto"/>
                  <w:noWrap/>
                  <w:vAlign w:val="center"/>
                </w:tcPr>
                <w:p w14:paraId="11957097">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sz w:val="21"/>
                      <w:szCs w:val="21"/>
                      <w:lang w:bidi="ar"/>
                    </w:rPr>
                    <w:t>2.5m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51A715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套/条线</w:t>
                  </w:r>
                </w:p>
              </w:tc>
              <w:tc>
                <w:tcPr>
                  <w:tcW w:w="648" w:type="pct"/>
                  <w:vMerge w:val="continue"/>
                  <w:tcBorders>
                    <w:tl2br w:val="nil"/>
                    <w:tr2bl w:val="nil"/>
                  </w:tcBorders>
                  <w:shd w:val="clear" w:color="auto" w:fill="auto"/>
                  <w:noWrap/>
                  <w:vAlign w:val="center"/>
                </w:tcPr>
                <w:p w14:paraId="13AD14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01050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1A403D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594" w:type="pct"/>
                  <w:vMerge w:val="continue"/>
                  <w:tcBorders>
                    <w:tl2br w:val="nil"/>
                    <w:tr2bl w:val="nil"/>
                  </w:tcBorders>
                  <w:shd w:val="clear" w:color="auto" w:fill="auto"/>
                  <w:noWrap/>
                  <w:vAlign w:val="center"/>
                </w:tcPr>
                <w:p w14:paraId="2A1273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5931414F">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水平皮带机</w:t>
                  </w:r>
                </w:p>
              </w:tc>
              <w:tc>
                <w:tcPr>
                  <w:tcW w:w="1340" w:type="pct"/>
                  <w:tcBorders>
                    <w:tl2br w:val="nil"/>
                    <w:tr2bl w:val="nil"/>
                  </w:tcBorders>
                  <w:shd w:val="clear" w:color="auto" w:fill="auto"/>
                  <w:noWrap/>
                  <w:vAlign w:val="center"/>
                </w:tcPr>
                <w:p w14:paraId="27D977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lang w:bidi="ar"/>
                    </w:rPr>
                    <w:t>1000mm</w:t>
                  </w:r>
                </w:p>
              </w:tc>
              <w:tc>
                <w:tcPr>
                  <w:tcW w:w="648" w:type="pct"/>
                  <w:tcBorders>
                    <w:tl2br w:val="nil"/>
                    <w:tr2bl w:val="nil"/>
                  </w:tcBorders>
                  <w:shd w:val="clear" w:color="auto" w:fill="auto"/>
                  <w:noWrap/>
                  <w:vAlign w:val="center"/>
                </w:tcPr>
                <w:p w14:paraId="7D8228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套/条线</w:t>
                  </w:r>
                </w:p>
              </w:tc>
              <w:tc>
                <w:tcPr>
                  <w:tcW w:w="648" w:type="pct"/>
                  <w:vMerge w:val="continue"/>
                  <w:tcBorders>
                    <w:tl2br w:val="nil"/>
                    <w:tr2bl w:val="nil"/>
                  </w:tcBorders>
                  <w:shd w:val="clear" w:color="auto" w:fill="auto"/>
                  <w:noWrap/>
                  <w:vAlign w:val="center"/>
                </w:tcPr>
                <w:p w14:paraId="60E4DE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5EED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662B6F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594" w:type="pct"/>
                  <w:vMerge w:val="continue"/>
                  <w:tcBorders>
                    <w:tl2br w:val="nil"/>
                    <w:tr2bl w:val="nil"/>
                  </w:tcBorders>
                  <w:shd w:val="clear" w:color="auto" w:fill="auto"/>
                  <w:noWrap/>
                  <w:vAlign w:val="center"/>
                </w:tcPr>
                <w:p w14:paraId="129668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0561173F">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斜皮带机</w:t>
                  </w:r>
                </w:p>
              </w:tc>
              <w:tc>
                <w:tcPr>
                  <w:tcW w:w="1340" w:type="pct"/>
                  <w:tcBorders>
                    <w:tl2br w:val="nil"/>
                    <w:tr2bl w:val="nil"/>
                  </w:tcBorders>
                  <w:shd w:val="clear" w:color="auto" w:fill="auto"/>
                  <w:noWrap/>
                  <w:vAlign w:val="center"/>
                </w:tcPr>
                <w:p w14:paraId="6FAD8E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lang w:bidi="ar"/>
                    </w:rPr>
                    <w:t>1000mm</w:t>
                  </w:r>
                </w:p>
              </w:tc>
              <w:tc>
                <w:tcPr>
                  <w:tcW w:w="648" w:type="pct"/>
                  <w:tcBorders>
                    <w:tl2br w:val="nil"/>
                    <w:tr2bl w:val="nil"/>
                  </w:tcBorders>
                  <w:shd w:val="clear" w:color="auto" w:fill="auto"/>
                  <w:noWrap/>
                  <w:vAlign w:val="center"/>
                </w:tcPr>
                <w:p w14:paraId="20ED92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1套/条线</w:t>
                  </w:r>
                </w:p>
              </w:tc>
              <w:tc>
                <w:tcPr>
                  <w:tcW w:w="648" w:type="pct"/>
                  <w:vMerge w:val="continue"/>
                  <w:tcBorders>
                    <w:tl2br w:val="nil"/>
                    <w:tr2bl w:val="nil"/>
                  </w:tcBorders>
                  <w:shd w:val="clear" w:color="auto" w:fill="auto"/>
                  <w:noWrap/>
                  <w:vAlign w:val="center"/>
                </w:tcPr>
                <w:p w14:paraId="24E0C0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430A0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6C2650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94" w:type="pct"/>
                  <w:vMerge w:val="continue"/>
                  <w:tcBorders>
                    <w:tl2br w:val="nil"/>
                    <w:tr2bl w:val="nil"/>
                  </w:tcBorders>
                  <w:shd w:val="clear" w:color="auto" w:fill="auto"/>
                  <w:noWrap/>
                  <w:vAlign w:val="center"/>
                </w:tcPr>
                <w:p w14:paraId="6A119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7E0C91BE">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搅拌主机</w:t>
                  </w:r>
                </w:p>
              </w:tc>
              <w:tc>
                <w:tcPr>
                  <w:tcW w:w="1340" w:type="pct"/>
                  <w:tcBorders>
                    <w:tl2br w:val="nil"/>
                    <w:tr2bl w:val="nil"/>
                  </w:tcBorders>
                  <w:shd w:val="clear" w:color="auto" w:fill="auto"/>
                  <w:noWrap/>
                  <w:vAlign w:val="center"/>
                </w:tcPr>
                <w:p w14:paraId="3895E7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sz w:val="21"/>
                      <w:szCs w:val="21"/>
                      <w:lang w:val="en-US" w:eastAsia="zh-CN" w:bidi="ar"/>
                    </w:rPr>
                    <w:t>3</w:t>
                  </w:r>
                  <w:r>
                    <w:rPr>
                      <w:rFonts w:hint="default" w:ascii="Times New Roman" w:hAnsi="Times New Roman" w:eastAsia="宋体" w:cs="Times New Roman"/>
                      <w:sz w:val="21"/>
                      <w:szCs w:val="21"/>
                      <w:lang w:bidi="ar"/>
                    </w:rPr>
                    <w:t>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42C497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r>
                    <w:rPr>
                      <w:rFonts w:hint="eastAsia" w:cs="Times New Roman"/>
                      <w:i w:val="0"/>
                      <w:iCs w:val="0"/>
                      <w:color w:val="000000" w:themeColor="text1"/>
                      <w:sz w:val="21"/>
                      <w:szCs w:val="21"/>
                      <w:u w:val="none"/>
                      <w:lang w:val="en-US" w:eastAsia="zh-CN"/>
                      <w14:textFill>
                        <w14:solidFill>
                          <w14:schemeClr w14:val="tx1"/>
                        </w14:solidFill>
                      </w14:textFill>
                    </w:rPr>
                    <w:t>台</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0C575B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18A1F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4B70DB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w:t>
                  </w:r>
                </w:p>
              </w:tc>
              <w:tc>
                <w:tcPr>
                  <w:tcW w:w="594" w:type="pct"/>
                  <w:vMerge w:val="continue"/>
                  <w:tcBorders>
                    <w:tl2br w:val="nil"/>
                    <w:tr2bl w:val="nil"/>
                  </w:tcBorders>
                  <w:shd w:val="clear" w:color="auto" w:fill="auto"/>
                  <w:noWrap/>
                  <w:vAlign w:val="center"/>
                </w:tcPr>
                <w:p w14:paraId="046056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221A9C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骨料待料斗</w:t>
                  </w:r>
                </w:p>
              </w:tc>
              <w:tc>
                <w:tcPr>
                  <w:tcW w:w="1340" w:type="pct"/>
                  <w:tcBorders>
                    <w:tl2br w:val="nil"/>
                    <w:tr2bl w:val="nil"/>
                  </w:tcBorders>
                  <w:shd w:val="clear" w:color="auto" w:fill="auto"/>
                  <w:noWrap/>
                  <w:vAlign w:val="center"/>
                </w:tcPr>
                <w:p w14:paraId="30C27B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4</w:t>
                  </w:r>
                  <w:r>
                    <w:rPr>
                      <w:rFonts w:hint="default" w:ascii="Times New Roman" w:hAnsi="Times New Roman" w:eastAsia="宋体" w:cs="Times New Roman"/>
                      <w:sz w:val="21"/>
                      <w:szCs w:val="21"/>
                      <w:lang w:bidi="ar"/>
                    </w:rPr>
                    <w:t>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03B76F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1套/条线</w:t>
                  </w:r>
                </w:p>
              </w:tc>
              <w:tc>
                <w:tcPr>
                  <w:tcW w:w="648" w:type="pct"/>
                  <w:vMerge w:val="continue"/>
                  <w:tcBorders>
                    <w:tl2br w:val="nil"/>
                    <w:tr2bl w:val="nil"/>
                  </w:tcBorders>
                  <w:shd w:val="clear" w:color="auto" w:fill="auto"/>
                  <w:noWrap/>
                  <w:vAlign w:val="center"/>
                </w:tcPr>
                <w:p w14:paraId="7345F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20996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445FDD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w:t>
                  </w:r>
                </w:p>
              </w:tc>
              <w:tc>
                <w:tcPr>
                  <w:tcW w:w="594" w:type="pct"/>
                  <w:vMerge w:val="continue"/>
                  <w:tcBorders>
                    <w:tl2br w:val="nil"/>
                    <w:tr2bl w:val="nil"/>
                  </w:tcBorders>
                  <w:shd w:val="clear" w:color="auto" w:fill="auto"/>
                  <w:noWrap/>
                  <w:vAlign w:val="center"/>
                </w:tcPr>
                <w:p w14:paraId="0FA0A9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36C8EA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除尘系统</w:t>
                  </w:r>
                </w:p>
              </w:tc>
              <w:tc>
                <w:tcPr>
                  <w:tcW w:w="1340" w:type="pct"/>
                  <w:tcBorders>
                    <w:tl2br w:val="nil"/>
                    <w:tr2bl w:val="nil"/>
                  </w:tcBorders>
                  <w:shd w:val="clear" w:color="auto" w:fill="auto"/>
                  <w:noWrap/>
                  <w:vAlign w:val="center"/>
                </w:tcPr>
                <w:p w14:paraId="10AE2E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30m</w:t>
                  </w:r>
                  <w:r>
                    <w:rPr>
                      <w:rFonts w:hint="default"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脉冲布袋除尘</w:t>
                  </w:r>
                </w:p>
              </w:tc>
              <w:tc>
                <w:tcPr>
                  <w:tcW w:w="648" w:type="pct"/>
                  <w:tcBorders>
                    <w:tl2br w:val="nil"/>
                    <w:tr2bl w:val="nil"/>
                  </w:tcBorders>
                  <w:shd w:val="clear" w:color="auto" w:fill="auto"/>
                  <w:noWrap/>
                  <w:vAlign w:val="center"/>
                </w:tcPr>
                <w:p w14:paraId="4AEE02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1套/条线</w:t>
                  </w:r>
                </w:p>
              </w:tc>
              <w:tc>
                <w:tcPr>
                  <w:tcW w:w="648" w:type="pct"/>
                  <w:vMerge w:val="continue"/>
                  <w:tcBorders>
                    <w:tl2br w:val="nil"/>
                    <w:tr2bl w:val="nil"/>
                  </w:tcBorders>
                  <w:shd w:val="clear" w:color="auto" w:fill="auto"/>
                  <w:noWrap/>
                  <w:vAlign w:val="center"/>
                </w:tcPr>
                <w:p w14:paraId="20B6A5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275E3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66FE50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594" w:type="pct"/>
                  <w:vMerge w:val="continue"/>
                  <w:tcBorders>
                    <w:tl2br w:val="nil"/>
                    <w:tr2bl w:val="nil"/>
                  </w:tcBorders>
                  <w:shd w:val="clear" w:color="auto" w:fill="auto"/>
                  <w:noWrap/>
                  <w:vAlign w:val="center"/>
                </w:tcPr>
                <w:p w14:paraId="47020E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43642E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水泥筒仓</w:t>
                  </w:r>
                </w:p>
              </w:tc>
              <w:tc>
                <w:tcPr>
                  <w:tcW w:w="1340" w:type="pct"/>
                  <w:tcBorders>
                    <w:tl2br w:val="nil"/>
                    <w:tr2bl w:val="nil"/>
                  </w:tcBorders>
                  <w:shd w:val="clear" w:color="auto" w:fill="auto"/>
                  <w:noWrap/>
                  <w:vAlign w:val="center"/>
                </w:tcPr>
                <w:p w14:paraId="761308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260t</w:t>
                  </w:r>
                </w:p>
              </w:tc>
              <w:tc>
                <w:tcPr>
                  <w:tcW w:w="648" w:type="pct"/>
                  <w:tcBorders>
                    <w:tl2br w:val="nil"/>
                    <w:tr2bl w:val="nil"/>
                  </w:tcBorders>
                  <w:shd w:val="clear" w:color="auto" w:fill="auto"/>
                  <w:noWrap/>
                  <w:vAlign w:val="center"/>
                </w:tcPr>
                <w:p w14:paraId="2BE7EA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2个</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09DAE4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2BD14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37F31C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594" w:type="pct"/>
                  <w:vMerge w:val="continue"/>
                  <w:tcBorders>
                    <w:tl2br w:val="nil"/>
                    <w:tr2bl w:val="nil"/>
                  </w:tcBorders>
                  <w:shd w:val="clear" w:color="auto" w:fill="auto"/>
                  <w:noWrap/>
                  <w:vAlign w:val="center"/>
                </w:tcPr>
                <w:p w14:paraId="678523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2F9E12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煤灰筒仓</w:t>
                  </w:r>
                </w:p>
              </w:tc>
              <w:tc>
                <w:tcPr>
                  <w:tcW w:w="1340" w:type="pct"/>
                  <w:tcBorders>
                    <w:tl2br w:val="nil"/>
                    <w:tr2bl w:val="nil"/>
                  </w:tcBorders>
                  <w:shd w:val="clear" w:color="auto" w:fill="auto"/>
                  <w:noWrap/>
                  <w:vAlign w:val="center"/>
                </w:tcPr>
                <w:p w14:paraId="6E7CD0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260t</w:t>
                  </w:r>
                </w:p>
              </w:tc>
              <w:tc>
                <w:tcPr>
                  <w:tcW w:w="648" w:type="pct"/>
                  <w:tcBorders>
                    <w:tl2br w:val="nil"/>
                    <w:tr2bl w:val="nil"/>
                  </w:tcBorders>
                  <w:shd w:val="clear" w:color="auto" w:fill="auto"/>
                  <w:noWrap/>
                  <w:vAlign w:val="center"/>
                </w:tcPr>
                <w:p w14:paraId="5A1E6F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1个</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645330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7A1F1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7FBEC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594" w:type="pct"/>
                  <w:vMerge w:val="continue"/>
                  <w:tcBorders>
                    <w:tl2br w:val="nil"/>
                    <w:tr2bl w:val="nil"/>
                  </w:tcBorders>
                  <w:shd w:val="clear" w:color="auto" w:fill="auto"/>
                  <w:noWrap/>
                  <w:vAlign w:val="center"/>
                </w:tcPr>
                <w:p w14:paraId="46E5E5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1271F4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矿粉筒仓</w:t>
                  </w:r>
                </w:p>
              </w:tc>
              <w:tc>
                <w:tcPr>
                  <w:tcW w:w="1340" w:type="pct"/>
                  <w:tcBorders>
                    <w:tl2br w:val="nil"/>
                    <w:tr2bl w:val="nil"/>
                  </w:tcBorders>
                  <w:shd w:val="clear" w:color="auto" w:fill="auto"/>
                  <w:noWrap/>
                  <w:vAlign w:val="center"/>
                </w:tcPr>
                <w:p w14:paraId="4F0657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260t</w:t>
                  </w:r>
                </w:p>
              </w:tc>
              <w:tc>
                <w:tcPr>
                  <w:tcW w:w="648" w:type="pct"/>
                  <w:tcBorders>
                    <w:tl2br w:val="nil"/>
                    <w:tr2bl w:val="nil"/>
                  </w:tcBorders>
                  <w:shd w:val="clear" w:color="auto" w:fill="auto"/>
                  <w:noWrap/>
                  <w:vAlign w:val="center"/>
                </w:tcPr>
                <w:p w14:paraId="48CB86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1个</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1C152B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0E98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447AE2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w:t>
                  </w:r>
                </w:p>
              </w:tc>
              <w:tc>
                <w:tcPr>
                  <w:tcW w:w="594" w:type="pct"/>
                  <w:vMerge w:val="continue"/>
                  <w:tcBorders>
                    <w:tl2br w:val="nil"/>
                    <w:tr2bl w:val="nil"/>
                  </w:tcBorders>
                  <w:shd w:val="clear" w:color="auto" w:fill="auto"/>
                  <w:noWrap/>
                  <w:vAlign w:val="center"/>
                </w:tcPr>
                <w:p w14:paraId="2A80EF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796FDD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膨胀剂筒仓</w:t>
                  </w:r>
                </w:p>
              </w:tc>
              <w:tc>
                <w:tcPr>
                  <w:tcW w:w="1340" w:type="pct"/>
                  <w:tcBorders>
                    <w:tl2br w:val="nil"/>
                    <w:tr2bl w:val="nil"/>
                  </w:tcBorders>
                  <w:shd w:val="clear" w:color="auto" w:fill="auto"/>
                  <w:noWrap/>
                  <w:vAlign w:val="center"/>
                </w:tcPr>
                <w:p w14:paraId="10C63E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0t</w:t>
                  </w:r>
                </w:p>
              </w:tc>
              <w:tc>
                <w:tcPr>
                  <w:tcW w:w="648" w:type="pct"/>
                  <w:tcBorders>
                    <w:tl2br w:val="nil"/>
                    <w:tr2bl w:val="nil"/>
                  </w:tcBorders>
                  <w:shd w:val="clear" w:color="auto" w:fill="auto"/>
                  <w:noWrap/>
                  <w:vAlign w:val="center"/>
                </w:tcPr>
                <w:p w14:paraId="62913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1个</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65C40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3BFC7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5A9A0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w:t>
                  </w:r>
                </w:p>
              </w:tc>
              <w:tc>
                <w:tcPr>
                  <w:tcW w:w="594" w:type="pct"/>
                  <w:vMerge w:val="continue"/>
                  <w:tcBorders>
                    <w:tl2br w:val="nil"/>
                    <w:tr2bl w:val="nil"/>
                  </w:tcBorders>
                  <w:shd w:val="clear" w:color="auto" w:fill="auto"/>
                  <w:noWrap/>
                  <w:vAlign w:val="center"/>
                </w:tcPr>
                <w:p w14:paraId="0ACC3A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0B2556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外加剂</w:t>
                  </w:r>
                  <w:r>
                    <w:rPr>
                      <w:rFonts w:hint="eastAsia" w:cs="Times New Roman"/>
                      <w:i w:val="0"/>
                      <w:iCs w:val="0"/>
                      <w:color w:val="000000" w:themeColor="text1"/>
                      <w:sz w:val="21"/>
                      <w:szCs w:val="21"/>
                      <w:u w:val="none"/>
                      <w:lang w:val="en-US" w:eastAsia="zh-CN"/>
                      <w14:textFill>
                        <w14:solidFill>
                          <w14:schemeClr w14:val="tx1"/>
                        </w14:solidFill>
                      </w14:textFill>
                    </w:rPr>
                    <w:t>罐</w:t>
                  </w:r>
                </w:p>
              </w:tc>
              <w:tc>
                <w:tcPr>
                  <w:tcW w:w="1340" w:type="pct"/>
                  <w:tcBorders>
                    <w:tl2br w:val="nil"/>
                    <w:tr2bl w:val="nil"/>
                  </w:tcBorders>
                  <w:shd w:val="clear" w:color="auto" w:fill="auto"/>
                  <w:noWrap/>
                  <w:vAlign w:val="center"/>
                </w:tcPr>
                <w:p w14:paraId="59264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10</w:t>
                  </w:r>
                  <w:r>
                    <w:rPr>
                      <w:rFonts w:hint="default" w:ascii="Times New Roman" w:hAnsi="Times New Roman" w:eastAsia="宋体" w:cs="Times New Roman"/>
                      <w:sz w:val="21"/>
                      <w:szCs w:val="21"/>
                      <w:lang w:bidi="ar"/>
                    </w:rPr>
                    <w:t>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36C21D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2个</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/条线</w:t>
                  </w:r>
                </w:p>
              </w:tc>
              <w:tc>
                <w:tcPr>
                  <w:tcW w:w="648" w:type="pct"/>
                  <w:vMerge w:val="continue"/>
                  <w:tcBorders>
                    <w:tl2br w:val="nil"/>
                    <w:tr2bl w:val="nil"/>
                  </w:tcBorders>
                  <w:shd w:val="clear" w:color="auto" w:fill="auto"/>
                  <w:noWrap/>
                  <w:vAlign w:val="center"/>
                </w:tcPr>
                <w:p w14:paraId="1427DA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297E7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557F82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w:t>
                  </w:r>
                </w:p>
              </w:tc>
              <w:tc>
                <w:tcPr>
                  <w:tcW w:w="594" w:type="pct"/>
                  <w:vMerge w:val="restart"/>
                  <w:tcBorders>
                    <w:tl2br w:val="nil"/>
                    <w:tr2bl w:val="nil"/>
                  </w:tcBorders>
                  <w:shd w:val="clear" w:color="auto" w:fill="auto"/>
                  <w:noWrap/>
                  <w:vAlign w:val="center"/>
                </w:tcPr>
                <w:p w14:paraId="6BBA38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预拌砂浆生产线（1条）</w:t>
                  </w:r>
                </w:p>
              </w:tc>
              <w:tc>
                <w:tcPr>
                  <w:tcW w:w="541" w:type="pct"/>
                  <w:gridSpan w:val="2"/>
                  <w:vMerge w:val="restart"/>
                  <w:tcBorders>
                    <w:tl2br w:val="nil"/>
                    <w:tr2bl w:val="nil"/>
                  </w:tcBorders>
                  <w:shd w:val="clear" w:color="auto" w:fill="auto"/>
                  <w:noWrap/>
                  <w:vAlign w:val="center"/>
                </w:tcPr>
                <w:p w14:paraId="07308E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地仓配料站</w:t>
                  </w:r>
                </w:p>
              </w:tc>
              <w:tc>
                <w:tcPr>
                  <w:tcW w:w="853" w:type="pct"/>
                  <w:tcBorders>
                    <w:tl2br w:val="nil"/>
                    <w:tr2bl w:val="nil"/>
                  </w:tcBorders>
                  <w:shd w:val="clear" w:color="auto" w:fill="auto"/>
                  <w:noWrap/>
                  <w:vAlign w:val="center"/>
                </w:tcPr>
                <w:p w14:paraId="00F67CCF">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sz w:val="21"/>
                      <w:szCs w:val="21"/>
                      <w:lang w:bidi="ar"/>
                    </w:rPr>
                    <w:t>储料仓</w:t>
                  </w:r>
                </w:p>
              </w:tc>
              <w:tc>
                <w:tcPr>
                  <w:tcW w:w="1340" w:type="pct"/>
                  <w:tcBorders>
                    <w:tl2br w:val="nil"/>
                    <w:tr2bl w:val="nil"/>
                  </w:tcBorders>
                  <w:shd w:val="clear" w:color="auto" w:fill="auto"/>
                  <w:noWrap/>
                  <w:vAlign w:val="center"/>
                </w:tcPr>
                <w:p w14:paraId="65CDDA11">
                  <w:pPr>
                    <w:jc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Style w:val="90"/>
                      <w:rFonts w:hint="default" w:ascii="Times New Roman" w:hAnsi="Times New Roman" w:eastAsia="宋体" w:cs="Times New Roman"/>
                      <w:sz w:val="21"/>
                      <w:szCs w:val="21"/>
                      <w:lang w:bidi="ar"/>
                    </w:rPr>
                    <w:t>混凝土结构</w:t>
                  </w:r>
                </w:p>
              </w:tc>
              <w:tc>
                <w:tcPr>
                  <w:tcW w:w="648" w:type="pct"/>
                  <w:tcBorders>
                    <w:tl2br w:val="nil"/>
                    <w:tr2bl w:val="nil"/>
                  </w:tcBorders>
                  <w:shd w:val="clear" w:color="auto" w:fill="auto"/>
                  <w:noWrap/>
                  <w:vAlign w:val="center"/>
                </w:tcPr>
                <w:p w14:paraId="6285B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w:t>
                  </w:r>
                </w:p>
              </w:tc>
              <w:tc>
                <w:tcPr>
                  <w:tcW w:w="648" w:type="pct"/>
                  <w:vMerge w:val="restart"/>
                  <w:tcBorders>
                    <w:tl2br w:val="nil"/>
                    <w:tr2bl w:val="nil"/>
                  </w:tcBorders>
                  <w:shd w:val="clear" w:color="auto" w:fill="auto"/>
                  <w:noWrap/>
                  <w:vAlign w:val="center"/>
                </w:tcPr>
                <w:p w14:paraId="52A06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p>
              </w:tc>
            </w:tr>
            <w:tr w14:paraId="341DF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18AB11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w:t>
                  </w:r>
                </w:p>
              </w:tc>
              <w:tc>
                <w:tcPr>
                  <w:tcW w:w="594" w:type="pct"/>
                  <w:vMerge w:val="continue"/>
                  <w:tcBorders>
                    <w:tl2br w:val="nil"/>
                    <w:tr2bl w:val="nil"/>
                  </w:tcBorders>
                  <w:shd w:val="clear" w:color="auto" w:fill="auto"/>
                  <w:noWrap/>
                  <w:vAlign w:val="center"/>
                </w:tcPr>
                <w:p w14:paraId="438C99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41" w:type="pct"/>
                  <w:gridSpan w:val="2"/>
                  <w:vMerge w:val="continue"/>
                  <w:tcBorders>
                    <w:tl2br w:val="nil"/>
                    <w:tr2bl w:val="nil"/>
                  </w:tcBorders>
                  <w:shd w:val="clear" w:color="auto" w:fill="auto"/>
                  <w:noWrap/>
                  <w:vAlign w:val="center"/>
                </w:tcPr>
                <w:p w14:paraId="2F5BE2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853" w:type="pct"/>
                  <w:tcBorders>
                    <w:tl2br w:val="nil"/>
                    <w:tr2bl w:val="nil"/>
                  </w:tcBorders>
                  <w:shd w:val="clear" w:color="auto" w:fill="auto"/>
                  <w:noWrap/>
                  <w:vAlign w:val="center"/>
                </w:tcPr>
                <w:p w14:paraId="3A577745">
                  <w:pPr>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sz w:val="21"/>
                      <w:szCs w:val="21"/>
                      <w:lang w:bidi="ar"/>
                    </w:rPr>
                    <w:t>储料斗</w:t>
                  </w:r>
                </w:p>
              </w:tc>
              <w:tc>
                <w:tcPr>
                  <w:tcW w:w="1340" w:type="pct"/>
                  <w:tcBorders>
                    <w:tl2br w:val="nil"/>
                    <w:tr2bl w:val="nil"/>
                  </w:tcBorders>
                  <w:shd w:val="clear" w:color="auto" w:fill="auto"/>
                  <w:noWrap/>
                  <w:vAlign w:val="center"/>
                </w:tcPr>
                <w:p w14:paraId="7E943578">
                  <w:pPr>
                    <w:jc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sz w:val="21"/>
                      <w:szCs w:val="21"/>
                      <w:lang w:bidi="ar"/>
                    </w:rPr>
                    <w:t>双门粗精称计量结构</w:t>
                  </w:r>
                </w:p>
              </w:tc>
              <w:tc>
                <w:tcPr>
                  <w:tcW w:w="648" w:type="pct"/>
                  <w:tcBorders>
                    <w:tl2br w:val="nil"/>
                    <w:tr2bl w:val="nil"/>
                  </w:tcBorders>
                  <w:shd w:val="clear" w:color="auto" w:fill="auto"/>
                  <w:noWrap/>
                  <w:vAlign w:val="center"/>
                </w:tcPr>
                <w:p w14:paraId="4E2352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w:t>
                  </w:r>
                </w:p>
              </w:tc>
              <w:tc>
                <w:tcPr>
                  <w:tcW w:w="648" w:type="pct"/>
                  <w:vMerge w:val="continue"/>
                  <w:tcBorders>
                    <w:tl2br w:val="nil"/>
                    <w:tr2bl w:val="nil"/>
                  </w:tcBorders>
                  <w:shd w:val="clear" w:color="auto" w:fill="auto"/>
                  <w:noWrap/>
                  <w:vAlign w:val="center"/>
                </w:tcPr>
                <w:p w14:paraId="1596A0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4121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CA0A5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16</w:t>
                  </w:r>
                </w:p>
              </w:tc>
              <w:tc>
                <w:tcPr>
                  <w:tcW w:w="594" w:type="pct"/>
                  <w:vMerge w:val="continue"/>
                  <w:tcBorders>
                    <w:tl2br w:val="nil"/>
                    <w:tr2bl w:val="nil"/>
                  </w:tcBorders>
                  <w:shd w:val="clear" w:color="auto" w:fill="auto"/>
                  <w:noWrap/>
                  <w:vAlign w:val="center"/>
                </w:tcPr>
                <w:p w14:paraId="71B4AA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41" w:type="pct"/>
                  <w:gridSpan w:val="2"/>
                  <w:vMerge w:val="continue"/>
                  <w:tcBorders>
                    <w:tl2br w:val="nil"/>
                    <w:tr2bl w:val="nil"/>
                  </w:tcBorders>
                  <w:shd w:val="clear" w:color="auto" w:fill="auto"/>
                  <w:noWrap/>
                  <w:vAlign w:val="center"/>
                </w:tcPr>
                <w:p w14:paraId="1862CD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853" w:type="pct"/>
                  <w:tcBorders>
                    <w:tl2br w:val="nil"/>
                    <w:tr2bl w:val="nil"/>
                  </w:tcBorders>
                  <w:shd w:val="clear" w:color="auto" w:fill="auto"/>
                  <w:noWrap/>
                  <w:vAlign w:val="center"/>
                </w:tcPr>
                <w:p w14:paraId="5893072D">
                  <w:pPr>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sz w:val="21"/>
                      <w:szCs w:val="21"/>
                      <w:lang w:bidi="ar"/>
                    </w:rPr>
                    <w:t>计量斗</w:t>
                  </w:r>
                </w:p>
              </w:tc>
              <w:tc>
                <w:tcPr>
                  <w:tcW w:w="1340" w:type="pct"/>
                  <w:tcBorders>
                    <w:tl2br w:val="nil"/>
                    <w:tr2bl w:val="nil"/>
                  </w:tcBorders>
                  <w:shd w:val="clear" w:color="auto" w:fill="auto"/>
                  <w:noWrap/>
                  <w:vAlign w:val="center"/>
                </w:tcPr>
                <w:p w14:paraId="4DF6616F">
                  <w:pPr>
                    <w:jc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sz w:val="21"/>
                      <w:szCs w:val="21"/>
                      <w:lang w:bidi="ar"/>
                    </w:rPr>
                    <w:t>2.5m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3F0834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套</w:t>
                  </w:r>
                </w:p>
              </w:tc>
              <w:tc>
                <w:tcPr>
                  <w:tcW w:w="648" w:type="pct"/>
                  <w:vMerge w:val="continue"/>
                  <w:tcBorders>
                    <w:tl2br w:val="nil"/>
                    <w:tr2bl w:val="nil"/>
                  </w:tcBorders>
                  <w:shd w:val="clear" w:color="auto" w:fill="auto"/>
                  <w:noWrap/>
                  <w:vAlign w:val="center"/>
                </w:tcPr>
                <w:p w14:paraId="7A9052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58FB4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A4ADC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w:t>
                  </w:r>
                </w:p>
              </w:tc>
              <w:tc>
                <w:tcPr>
                  <w:tcW w:w="594" w:type="pct"/>
                  <w:vMerge w:val="continue"/>
                  <w:tcBorders>
                    <w:tl2br w:val="nil"/>
                    <w:tr2bl w:val="nil"/>
                  </w:tcBorders>
                  <w:shd w:val="clear" w:color="auto" w:fill="auto"/>
                  <w:noWrap/>
                  <w:vAlign w:val="center"/>
                </w:tcPr>
                <w:p w14:paraId="676E64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7E081C39">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水平皮带机</w:t>
                  </w:r>
                </w:p>
              </w:tc>
              <w:tc>
                <w:tcPr>
                  <w:tcW w:w="1340" w:type="pct"/>
                  <w:tcBorders>
                    <w:tl2br w:val="nil"/>
                    <w:tr2bl w:val="nil"/>
                  </w:tcBorders>
                  <w:shd w:val="clear" w:color="auto" w:fill="auto"/>
                  <w:noWrap/>
                  <w:vAlign w:val="center"/>
                </w:tcPr>
                <w:p w14:paraId="23764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lang w:bidi="ar"/>
                    </w:rPr>
                    <w:t>1000mm</w:t>
                  </w:r>
                </w:p>
              </w:tc>
              <w:tc>
                <w:tcPr>
                  <w:tcW w:w="648" w:type="pct"/>
                  <w:tcBorders>
                    <w:tl2br w:val="nil"/>
                    <w:tr2bl w:val="nil"/>
                  </w:tcBorders>
                  <w:shd w:val="clear" w:color="auto" w:fill="auto"/>
                  <w:noWrap/>
                  <w:vAlign w:val="center"/>
                </w:tcPr>
                <w:p w14:paraId="493262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w:t>
                  </w:r>
                </w:p>
              </w:tc>
              <w:tc>
                <w:tcPr>
                  <w:tcW w:w="648" w:type="pct"/>
                  <w:vMerge w:val="continue"/>
                  <w:tcBorders>
                    <w:tl2br w:val="nil"/>
                    <w:tr2bl w:val="nil"/>
                  </w:tcBorders>
                  <w:shd w:val="clear" w:color="auto" w:fill="auto"/>
                  <w:noWrap/>
                  <w:vAlign w:val="center"/>
                </w:tcPr>
                <w:p w14:paraId="7AB911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49DC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6CC4BE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18</w:t>
                  </w:r>
                </w:p>
              </w:tc>
              <w:tc>
                <w:tcPr>
                  <w:tcW w:w="594" w:type="pct"/>
                  <w:vMerge w:val="continue"/>
                  <w:tcBorders>
                    <w:tl2br w:val="nil"/>
                    <w:tr2bl w:val="nil"/>
                  </w:tcBorders>
                  <w:shd w:val="clear" w:color="auto" w:fill="auto"/>
                  <w:noWrap/>
                  <w:vAlign w:val="center"/>
                </w:tcPr>
                <w:p w14:paraId="6B8BD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37F87E5B">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斜皮带机</w:t>
                  </w:r>
                </w:p>
              </w:tc>
              <w:tc>
                <w:tcPr>
                  <w:tcW w:w="1340" w:type="pct"/>
                  <w:tcBorders>
                    <w:tl2br w:val="nil"/>
                    <w:tr2bl w:val="nil"/>
                  </w:tcBorders>
                  <w:shd w:val="clear" w:color="auto" w:fill="auto"/>
                  <w:noWrap/>
                  <w:vAlign w:val="center"/>
                </w:tcPr>
                <w:p w14:paraId="7BCB1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lang w:bidi="ar"/>
                    </w:rPr>
                    <w:t>1000mm</w:t>
                  </w:r>
                </w:p>
              </w:tc>
              <w:tc>
                <w:tcPr>
                  <w:tcW w:w="648" w:type="pct"/>
                  <w:tcBorders>
                    <w:tl2br w:val="nil"/>
                    <w:tr2bl w:val="nil"/>
                  </w:tcBorders>
                  <w:shd w:val="clear" w:color="auto" w:fill="auto"/>
                  <w:noWrap/>
                  <w:vAlign w:val="center"/>
                </w:tcPr>
                <w:p w14:paraId="50EFBB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w:t>
                  </w:r>
                </w:p>
              </w:tc>
              <w:tc>
                <w:tcPr>
                  <w:tcW w:w="648" w:type="pct"/>
                  <w:vMerge w:val="continue"/>
                  <w:tcBorders>
                    <w:tl2br w:val="nil"/>
                    <w:tr2bl w:val="nil"/>
                  </w:tcBorders>
                  <w:shd w:val="clear" w:color="auto" w:fill="auto"/>
                  <w:noWrap/>
                  <w:vAlign w:val="center"/>
                </w:tcPr>
                <w:p w14:paraId="346260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0FCC8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54D12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w:t>
                  </w:r>
                </w:p>
              </w:tc>
              <w:tc>
                <w:tcPr>
                  <w:tcW w:w="594" w:type="pct"/>
                  <w:vMerge w:val="continue"/>
                  <w:tcBorders>
                    <w:tl2br w:val="nil"/>
                    <w:tr2bl w:val="nil"/>
                  </w:tcBorders>
                  <w:shd w:val="clear" w:color="auto" w:fill="auto"/>
                  <w:noWrap/>
                  <w:vAlign w:val="center"/>
                </w:tcPr>
                <w:p w14:paraId="1CC8CA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2CD8C853">
                  <w:pPr>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搅拌主机</w:t>
                  </w:r>
                </w:p>
              </w:tc>
              <w:tc>
                <w:tcPr>
                  <w:tcW w:w="1340" w:type="pct"/>
                  <w:tcBorders>
                    <w:tl2br w:val="nil"/>
                    <w:tr2bl w:val="nil"/>
                  </w:tcBorders>
                  <w:shd w:val="clear" w:color="auto" w:fill="auto"/>
                  <w:noWrap/>
                  <w:vAlign w:val="center"/>
                </w:tcPr>
                <w:p w14:paraId="762F4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eastAsia" w:cs="Times New Roman"/>
                      <w:sz w:val="21"/>
                      <w:szCs w:val="21"/>
                      <w:lang w:val="en-US" w:eastAsia="zh-CN" w:bidi="ar"/>
                    </w:rPr>
                    <w:t>3</w:t>
                  </w:r>
                  <w:r>
                    <w:rPr>
                      <w:rFonts w:hint="default" w:ascii="Times New Roman" w:hAnsi="Times New Roman" w:eastAsia="宋体" w:cs="Times New Roman"/>
                      <w:sz w:val="21"/>
                      <w:szCs w:val="21"/>
                      <w:lang w:bidi="ar"/>
                    </w:rPr>
                    <w:t>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779B6F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r>
                    <w:rPr>
                      <w:rFonts w:hint="eastAsia" w:cs="Times New Roman"/>
                      <w:i w:val="0"/>
                      <w:iCs w:val="0"/>
                      <w:color w:val="000000" w:themeColor="text1"/>
                      <w:sz w:val="21"/>
                      <w:szCs w:val="21"/>
                      <w:u w:val="none"/>
                      <w:lang w:val="en-US" w:eastAsia="zh-CN"/>
                      <w14:textFill>
                        <w14:solidFill>
                          <w14:schemeClr w14:val="tx1"/>
                        </w14:solidFill>
                      </w14:textFill>
                    </w:rPr>
                    <w:t>台</w:t>
                  </w:r>
                </w:p>
              </w:tc>
              <w:tc>
                <w:tcPr>
                  <w:tcW w:w="648" w:type="pct"/>
                  <w:vMerge w:val="continue"/>
                  <w:tcBorders>
                    <w:tl2br w:val="nil"/>
                    <w:tr2bl w:val="nil"/>
                  </w:tcBorders>
                  <w:shd w:val="clear" w:color="auto" w:fill="auto"/>
                  <w:noWrap/>
                  <w:vAlign w:val="center"/>
                </w:tcPr>
                <w:p w14:paraId="41FF42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35D6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1B0777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w:t>
                  </w:r>
                </w:p>
              </w:tc>
              <w:tc>
                <w:tcPr>
                  <w:tcW w:w="594" w:type="pct"/>
                  <w:vMerge w:val="continue"/>
                  <w:tcBorders>
                    <w:tl2br w:val="nil"/>
                    <w:tr2bl w:val="nil"/>
                  </w:tcBorders>
                  <w:shd w:val="clear" w:color="auto" w:fill="auto"/>
                  <w:noWrap/>
                  <w:vAlign w:val="center"/>
                </w:tcPr>
                <w:p w14:paraId="0551AF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316E6E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除尘系统</w:t>
                  </w:r>
                </w:p>
              </w:tc>
              <w:tc>
                <w:tcPr>
                  <w:tcW w:w="1340" w:type="pct"/>
                  <w:tcBorders>
                    <w:tl2br w:val="nil"/>
                    <w:tr2bl w:val="nil"/>
                  </w:tcBorders>
                  <w:shd w:val="clear" w:color="auto" w:fill="auto"/>
                  <w:noWrap/>
                  <w:vAlign w:val="center"/>
                </w:tcPr>
                <w:p w14:paraId="61CBA1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0m</w:t>
                  </w:r>
                  <w:r>
                    <w:rPr>
                      <w:rFonts w:hint="default"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脉冲布袋除尘</w:t>
                  </w:r>
                </w:p>
              </w:tc>
              <w:tc>
                <w:tcPr>
                  <w:tcW w:w="648" w:type="pct"/>
                  <w:tcBorders>
                    <w:tl2br w:val="nil"/>
                    <w:tr2bl w:val="nil"/>
                  </w:tcBorders>
                  <w:shd w:val="clear" w:color="auto" w:fill="auto"/>
                  <w:noWrap/>
                  <w:vAlign w:val="center"/>
                </w:tcPr>
                <w:p w14:paraId="61BA0C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1套</w:t>
                  </w:r>
                </w:p>
              </w:tc>
              <w:tc>
                <w:tcPr>
                  <w:tcW w:w="648" w:type="pct"/>
                  <w:vMerge w:val="continue"/>
                  <w:tcBorders>
                    <w:tl2br w:val="nil"/>
                    <w:tr2bl w:val="nil"/>
                  </w:tcBorders>
                  <w:shd w:val="clear" w:color="auto" w:fill="auto"/>
                  <w:noWrap/>
                  <w:vAlign w:val="center"/>
                </w:tcPr>
                <w:p w14:paraId="07B847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31ED2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1A18D3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21</w:t>
                  </w:r>
                </w:p>
              </w:tc>
              <w:tc>
                <w:tcPr>
                  <w:tcW w:w="594" w:type="pct"/>
                  <w:vMerge w:val="continue"/>
                  <w:tcBorders>
                    <w:tl2br w:val="nil"/>
                    <w:tr2bl w:val="nil"/>
                  </w:tcBorders>
                  <w:shd w:val="clear" w:color="auto" w:fill="auto"/>
                  <w:noWrap/>
                  <w:vAlign w:val="center"/>
                </w:tcPr>
                <w:p w14:paraId="46465E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1BDC17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水泥筒仓</w:t>
                  </w:r>
                </w:p>
              </w:tc>
              <w:tc>
                <w:tcPr>
                  <w:tcW w:w="1340" w:type="pct"/>
                  <w:tcBorders>
                    <w:tl2br w:val="nil"/>
                    <w:tr2bl w:val="nil"/>
                  </w:tcBorders>
                  <w:shd w:val="clear" w:color="auto" w:fill="auto"/>
                  <w:noWrap/>
                  <w:vAlign w:val="center"/>
                </w:tcPr>
                <w:p w14:paraId="5398DF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8</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0t</w:t>
                  </w:r>
                </w:p>
              </w:tc>
              <w:tc>
                <w:tcPr>
                  <w:tcW w:w="648" w:type="pct"/>
                  <w:tcBorders>
                    <w:tl2br w:val="nil"/>
                    <w:tr2bl w:val="nil"/>
                  </w:tcBorders>
                  <w:shd w:val="clear" w:color="auto" w:fill="auto"/>
                  <w:noWrap/>
                  <w:vAlign w:val="center"/>
                </w:tcPr>
                <w:p w14:paraId="663AAA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1个</w:t>
                  </w:r>
                </w:p>
              </w:tc>
              <w:tc>
                <w:tcPr>
                  <w:tcW w:w="648" w:type="pct"/>
                  <w:vMerge w:val="continue"/>
                  <w:tcBorders>
                    <w:tl2br w:val="nil"/>
                    <w:tr2bl w:val="nil"/>
                  </w:tcBorders>
                  <w:shd w:val="clear" w:color="auto" w:fill="auto"/>
                  <w:noWrap/>
                  <w:vAlign w:val="center"/>
                </w:tcPr>
                <w:p w14:paraId="7B7C42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327AD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3C16A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22</w:t>
                  </w:r>
                </w:p>
              </w:tc>
              <w:tc>
                <w:tcPr>
                  <w:tcW w:w="594" w:type="pct"/>
                  <w:vMerge w:val="continue"/>
                  <w:tcBorders>
                    <w:tl2br w:val="nil"/>
                    <w:tr2bl w:val="nil"/>
                  </w:tcBorders>
                  <w:shd w:val="clear" w:color="auto" w:fill="auto"/>
                  <w:noWrap/>
                  <w:vAlign w:val="center"/>
                </w:tcPr>
                <w:p w14:paraId="5FB332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94" w:type="pct"/>
                  <w:gridSpan w:val="3"/>
                  <w:tcBorders>
                    <w:tl2br w:val="nil"/>
                    <w:tr2bl w:val="nil"/>
                  </w:tcBorders>
                  <w:shd w:val="clear" w:color="auto" w:fill="auto"/>
                  <w:noWrap/>
                  <w:vAlign w:val="center"/>
                </w:tcPr>
                <w:p w14:paraId="62768F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外加剂</w:t>
                  </w:r>
                  <w:r>
                    <w:rPr>
                      <w:rFonts w:hint="eastAsia" w:cs="Times New Roman"/>
                      <w:i w:val="0"/>
                      <w:iCs w:val="0"/>
                      <w:color w:val="000000" w:themeColor="text1"/>
                      <w:sz w:val="21"/>
                      <w:szCs w:val="21"/>
                      <w:u w:val="none"/>
                      <w:lang w:val="en-US" w:eastAsia="zh-CN"/>
                      <w14:textFill>
                        <w14:solidFill>
                          <w14:schemeClr w14:val="tx1"/>
                        </w14:solidFill>
                      </w14:textFill>
                    </w:rPr>
                    <w:t>罐</w:t>
                  </w:r>
                </w:p>
              </w:tc>
              <w:tc>
                <w:tcPr>
                  <w:tcW w:w="1340" w:type="pct"/>
                  <w:tcBorders>
                    <w:tl2br w:val="nil"/>
                    <w:tr2bl w:val="nil"/>
                  </w:tcBorders>
                  <w:shd w:val="clear" w:color="auto" w:fill="auto"/>
                  <w:noWrap/>
                  <w:vAlign w:val="center"/>
                </w:tcPr>
                <w:p w14:paraId="68AD1E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5</w:t>
                  </w:r>
                  <w:r>
                    <w:rPr>
                      <w:rFonts w:hint="default" w:ascii="Times New Roman" w:hAnsi="Times New Roman" w:eastAsia="宋体" w:cs="Times New Roman"/>
                      <w:sz w:val="21"/>
                      <w:szCs w:val="21"/>
                      <w:lang w:bidi="ar"/>
                    </w:rPr>
                    <w:t>m</w:t>
                  </w:r>
                  <w:r>
                    <w:rPr>
                      <w:rStyle w:val="111"/>
                      <w:rFonts w:hint="default" w:ascii="Times New Roman" w:hAnsi="Times New Roman" w:eastAsia="宋体" w:cs="Times New Roman"/>
                      <w:sz w:val="21"/>
                      <w:szCs w:val="21"/>
                      <w:lang w:bidi="ar"/>
                    </w:rPr>
                    <w:t>3</w:t>
                  </w:r>
                </w:p>
              </w:tc>
              <w:tc>
                <w:tcPr>
                  <w:tcW w:w="648" w:type="pct"/>
                  <w:tcBorders>
                    <w:tl2br w:val="nil"/>
                    <w:tr2bl w:val="nil"/>
                  </w:tcBorders>
                  <w:shd w:val="clear" w:color="auto" w:fill="auto"/>
                  <w:noWrap/>
                  <w:vAlign w:val="center"/>
                </w:tcPr>
                <w:p w14:paraId="15E0D7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1个</w:t>
                  </w:r>
                </w:p>
              </w:tc>
              <w:tc>
                <w:tcPr>
                  <w:tcW w:w="648" w:type="pct"/>
                  <w:vMerge w:val="continue"/>
                  <w:tcBorders>
                    <w:tl2br w:val="nil"/>
                    <w:tr2bl w:val="nil"/>
                  </w:tcBorders>
                  <w:shd w:val="clear" w:color="auto" w:fill="auto"/>
                  <w:noWrap/>
                  <w:vAlign w:val="center"/>
                </w:tcPr>
                <w:p w14:paraId="363F91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r w14:paraId="51896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60C1A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w:t>
                  </w:r>
                </w:p>
              </w:tc>
              <w:tc>
                <w:tcPr>
                  <w:tcW w:w="594" w:type="pct"/>
                  <w:vMerge w:val="restart"/>
                  <w:tcBorders>
                    <w:tl2br w:val="nil"/>
                    <w:tr2bl w:val="nil"/>
                  </w:tcBorders>
                  <w:shd w:val="clear" w:color="auto" w:fill="auto"/>
                  <w:noWrap/>
                  <w:vAlign w:val="center"/>
                </w:tcPr>
                <w:p w14:paraId="7D1526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公用、辅助、运输工程</w:t>
                  </w:r>
                </w:p>
              </w:tc>
              <w:tc>
                <w:tcPr>
                  <w:tcW w:w="1394" w:type="pct"/>
                  <w:gridSpan w:val="3"/>
                  <w:tcBorders>
                    <w:tl2br w:val="nil"/>
                    <w:tr2bl w:val="nil"/>
                  </w:tcBorders>
                  <w:shd w:val="clear" w:color="auto" w:fill="auto"/>
                  <w:noWrap/>
                  <w:vAlign w:val="center"/>
                </w:tcPr>
                <w:p w14:paraId="410B4C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风机</w:t>
                  </w:r>
                </w:p>
              </w:tc>
              <w:tc>
                <w:tcPr>
                  <w:tcW w:w="1340" w:type="pct"/>
                  <w:tcBorders>
                    <w:tl2br w:val="nil"/>
                    <w:tr2bl w:val="nil"/>
                  </w:tcBorders>
                  <w:shd w:val="clear" w:color="auto" w:fill="auto"/>
                  <w:noWrap/>
                  <w:vAlign w:val="center"/>
                </w:tcPr>
                <w:p w14:paraId="3DFA42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648" w:type="pct"/>
                  <w:tcBorders>
                    <w:tl2br w:val="nil"/>
                    <w:tr2bl w:val="nil"/>
                  </w:tcBorders>
                  <w:shd w:val="clear" w:color="auto" w:fill="auto"/>
                  <w:noWrap/>
                  <w:vAlign w:val="center"/>
                </w:tcPr>
                <w:p w14:paraId="326E62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2台</w:t>
                  </w:r>
                </w:p>
              </w:tc>
              <w:tc>
                <w:tcPr>
                  <w:tcW w:w="648" w:type="pct"/>
                  <w:tcBorders>
                    <w:tl2br w:val="nil"/>
                    <w:tr2bl w:val="nil"/>
                  </w:tcBorders>
                  <w:shd w:val="clear" w:color="auto" w:fill="auto"/>
                  <w:noWrap/>
                  <w:vAlign w:val="center"/>
                </w:tcPr>
                <w:p w14:paraId="7928F3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r>
            <w:tr w14:paraId="3EB42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C73FE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w:t>
                  </w:r>
                </w:p>
              </w:tc>
              <w:tc>
                <w:tcPr>
                  <w:tcW w:w="594" w:type="pct"/>
                  <w:vMerge w:val="continue"/>
                  <w:tcBorders>
                    <w:tl2br w:val="nil"/>
                    <w:tr2bl w:val="nil"/>
                  </w:tcBorders>
                  <w:shd w:val="clear" w:color="auto" w:fill="auto"/>
                  <w:noWrap/>
                  <w:vAlign w:val="center"/>
                </w:tcPr>
                <w:p w14:paraId="0E10C5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394" w:type="pct"/>
                  <w:gridSpan w:val="3"/>
                  <w:tcBorders>
                    <w:tl2br w:val="nil"/>
                    <w:tr2bl w:val="nil"/>
                  </w:tcBorders>
                  <w:shd w:val="clear" w:color="auto" w:fill="auto"/>
                  <w:noWrap/>
                  <w:vAlign w:val="center"/>
                </w:tcPr>
                <w:p w14:paraId="3BBD9E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水泵</w:t>
                  </w:r>
                </w:p>
              </w:tc>
              <w:tc>
                <w:tcPr>
                  <w:tcW w:w="1340" w:type="pct"/>
                  <w:tcBorders>
                    <w:tl2br w:val="nil"/>
                    <w:tr2bl w:val="nil"/>
                  </w:tcBorders>
                  <w:shd w:val="clear" w:color="auto" w:fill="auto"/>
                  <w:noWrap/>
                  <w:vAlign w:val="center"/>
                </w:tcPr>
                <w:p w14:paraId="650A1B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648" w:type="pct"/>
                  <w:tcBorders>
                    <w:tl2br w:val="nil"/>
                    <w:tr2bl w:val="nil"/>
                  </w:tcBorders>
                  <w:shd w:val="clear" w:color="auto" w:fill="auto"/>
                  <w:noWrap/>
                  <w:vAlign w:val="center"/>
                </w:tcPr>
                <w:p w14:paraId="7FFDF5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3台</w:t>
                  </w:r>
                </w:p>
              </w:tc>
              <w:tc>
                <w:tcPr>
                  <w:tcW w:w="648" w:type="pct"/>
                  <w:tcBorders>
                    <w:tl2br w:val="nil"/>
                    <w:tr2bl w:val="nil"/>
                  </w:tcBorders>
                  <w:shd w:val="clear" w:color="auto" w:fill="auto"/>
                  <w:noWrap/>
                  <w:vAlign w:val="center"/>
                </w:tcPr>
                <w:p w14:paraId="759804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r>
            <w:tr w14:paraId="31B62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2E5F3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w:t>
                  </w:r>
                </w:p>
              </w:tc>
              <w:tc>
                <w:tcPr>
                  <w:tcW w:w="594" w:type="pct"/>
                  <w:vMerge w:val="continue"/>
                  <w:tcBorders>
                    <w:tl2br w:val="nil"/>
                    <w:tr2bl w:val="nil"/>
                  </w:tcBorders>
                  <w:shd w:val="clear" w:color="auto" w:fill="auto"/>
                  <w:noWrap/>
                  <w:vAlign w:val="center"/>
                </w:tcPr>
                <w:p w14:paraId="4AB9E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394" w:type="pct"/>
                  <w:gridSpan w:val="3"/>
                  <w:tcBorders>
                    <w:tl2br w:val="nil"/>
                    <w:tr2bl w:val="nil"/>
                  </w:tcBorders>
                  <w:shd w:val="clear" w:color="auto" w:fill="auto"/>
                  <w:noWrap/>
                  <w:vAlign w:val="center"/>
                </w:tcPr>
                <w:p w14:paraId="7AE2F0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运输车辆</w:t>
                  </w:r>
                </w:p>
              </w:tc>
              <w:tc>
                <w:tcPr>
                  <w:tcW w:w="1340" w:type="pct"/>
                  <w:tcBorders>
                    <w:tl2br w:val="nil"/>
                    <w:tr2bl w:val="nil"/>
                  </w:tcBorders>
                  <w:shd w:val="clear" w:color="auto" w:fill="auto"/>
                  <w:noWrap/>
                  <w:vAlign w:val="center"/>
                </w:tcPr>
                <w:p w14:paraId="0A1BA0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648" w:type="pct"/>
                  <w:tcBorders>
                    <w:tl2br w:val="nil"/>
                    <w:tr2bl w:val="nil"/>
                  </w:tcBorders>
                  <w:shd w:val="clear" w:color="auto" w:fill="auto"/>
                  <w:noWrap/>
                  <w:vAlign w:val="center"/>
                </w:tcPr>
                <w:p w14:paraId="43C016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10辆</w:t>
                  </w:r>
                </w:p>
              </w:tc>
              <w:tc>
                <w:tcPr>
                  <w:tcW w:w="648" w:type="pct"/>
                  <w:tcBorders>
                    <w:tl2br w:val="nil"/>
                    <w:tr2bl w:val="nil"/>
                  </w:tcBorders>
                  <w:shd w:val="clear" w:color="auto" w:fill="auto"/>
                  <w:noWrap/>
                  <w:vAlign w:val="center"/>
                </w:tcPr>
                <w:p w14:paraId="62BD26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r>
            <w:tr w14:paraId="7B8AD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73" w:type="pct"/>
                  <w:tcBorders>
                    <w:tl2br w:val="nil"/>
                    <w:tr2bl w:val="nil"/>
                  </w:tcBorders>
                  <w:shd w:val="clear" w:color="auto" w:fill="auto"/>
                  <w:noWrap/>
                  <w:vAlign w:val="center"/>
                </w:tcPr>
                <w:p w14:paraId="4CC4CF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w:t>
                  </w:r>
                </w:p>
              </w:tc>
              <w:tc>
                <w:tcPr>
                  <w:tcW w:w="594" w:type="pct"/>
                  <w:tcBorders>
                    <w:tl2br w:val="nil"/>
                    <w:tr2bl w:val="nil"/>
                  </w:tcBorders>
                  <w:shd w:val="clear" w:color="auto" w:fill="auto"/>
                  <w:noWrap/>
                  <w:vAlign w:val="center"/>
                </w:tcPr>
                <w:p w14:paraId="665472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实验室设备</w:t>
                  </w:r>
                </w:p>
              </w:tc>
              <w:tc>
                <w:tcPr>
                  <w:tcW w:w="1394" w:type="pct"/>
                  <w:gridSpan w:val="3"/>
                  <w:tcBorders>
                    <w:tl2br w:val="nil"/>
                    <w:tr2bl w:val="nil"/>
                  </w:tcBorders>
                  <w:shd w:val="clear" w:color="auto" w:fill="auto"/>
                  <w:noWrap/>
                  <w:vAlign w:val="center"/>
                </w:tcPr>
                <w:p w14:paraId="692694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砼专项实验设备</w:t>
                  </w:r>
                </w:p>
              </w:tc>
              <w:tc>
                <w:tcPr>
                  <w:tcW w:w="1340" w:type="pct"/>
                  <w:tcBorders>
                    <w:tl2br w:val="nil"/>
                    <w:tr2bl w:val="nil"/>
                  </w:tcBorders>
                  <w:shd w:val="clear" w:color="auto" w:fill="auto"/>
                  <w:noWrap/>
                  <w:vAlign w:val="center"/>
                </w:tcPr>
                <w:p w14:paraId="263B21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c>
                <w:tcPr>
                  <w:tcW w:w="648" w:type="pct"/>
                  <w:tcBorders>
                    <w:tl2br w:val="nil"/>
                    <w:tr2bl w:val="nil"/>
                  </w:tcBorders>
                  <w:shd w:val="clear" w:color="auto" w:fill="auto"/>
                  <w:noWrap/>
                  <w:vAlign w:val="center"/>
                </w:tcPr>
                <w:p w14:paraId="13AB06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1套</w:t>
                  </w:r>
                </w:p>
              </w:tc>
              <w:tc>
                <w:tcPr>
                  <w:tcW w:w="648" w:type="pct"/>
                  <w:tcBorders>
                    <w:tl2br w:val="nil"/>
                    <w:tr2bl w:val="nil"/>
                  </w:tcBorders>
                  <w:shd w:val="clear" w:color="auto" w:fill="auto"/>
                  <w:noWrap/>
                  <w:vAlign w:val="center"/>
                </w:tcPr>
                <w:p w14:paraId="0C6164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实验室</w:t>
                  </w:r>
                </w:p>
              </w:tc>
            </w:tr>
          </w:tbl>
          <w:p w14:paraId="0CCE2EA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表</w:t>
            </w:r>
            <w:r>
              <w:rPr>
                <w:rFonts w:hint="default"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2-</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4</w:t>
            </w:r>
            <w:r>
              <w:rPr>
                <w:rFonts w:hint="default"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 xml:space="preserve"> </w:t>
            </w:r>
            <w:r>
              <w:rPr>
                <w:rFonts w:hint="eastAsia" w:eastAsia="宋体" w:cs="Times New Roman"/>
                <w:b/>
                <w:snapToGrid/>
                <w:color w:val="000000" w:themeColor="text1"/>
                <w:spacing w:val="0"/>
                <w:kern w:val="0"/>
                <w:position w:val="0"/>
                <w:sz w:val="21"/>
                <w:szCs w:val="21"/>
                <w:lang w:val="en-US" w:eastAsia="zh-CN"/>
                <w14:textFill>
                  <w14:solidFill>
                    <w14:schemeClr w14:val="tx1"/>
                  </w14:solidFill>
                </w14:textFill>
              </w:rPr>
              <w:t xml:space="preserve"> </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主要设备生产能力匹配性分析汇总表</w:t>
            </w:r>
          </w:p>
          <w:tbl>
            <w:tblPr>
              <w:tblStyle w:val="28"/>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072"/>
              <w:gridCol w:w="726"/>
              <w:gridCol w:w="1459"/>
              <w:gridCol w:w="1091"/>
              <w:gridCol w:w="1023"/>
              <w:gridCol w:w="747"/>
            </w:tblGrid>
            <w:tr w14:paraId="1B30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14:paraId="32D5DF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设备名称</w:t>
                  </w:r>
                </w:p>
              </w:tc>
              <w:tc>
                <w:tcPr>
                  <w:tcW w:w="1072" w:type="dxa"/>
                  <w:vAlign w:val="center"/>
                </w:tcPr>
                <w:p w14:paraId="76B626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单台处理能力</w:t>
                  </w:r>
                </w:p>
              </w:tc>
              <w:tc>
                <w:tcPr>
                  <w:tcW w:w="726" w:type="dxa"/>
                  <w:vAlign w:val="center"/>
                </w:tcPr>
                <w:p w14:paraId="7D854D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数量</w:t>
                  </w:r>
                </w:p>
              </w:tc>
              <w:tc>
                <w:tcPr>
                  <w:tcW w:w="1459" w:type="dxa"/>
                  <w:vAlign w:val="center"/>
                </w:tcPr>
                <w:p w14:paraId="3F56A8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工作时间</w:t>
                  </w:r>
                </w:p>
              </w:tc>
              <w:tc>
                <w:tcPr>
                  <w:tcW w:w="1091" w:type="dxa"/>
                  <w:vAlign w:val="center"/>
                </w:tcPr>
                <w:p w14:paraId="3A8443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理论处理能力</w:t>
                  </w:r>
                </w:p>
              </w:tc>
              <w:tc>
                <w:tcPr>
                  <w:tcW w:w="1023" w:type="dxa"/>
                  <w:vAlign w:val="center"/>
                </w:tcPr>
                <w:p w14:paraId="2D3EFF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本项目产能</w:t>
                  </w:r>
                </w:p>
              </w:tc>
              <w:tc>
                <w:tcPr>
                  <w:tcW w:w="747" w:type="dxa"/>
                  <w:vAlign w:val="center"/>
                </w:tcPr>
                <w:p w14:paraId="50D873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是否匹配</w:t>
                  </w:r>
                </w:p>
              </w:tc>
            </w:tr>
            <w:tr w14:paraId="2CD3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14:paraId="599DC8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混凝</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土生产线</w:t>
                  </w:r>
                </w:p>
              </w:tc>
              <w:tc>
                <w:tcPr>
                  <w:tcW w:w="1072" w:type="dxa"/>
                  <w:vAlign w:val="center"/>
                </w:tcPr>
                <w:p w14:paraId="6F5656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90m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cs="Times New Roman"/>
                      <w:i w:val="0"/>
                      <w:iCs w:val="0"/>
                      <w:color w:val="000000" w:themeColor="text1"/>
                      <w:kern w:val="0"/>
                      <w:sz w:val="21"/>
                      <w:szCs w:val="21"/>
                      <w:u w:val="none"/>
                      <w:lang w:val="en-US" w:eastAsia="zh-CN" w:bidi="ar"/>
                      <w14:textFill>
                        <w14:solidFill>
                          <w14:schemeClr w14:val="tx1"/>
                        </w14:solidFill>
                      </w14:textFill>
                    </w:rPr>
                    <w:t>/h</w:t>
                  </w:r>
                </w:p>
              </w:tc>
              <w:tc>
                <w:tcPr>
                  <w:tcW w:w="726" w:type="dxa"/>
                  <w:vAlign w:val="center"/>
                </w:tcPr>
                <w:p w14:paraId="4DA627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c>
                <w:tcPr>
                  <w:tcW w:w="1459" w:type="dxa"/>
                  <w:vAlign w:val="center"/>
                </w:tcPr>
                <w:p w14:paraId="054711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16h</w:t>
                  </w:r>
                  <w:r>
                    <w:rPr>
                      <w:rFonts w:hint="default" w:ascii="Times New Roman" w:hAnsi="Times New Roman" w:eastAsia="宋体" w:cs="Times New Roman"/>
                      <w:b/>
                      <w:snapToGrid/>
                      <w:color w:val="000000" w:themeColor="text1"/>
                      <w:spacing w:val="0"/>
                      <w:kern w:val="0"/>
                      <w:position w:val="0"/>
                      <w:sz w:val="21"/>
                      <w:szCs w:val="21"/>
                      <w:highlight w:val="none"/>
                      <w:lang w:val="en-US" w:eastAsia="zh-CN"/>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300d</w:t>
                  </w:r>
                </w:p>
              </w:tc>
              <w:tc>
                <w:tcPr>
                  <w:tcW w:w="1091" w:type="dxa"/>
                  <w:vAlign w:val="center"/>
                </w:tcPr>
                <w:p w14:paraId="4BE71B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86.4万m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23" w:type="dxa"/>
                  <w:vAlign w:val="center"/>
                </w:tcPr>
                <w:p w14:paraId="40663B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60万m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747" w:type="dxa"/>
                  <w:vAlign w:val="center"/>
                </w:tcPr>
                <w:p w14:paraId="231A25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是</w:t>
                  </w:r>
                </w:p>
              </w:tc>
            </w:tr>
            <w:tr w14:paraId="3708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14:paraId="2B36D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预拌砂浆生产线</w:t>
                  </w:r>
                </w:p>
              </w:tc>
              <w:tc>
                <w:tcPr>
                  <w:tcW w:w="1072" w:type="dxa"/>
                  <w:vAlign w:val="center"/>
                </w:tcPr>
                <w:p w14:paraId="6CDB4E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25m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cs="Times New Roman"/>
                      <w:i w:val="0"/>
                      <w:iCs w:val="0"/>
                      <w:color w:val="000000" w:themeColor="text1"/>
                      <w:kern w:val="0"/>
                      <w:sz w:val="21"/>
                      <w:szCs w:val="21"/>
                      <w:u w:val="none"/>
                      <w:lang w:val="en-US" w:eastAsia="zh-CN" w:bidi="ar"/>
                      <w14:textFill>
                        <w14:solidFill>
                          <w14:schemeClr w14:val="tx1"/>
                        </w14:solidFill>
                      </w14:textFill>
                    </w:rPr>
                    <w:t>/h</w:t>
                  </w:r>
                </w:p>
              </w:tc>
              <w:tc>
                <w:tcPr>
                  <w:tcW w:w="726" w:type="dxa"/>
                  <w:vAlign w:val="center"/>
                </w:tcPr>
                <w:p w14:paraId="3DF8F7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1459" w:type="dxa"/>
                  <w:vAlign w:val="center"/>
                </w:tcPr>
                <w:p w14:paraId="221FD1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16h</w:t>
                  </w:r>
                  <w:r>
                    <w:rPr>
                      <w:rFonts w:hint="default" w:ascii="Times New Roman" w:hAnsi="Times New Roman" w:eastAsia="宋体" w:cs="Times New Roman"/>
                      <w:b/>
                      <w:snapToGrid/>
                      <w:color w:val="000000" w:themeColor="text1"/>
                      <w:spacing w:val="0"/>
                      <w:kern w:val="0"/>
                      <w:position w:val="0"/>
                      <w:sz w:val="21"/>
                      <w:szCs w:val="21"/>
                      <w:highlight w:val="none"/>
                      <w:lang w:val="en-US" w:eastAsia="zh-CN"/>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300d</w:t>
                  </w:r>
                </w:p>
              </w:tc>
              <w:tc>
                <w:tcPr>
                  <w:tcW w:w="1091" w:type="dxa"/>
                  <w:vAlign w:val="center"/>
                </w:tcPr>
                <w:p w14:paraId="6380F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12万m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1023" w:type="dxa"/>
                  <w:vAlign w:val="center"/>
                </w:tcPr>
                <w:p w14:paraId="6CA399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10万m</w:t>
                  </w:r>
                  <w:r>
                    <w:rPr>
                      <w:rFonts w:hint="eastAsia"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747" w:type="dxa"/>
                  <w:vAlign w:val="center"/>
                </w:tcPr>
                <w:p w14:paraId="108AFD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是</w:t>
                  </w:r>
                </w:p>
              </w:tc>
            </w:tr>
          </w:tbl>
          <w:p w14:paraId="717561C4">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snapToGrid/>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snapToGrid/>
                <w:color w:val="000000" w:themeColor="text1"/>
                <w:spacing w:val="0"/>
                <w:kern w:val="0"/>
                <w:position w:val="0"/>
                <w:sz w:val="24"/>
                <w:szCs w:val="24"/>
                <w:highlight w:val="none"/>
                <w:lang w:val="en-US" w:eastAsia="zh-CN"/>
                <w14:textFill>
                  <w14:solidFill>
                    <w14:schemeClr w14:val="tx1"/>
                  </w14:solidFill>
                </w14:textFill>
              </w:rPr>
              <w:t>、原辅材料</w:t>
            </w:r>
          </w:p>
          <w:p w14:paraId="258711F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5</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 xml:space="preserve">  原辅材料年消耗量表</w:t>
            </w:r>
          </w:p>
          <w:tbl>
            <w:tblPr>
              <w:tblStyle w:val="81"/>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
              <w:gridCol w:w="1550"/>
              <w:gridCol w:w="1609"/>
              <w:gridCol w:w="1604"/>
              <w:gridCol w:w="1363"/>
              <w:gridCol w:w="1488"/>
            </w:tblGrid>
            <w:tr w14:paraId="17919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064EA60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序号</w:t>
                  </w:r>
                </w:p>
              </w:tc>
              <w:tc>
                <w:tcPr>
                  <w:tcW w:w="956" w:type="pct"/>
                  <w:vAlign w:val="center"/>
                </w:tcPr>
                <w:p w14:paraId="0FDCCF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992" w:type="pct"/>
                  <w:vAlign w:val="center"/>
                </w:tcPr>
                <w:p w14:paraId="32883E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年使用量</w:t>
                  </w:r>
                  <w:r>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t</w:t>
                  </w:r>
                  <w:r>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w:t>
                  </w:r>
                </w:p>
              </w:tc>
              <w:tc>
                <w:tcPr>
                  <w:tcW w:w="989" w:type="pct"/>
                  <w:vAlign w:val="center"/>
                </w:tcPr>
                <w:p w14:paraId="43B30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储存位置及形态</w:t>
                  </w:r>
                </w:p>
              </w:tc>
              <w:tc>
                <w:tcPr>
                  <w:tcW w:w="840" w:type="pct"/>
                  <w:vAlign w:val="center"/>
                </w:tcPr>
                <w:p w14:paraId="28F523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最大贮存量</w:t>
                  </w:r>
                  <w:r>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t</w:t>
                  </w:r>
                  <w:r>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t>）</w:t>
                  </w:r>
                </w:p>
              </w:tc>
              <w:tc>
                <w:tcPr>
                  <w:tcW w:w="917" w:type="pct"/>
                  <w:vAlign w:val="center"/>
                </w:tcPr>
                <w:p w14:paraId="1C23A0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来源</w:t>
                  </w:r>
                </w:p>
              </w:tc>
            </w:tr>
            <w:tr w14:paraId="047A9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78A00F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混凝土生产线</w:t>
                  </w:r>
                </w:p>
              </w:tc>
            </w:tr>
            <w:tr w14:paraId="45C88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5AE41F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1</w:t>
                  </w:r>
                </w:p>
              </w:tc>
              <w:tc>
                <w:tcPr>
                  <w:tcW w:w="956" w:type="pct"/>
                  <w:vAlign w:val="center"/>
                </w:tcPr>
                <w:p w14:paraId="122105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水泥</w:t>
                  </w:r>
                </w:p>
              </w:tc>
              <w:tc>
                <w:tcPr>
                  <w:tcW w:w="992" w:type="pct"/>
                  <w:vAlign w:val="center"/>
                </w:tcPr>
                <w:p w14:paraId="45149B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145314</w:t>
                  </w:r>
                </w:p>
              </w:tc>
              <w:tc>
                <w:tcPr>
                  <w:tcW w:w="989" w:type="pct"/>
                  <w:vAlign w:val="center"/>
                </w:tcPr>
                <w:p w14:paraId="14F986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，粉状</w:t>
                  </w:r>
                </w:p>
              </w:tc>
              <w:tc>
                <w:tcPr>
                  <w:tcW w:w="840" w:type="pct"/>
                  <w:vAlign w:val="center"/>
                </w:tcPr>
                <w:p w14:paraId="3EDA1C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1040</w:t>
                  </w:r>
                </w:p>
              </w:tc>
              <w:tc>
                <w:tcPr>
                  <w:tcW w:w="917" w:type="pct"/>
                  <w:vAlign w:val="center"/>
                </w:tcPr>
                <w:p w14:paraId="75E52B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17362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556FDBB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2</w:t>
                  </w:r>
                </w:p>
              </w:tc>
              <w:tc>
                <w:tcPr>
                  <w:tcW w:w="956" w:type="pct"/>
                  <w:vAlign w:val="center"/>
                </w:tcPr>
                <w:p w14:paraId="4F66121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骨料（0~5mm）</w:t>
                  </w:r>
                </w:p>
              </w:tc>
              <w:tc>
                <w:tcPr>
                  <w:tcW w:w="992" w:type="pct"/>
                  <w:vAlign w:val="center"/>
                </w:tcPr>
                <w:p w14:paraId="06B683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411724</w:t>
                  </w:r>
                </w:p>
              </w:tc>
              <w:tc>
                <w:tcPr>
                  <w:tcW w:w="989" w:type="pct"/>
                  <w:vAlign w:val="center"/>
                </w:tcPr>
                <w:p w14:paraId="0AB01B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1#料仓</w:t>
                  </w:r>
                  <w:r>
                    <w:rPr>
                      <w:rFonts w:hint="eastAsia" w:cs="Times New Roman"/>
                      <w:snapToGrid/>
                      <w:color w:val="000000" w:themeColor="text1"/>
                      <w:spacing w:val="0"/>
                      <w:kern w:val="0"/>
                      <w:position w:val="0"/>
                      <w:sz w:val="21"/>
                      <w:szCs w:val="21"/>
                      <w:lang w:val="en-US" w:eastAsia="zh-CN"/>
                      <w14:textFill>
                        <w14:solidFill>
                          <w14:schemeClr w14:val="tx1"/>
                        </w14:solidFill>
                      </w14:textFill>
                    </w:rPr>
                    <w:t>，颗粒状</w:t>
                  </w:r>
                </w:p>
              </w:tc>
              <w:tc>
                <w:tcPr>
                  <w:tcW w:w="840" w:type="pct"/>
                  <w:vAlign w:val="center"/>
                </w:tcPr>
                <w:p w14:paraId="246EB2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10000</w:t>
                  </w:r>
                </w:p>
              </w:tc>
              <w:tc>
                <w:tcPr>
                  <w:tcW w:w="917" w:type="pct"/>
                  <w:vAlign w:val="center"/>
                </w:tcPr>
                <w:p w14:paraId="6DBC67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74423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23CCDB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w:t>
                  </w:r>
                </w:p>
              </w:tc>
              <w:tc>
                <w:tcPr>
                  <w:tcW w:w="956" w:type="pct"/>
                  <w:vAlign w:val="center"/>
                </w:tcPr>
                <w:p w14:paraId="2EE535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骨料（5～10mm）</w:t>
                  </w:r>
                </w:p>
              </w:tc>
              <w:tc>
                <w:tcPr>
                  <w:tcW w:w="992" w:type="pct"/>
                  <w:vAlign w:val="center"/>
                </w:tcPr>
                <w:p w14:paraId="49385E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508600</w:t>
                  </w:r>
                </w:p>
              </w:tc>
              <w:tc>
                <w:tcPr>
                  <w:tcW w:w="989" w:type="pct"/>
                  <w:vAlign w:val="center"/>
                </w:tcPr>
                <w:p w14:paraId="3FC59A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1#料仓</w:t>
                  </w:r>
                  <w:r>
                    <w:rPr>
                      <w:rFonts w:hint="eastAsia" w:cs="Times New Roman"/>
                      <w:snapToGrid/>
                      <w:color w:val="000000" w:themeColor="text1"/>
                      <w:spacing w:val="0"/>
                      <w:kern w:val="0"/>
                      <w:position w:val="0"/>
                      <w:sz w:val="21"/>
                      <w:szCs w:val="21"/>
                      <w:lang w:val="en-US" w:eastAsia="zh-CN"/>
                      <w14:textFill>
                        <w14:solidFill>
                          <w14:schemeClr w14:val="tx1"/>
                        </w14:solidFill>
                      </w14:textFill>
                    </w:rPr>
                    <w:t>，块状</w:t>
                  </w:r>
                </w:p>
              </w:tc>
              <w:tc>
                <w:tcPr>
                  <w:tcW w:w="840" w:type="pct"/>
                  <w:vAlign w:val="center"/>
                </w:tcPr>
                <w:p w14:paraId="7F0F7C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10000</w:t>
                  </w:r>
                </w:p>
              </w:tc>
              <w:tc>
                <w:tcPr>
                  <w:tcW w:w="917" w:type="pct"/>
                  <w:vAlign w:val="center"/>
                </w:tcPr>
                <w:p w14:paraId="715CE4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691AB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4E0982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w:t>
                  </w:r>
                </w:p>
              </w:tc>
              <w:tc>
                <w:tcPr>
                  <w:tcW w:w="956" w:type="pct"/>
                  <w:vAlign w:val="center"/>
                </w:tcPr>
                <w:p w14:paraId="2155D5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煤灰</w:t>
                  </w:r>
                </w:p>
              </w:tc>
              <w:tc>
                <w:tcPr>
                  <w:tcW w:w="992" w:type="pct"/>
                  <w:vAlign w:val="center"/>
                </w:tcPr>
                <w:p w14:paraId="539EB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16593</w:t>
                  </w:r>
                </w:p>
              </w:tc>
              <w:tc>
                <w:tcPr>
                  <w:tcW w:w="989" w:type="pct"/>
                  <w:vAlign w:val="center"/>
                </w:tcPr>
                <w:p w14:paraId="2AB2A1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，粉状</w:t>
                  </w:r>
                </w:p>
              </w:tc>
              <w:tc>
                <w:tcPr>
                  <w:tcW w:w="840" w:type="pct"/>
                  <w:vAlign w:val="center"/>
                </w:tcPr>
                <w:p w14:paraId="393CBA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520</w:t>
                  </w:r>
                </w:p>
              </w:tc>
              <w:tc>
                <w:tcPr>
                  <w:tcW w:w="917" w:type="pct"/>
                  <w:vAlign w:val="center"/>
                </w:tcPr>
                <w:p w14:paraId="43130E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57DAD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1712903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w:t>
                  </w:r>
                </w:p>
              </w:tc>
              <w:tc>
                <w:tcPr>
                  <w:tcW w:w="956" w:type="pct"/>
                  <w:vAlign w:val="center"/>
                </w:tcPr>
                <w:p w14:paraId="65EA41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矿粉</w:t>
                  </w:r>
                </w:p>
              </w:tc>
              <w:tc>
                <w:tcPr>
                  <w:tcW w:w="992" w:type="pct"/>
                  <w:vAlign w:val="center"/>
                </w:tcPr>
                <w:p w14:paraId="1ECF54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14531</w:t>
                  </w:r>
                </w:p>
              </w:tc>
              <w:tc>
                <w:tcPr>
                  <w:tcW w:w="989" w:type="pct"/>
                  <w:vAlign w:val="center"/>
                </w:tcPr>
                <w:p w14:paraId="15552D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，粉状</w:t>
                  </w:r>
                </w:p>
              </w:tc>
              <w:tc>
                <w:tcPr>
                  <w:tcW w:w="840" w:type="pct"/>
                  <w:vAlign w:val="center"/>
                </w:tcPr>
                <w:p w14:paraId="072C79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520</w:t>
                  </w:r>
                </w:p>
              </w:tc>
              <w:tc>
                <w:tcPr>
                  <w:tcW w:w="917" w:type="pct"/>
                  <w:vAlign w:val="center"/>
                </w:tcPr>
                <w:p w14:paraId="5E3AFB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2A2E4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4B19E8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w:t>
                  </w:r>
                </w:p>
              </w:tc>
              <w:tc>
                <w:tcPr>
                  <w:tcW w:w="956" w:type="pct"/>
                  <w:vAlign w:val="center"/>
                </w:tcPr>
                <w:p w14:paraId="22142E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膨胀剂</w:t>
                  </w:r>
                </w:p>
              </w:tc>
              <w:tc>
                <w:tcPr>
                  <w:tcW w:w="992" w:type="pct"/>
                  <w:vAlign w:val="center"/>
                </w:tcPr>
                <w:p w14:paraId="4A296B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7266</w:t>
                  </w:r>
                </w:p>
              </w:tc>
              <w:tc>
                <w:tcPr>
                  <w:tcW w:w="989" w:type="pct"/>
                  <w:vAlign w:val="center"/>
                </w:tcPr>
                <w:p w14:paraId="2B5AF1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，粉状</w:t>
                  </w:r>
                </w:p>
              </w:tc>
              <w:tc>
                <w:tcPr>
                  <w:tcW w:w="840" w:type="pct"/>
                  <w:vAlign w:val="center"/>
                </w:tcPr>
                <w:p w14:paraId="3A36F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160</w:t>
                  </w:r>
                </w:p>
              </w:tc>
              <w:tc>
                <w:tcPr>
                  <w:tcW w:w="917" w:type="pct"/>
                  <w:vAlign w:val="center"/>
                </w:tcPr>
                <w:p w14:paraId="183FDE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0814F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6FB817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6</w:t>
                  </w:r>
                </w:p>
              </w:tc>
              <w:tc>
                <w:tcPr>
                  <w:tcW w:w="956" w:type="pct"/>
                  <w:vAlign w:val="center"/>
                </w:tcPr>
                <w:p w14:paraId="4A2C66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外加剂</w:t>
                  </w:r>
                </w:p>
              </w:tc>
              <w:tc>
                <w:tcPr>
                  <w:tcW w:w="992" w:type="pct"/>
                  <w:vAlign w:val="center"/>
                </w:tcPr>
                <w:p w14:paraId="6D3CA2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2372</w:t>
                  </w:r>
                </w:p>
              </w:tc>
              <w:tc>
                <w:tcPr>
                  <w:tcW w:w="989" w:type="pct"/>
                  <w:vAlign w:val="center"/>
                </w:tcPr>
                <w:p w14:paraId="36C151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，液态</w:t>
                  </w:r>
                </w:p>
              </w:tc>
              <w:tc>
                <w:tcPr>
                  <w:tcW w:w="840" w:type="pct"/>
                  <w:vAlign w:val="center"/>
                </w:tcPr>
                <w:p w14:paraId="49B8DD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50</w:t>
                  </w:r>
                </w:p>
              </w:tc>
              <w:tc>
                <w:tcPr>
                  <w:tcW w:w="917" w:type="pct"/>
                  <w:vAlign w:val="center"/>
                </w:tcPr>
                <w:p w14:paraId="7A12AF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5CAB6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1D1517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7</w:t>
                  </w:r>
                </w:p>
              </w:tc>
              <w:tc>
                <w:tcPr>
                  <w:tcW w:w="956" w:type="pct"/>
                  <w:vAlign w:val="center"/>
                </w:tcPr>
                <w:p w14:paraId="71E6FD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搅拌用水</w:t>
                  </w:r>
                </w:p>
              </w:tc>
              <w:tc>
                <w:tcPr>
                  <w:tcW w:w="992" w:type="pct"/>
                  <w:vAlign w:val="center"/>
                </w:tcPr>
                <w:p w14:paraId="337F98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87600</w:t>
                  </w:r>
                </w:p>
              </w:tc>
              <w:tc>
                <w:tcPr>
                  <w:tcW w:w="2747" w:type="pct"/>
                  <w:gridSpan w:val="3"/>
                  <w:vAlign w:val="center"/>
                </w:tcPr>
                <w:p w14:paraId="5D6ED2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市政供水管网，车间沉淀池</w:t>
                  </w:r>
                </w:p>
              </w:tc>
            </w:tr>
            <w:tr w14:paraId="07EA2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07A1FA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预拌砂浆生产线</w:t>
                  </w:r>
                </w:p>
              </w:tc>
            </w:tr>
            <w:tr w14:paraId="0D72B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4DC9FA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w:t>
                  </w:r>
                </w:p>
              </w:tc>
              <w:tc>
                <w:tcPr>
                  <w:tcW w:w="956" w:type="pct"/>
                  <w:vAlign w:val="center"/>
                </w:tcPr>
                <w:p w14:paraId="3783B2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水泥</w:t>
                  </w:r>
                </w:p>
              </w:tc>
              <w:tc>
                <w:tcPr>
                  <w:tcW w:w="992" w:type="pct"/>
                  <w:vAlign w:val="center"/>
                </w:tcPr>
                <w:p w14:paraId="3A4B21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29437</w:t>
                  </w:r>
                </w:p>
              </w:tc>
              <w:tc>
                <w:tcPr>
                  <w:tcW w:w="989" w:type="pct"/>
                  <w:vAlign w:val="center"/>
                </w:tcPr>
                <w:p w14:paraId="062349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，粉状</w:t>
                  </w:r>
                </w:p>
              </w:tc>
              <w:tc>
                <w:tcPr>
                  <w:tcW w:w="840" w:type="pct"/>
                  <w:vAlign w:val="center"/>
                </w:tcPr>
                <w:p w14:paraId="214053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80</w:t>
                  </w:r>
                </w:p>
              </w:tc>
              <w:tc>
                <w:tcPr>
                  <w:tcW w:w="917" w:type="pct"/>
                  <w:vAlign w:val="center"/>
                </w:tcPr>
                <w:p w14:paraId="60A50C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03388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445F37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w:t>
                  </w:r>
                </w:p>
              </w:tc>
              <w:tc>
                <w:tcPr>
                  <w:tcW w:w="956" w:type="pct"/>
                  <w:shd w:val="clear" w:color="auto" w:fill="auto"/>
                  <w:vAlign w:val="center"/>
                </w:tcPr>
                <w:p w14:paraId="3A3FB1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骨料（0~5mm）</w:t>
                  </w:r>
                </w:p>
              </w:tc>
              <w:tc>
                <w:tcPr>
                  <w:tcW w:w="992" w:type="pct"/>
                  <w:vAlign w:val="center"/>
                </w:tcPr>
                <w:p w14:paraId="453B30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158508</w:t>
                  </w:r>
                </w:p>
              </w:tc>
              <w:tc>
                <w:tcPr>
                  <w:tcW w:w="989" w:type="pct"/>
                  <w:vAlign w:val="center"/>
                </w:tcPr>
                <w:p w14:paraId="687D86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2#料仓</w:t>
                  </w:r>
                  <w:r>
                    <w:rPr>
                      <w:rFonts w:hint="eastAsia" w:cs="Times New Roman"/>
                      <w:snapToGrid/>
                      <w:color w:val="000000" w:themeColor="text1"/>
                      <w:spacing w:val="0"/>
                      <w:kern w:val="0"/>
                      <w:position w:val="0"/>
                      <w:sz w:val="21"/>
                      <w:szCs w:val="21"/>
                      <w:lang w:val="en-US" w:eastAsia="zh-CN"/>
                      <w14:textFill>
                        <w14:solidFill>
                          <w14:schemeClr w14:val="tx1"/>
                        </w14:solidFill>
                      </w14:textFill>
                    </w:rPr>
                    <w:t>，颗粒状</w:t>
                  </w:r>
                </w:p>
              </w:tc>
              <w:tc>
                <w:tcPr>
                  <w:tcW w:w="840" w:type="pct"/>
                  <w:vAlign w:val="center"/>
                </w:tcPr>
                <w:p w14:paraId="5BA56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1000</w:t>
                  </w:r>
                </w:p>
              </w:tc>
              <w:tc>
                <w:tcPr>
                  <w:tcW w:w="917" w:type="pct"/>
                  <w:vAlign w:val="center"/>
                </w:tcPr>
                <w:p w14:paraId="79160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4F776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26067B7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w:t>
                  </w:r>
                </w:p>
              </w:tc>
              <w:tc>
                <w:tcPr>
                  <w:tcW w:w="956" w:type="pct"/>
                  <w:shd w:val="clear" w:color="auto" w:fill="auto"/>
                  <w:vAlign w:val="center"/>
                </w:tcPr>
                <w:p w14:paraId="627E42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外加剂</w:t>
                  </w:r>
                </w:p>
              </w:tc>
              <w:tc>
                <w:tcPr>
                  <w:tcW w:w="992" w:type="pct"/>
                  <w:vAlign w:val="center"/>
                </w:tcPr>
                <w:p w14:paraId="665A96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755</w:t>
                  </w:r>
                </w:p>
              </w:tc>
              <w:tc>
                <w:tcPr>
                  <w:tcW w:w="989" w:type="pct"/>
                  <w:vAlign w:val="center"/>
                </w:tcPr>
                <w:p w14:paraId="6F9F16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设备楼</w:t>
                  </w:r>
                  <w:r>
                    <w:rPr>
                      <w:rFonts w:hint="eastAsia" w:cs="Times New Roman"/>
                      <w:snapToGrid/>
                      <w:color w:val="000000" w:themeColor="text1"/>
                      <w:spacing w:val="0"/>
                      <w:kern w:val="0"/>
                      <w:position w:val="0"/>
                      <w:sz w:val="21"/>
                      <w:szCs w:val="21"/>
                      <w:lang w:val="en-US" w:eastAsia="zh-CN"/>
                      <w14:textFill>
                        <w14:solidFill>
                          <w14:schemeClr w14:val="tx1"/>
                        </w14:solidFill>
                      </w14:textFill>
                    </w:rPr>
                    <w:t>，液态</w:t>
                  </w:r>
                </w:p>
              </w:tc>
              <w:tc>
                <w:tcPr>
                  <w:tcW w:w="840" w:type="pct"/>
                  <w:vAlign w:val="center"/>
                </w:tcPr>
                <w:p w14:paraId="137250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20</w:t>
                  </w:r>
                </w:p>
              </w:tc>
              <w:tc>
                <w:tcPr>
                  <w:tcW w:w="917" w:type="pct"/>
                  <w:vAlign w:val="center"/>
                </w:tcPr>
                <w:p w14:paraId="1BC1F5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r w14:paraId="67382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516E12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w:t>
                  </w:r>
                </w:p>
              </w:tc>
              <w:tc>
                <w:tcPr>
                  <w:tcW w:w="956" w:type="pct"/>
                  <w:shd w:val="clear" w:color="auto" w:fill="auto"/>
                  <w:vAlign w:val="center"/>
                </w:tcPr>
                <w:p w14:paraId="15395D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搅拌用水</w:t>
                  </w:r>
                </w:p>
              </w:tc>
              <w:tc>
                <w:tcPr>
                  <w:tcW w:w="992" w:type="pct"/>
                  <w:vAlign w:val="center"/>
                </w:tcPr>
                <w:p w14:paraId="77C39A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15300</w:t>
                  </w:r>
                </w:p>
              </w:tc>
              <w:tc>
                <w:tcPr>
                  <w:tcW w:w="2747" w:type="pct"/>
                  <w:gridSpan w:val="3"/>
                  <w:vAlign w:val="center"/>
                </w:tcPr>
                <w:p w14:paraId="34B1A9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市政供水管网，车间沉淀池</w:t>
                  </w:r>
                </w:p>
              </w:tc>
            </w:tr>
            <w:tr w14:paraId="2B143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4DFE09C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公辅工程</w:t>
                  </w:r>
                </w:p>
              </w:tc>
            </w:tr>
            <w:tr w14:paraId="1B3BB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 w:type="pct"/>
                  <w:vAlign w:val="center"/>
                </w:tcPr>
                <w:p w14:paraId="4297F6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w:t>
                  </w:r>
                </w:p>
              </w:tc>
              <w:tc>
                <w:tcPr>
                  <w:tcW w:w="956" w:type="pct"/>
                  <w:vAlign w:val="center"/>
                </w:tcPr>
                <w:p w14:paraId="46395F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机油</w:t>
                  </w:r>
                </w:p>
              </w:tc>
              <w:tc>
                <w:tcPr>
                  <w:tcW w:w="992" w:type="pct"/>
                  <w:vAlign w:val="center"/>
                </w:tcPr>
                <w:p w14:paraId="6F704E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0.5</w:t>
                  </w:r>
                </w:p>
              </w:tc>
              <w:tc>
                <w:tcPr>
                  <w:tcW w:w="989" w:type="pct"/>
                  <w:vAlign w:val="center"/>
                </w:tcPr>
                <w:p w14:paraId="139B39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桶装，液态</w:t>
                  </w:r>
                </w:p>
              </w:tc>
              <w:tc>
                <w:tcPr>
                  <w:tcW w:w="840" w:type="pct"/>
                  <w:vAlign w:val="center"/>
                </w:tcPr>
                <w:p w14:paraId="3DDA34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0.5</w:t>
                  </w:r>
                </w:p>
              </w:tc>
              <w:tc>
                <w:tcPr>
                  <w:tcW w:w="917" w:type="pct"/>
                  <w:vAlign w:val="center"/>
                </w:tcPr>
                <w:p w14:paraId="468C36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外购</w:t>
                  </w:r>
                </w:p>
              </w:tc>
            </w:tr>
          </w:tbl>
          <w:p w14:paraId="1930684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6</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 xml:space="preserve">  </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能源</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消耗量表</w:t>
            </w:r>
          </w:p>
          <w:tbl>
            <w:tblPr>
              <w:tblStyle w:val="81"/>
              <w:tblW w:w="49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8"/>
              <w:gridCol w:w="2729"/>
              <w:gridCol w:w="3960"/>
            </w:tblGrid>
            <w:tr w14:paraId="6AA48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9" w:type="pct"/>
                  <w:vAlign w:val="center"/>
                </w:tcPr>
                <w:p w14:paraId="516573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序号</w:t>
                  </w:r>
                </w:p>
              </w:tc>
              <w:tc>
                <w:tcPr>
                  <w:tcW w:w="1685" w:type="pct"/>
                  <w:vAlign w:val="center"/>
                </w:tcPr>
                <w:p w14:paraId="1A85D1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2445" w:type="pct"/>
                  <w:vAlign w:val="center"/>
                </w:tcPr>
                <w:p w14:paraId="295E54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年消耗量</w:t>
                  </w:r>
                </w:p>
              </w:tc>
            </w:tr>
            <w:tr w14:paraId="118D7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9" w:type="pct"/>
                  <w:vAlign w:val="center"/>
                </w:tcPr>
                <w:p w14:paraId="45DB24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1</w:t>
                  </w:r>
                </w:p>
              </w:tc>
              <w:tc>
                <w:tcPr>
                  <w:tcW w:w="1685" w:type="pct"/>
                  <w:vAlign w:val="center"/>
                </w:tcPr>
                <w:p w14:paraId="6D0F01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电力</w:t>
                  </w:r>
                </w:p>
              </w:tc>
              <w:tc>
                <w:tcPr>
                  <w:tcW w:w="2445" w:type="pct"/>
                  <w:vAlign w:val="center"/>
                </w:tcPr>
                <w:p w14:paraId="41E1DC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400万kW</w:t>
                  </w:r>
                  <w:r>
                    <w:rPr>
                      <w:rFonts w:hint="default" w:ascii="Times New Roman" w:hAnsi="Times New Roman" w:cs="Times New Roman"/>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14:textFill>
                        <w14:solidFill>
                          <w14:schemeClr w14:val="tx1"/>
                        </w14:solidFill>
                      </w14:textFill>
                    </w:rPr>
                    <w:t>h</w:t>
                  </w:r>
                </w:p>
              </w:tc>
            </w:tr>
            <w:tr w14:paraId="7698F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9" w:type="pct"/>
                  <w:vAlign w:val="center"/>
                </w:tcPr>
                <w:p w14:paraId="06D566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2</w:t>
                  </w:r>
                </w:p>
              </w:tc>
              <w:tc>
                <w:tcPr>
                  <w:tcW w:w="1685" w:type="pct"/>
                  <w:vAlign w:val="center"/>
                </w:tcPr>
                <w:p w14:paraId="2A14C2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新水</w:t>
                  </w:r>
                </w:p>
              </w:tc>
              <w:tc>
                <w:tcPr>
                  <w:tcW w:w="2445" w:type="pct"/>
                  <w:vAlign w:val="center"/>
                </w:tcPr>
                <w:p w14:paraId="3B52205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105810m</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3</w:t>
                  </w:r>
                </w:p>
              </w:tc>
            </w:tr>
          </w:tbl>
          <w:p w14:paraId="7F9A9E1E">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项目设有原料储料仓，对于粉料（水泥、</w:t>
            </w:r>
            <w:r>
              <w:rPr>
                <w:rFonts w:hint="default" w:ascii="Times New Roman" w:hAnsi="Times New Roman" w:cs="Times New Roman"/>
                <w:sz w:val="21"/>
                <w:szCs w:val="21"/>
                <w:lang w:val="en-US" w:eastAsia="zh-CN"/>
              </w:rPr>
              <w:t>矿粉、</w:t>
            </w:r>
            <w:r>
              <w:rPr>
                <w:rFonts w:hint="default" w:ascii="Times New Roman" w:hAnsi="Times New Roman" w:eastAsia="宋体" w:cs="Times New Roman"/>
                <w:sz w:val="21"/>
                <w:szCs w:val="21"/>
              </w:rPr>
              <w:t>煤灰</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膨胀剂</w:t>
            </w:r>
            <w:r>
              <w:rPr>
                <w:rFonts w:hint="default" w:ascii="Times New Roman" w:hAnsi="Times New Roman" w:eastAsia="宋体" w:cs="Times New Roman"/>
                <w:sz w:val="21"/>
                <w:szCs w:val="21"/>
              </w:rPr>
              <w:t>）均为密闭筒仓，卸料则以压缩空气压入散装粉料储罐，然后再采用自动密闭风槽输送给粉料秤供料；项目不设露天堆场，卸料及输送时采用皮带式输送。</w:t>
            </w:r>
          </w:p>
          <w:p w14:paraId="713422CE">
            <w:pPr>
              <w:keepNext w:val="0"/>
              <w:keepLines w:val="0"/>
              <w:widowControl/>
              <w:suppressLineNumbers w:val="0"/>
              <w:jc w:val="both"/>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2.根据</w:t>
            </w:r>
            <w:r>
              <w:rPr>
                <w:rFonts w:hint="eastAsia" w:cs="Times New Roman"/>
                <w:sz w:val="21"/>
                <w:szCs w:val="21"/>
                <w:lang w:val="en-US" w:eastAsia="zh-CN"/>
              </w:rPr>
              <w:t>建设单位提供的原料配比</w:t>
            </w:r>
            <w:r>
              <w:rPr>
                <w:rFonts w:hint="default" w:ascii="Times New Roman" w:hAnsi="Times New Roman" w:cs="Times New Roman"/>
                <w:sz w:val="21"/>
                <w:szCs w:val="21"/>
                <w:lang w:val="en-US" w:eastAsia="zh-CN"/>
              </w:rPr>
              <w:t>，本项目</w:t>
            </w:r>
            <w:r>
              <w:rPr>
                <w:rFonts w:hint="default" w:ascii="Times New Roman" w:hAnsi="Times New Roman" w:eastAsia="宋体" w:cs="Times New Roman"/>
                <w:color w:val="000000"/>
                <w:kern w:val="0"/>
                <w:sz w:val="21"/>
                <w:szCs w:val="21"/>
                <w:lang w:val="en-US" w:eastAsia="zh-CN" w:bidi="ar"/>
              </w:rPr>
              <w:t>混凝土生产线搅拌过程中矿粉、煤灰、骨料（0~5mm）、骨料（</w:t>
            </w:r>
            <w:r>
              <w:rPr>
                <w:rFonts w:hint="eastAsia" w:cs="Times New Roman"/>
                <w:color w:val="000000"/>
                <w:kern w:val="0"/>
                <w:sz w:val="21"/>
                <w:szCs w:val="21"/>
                <w:lang w:val="en-US" w:eastAsia="zh-CN" w:bidi="ar"/>
              </w:rPr>
              <w:t>5～10</w:t>
            </w:r>
            <w:r>
              <w:rPr>
                <w:rFonts w:hint="default" w:ascii="Times New Roman" w:hAnsi="Times New Roman" w:eastAsia="宋体" w:cs="Times New Roman"/>
                <w:color w:val="000000"/>
                <w:kern w:val="0"/>
                <w:sz w:val="21"/>
                <w:szCs w:val="21"/>
                <w:lang w:val="en-US" w:eastAsia="zh-CN" w:bidi="ar"/>
              </w:rPr>
              <w:t>mm）、水泥、外加剂、</w:t>
            </w:r>
            <w:r>
              <w:rPr>
                <w:rFonts w:hint="default" w:ascii="Times New Roman" w:hAnsi="Times New Roman" w:cs="Times New Roman"/>
                <w:color w:val="000000"/>
                <w:kern w:val="0"/>
                <w:sz w:val="21"/>
                <w:szCs w:val="21"/>
                <w:lang w:val="en-US" w:eastAsia="zh-CN" w:bidi="ar"/>
              </w:rPr>
              <w:t>膨胀剂</w:t>
            </w:r>
            <w:r>
              <w:rPr>
                <w:rFonts w:hint="default" w:ascii="Times New Roman" w:hAnsi="Times New Roman" w:eastAsia="宋体" w:cs="Times New Roman"/>
                <w:color w:val="000000"/>
                <w:kern w:val="0"/>
                <w:sz w:val="21"/>
                <w:szCs w:val="21"/>
                <w:lang w:val="en-US" w:eastAsia="zh-CN" w:bidi="ar"/>
              </w:rPr>
              <w:t>及水比例以（0.6：0.7：</w:t>
            </w:r>
            <w:r>
              <w:rPr>
                <w:rFonts w:hint="eastAsia" w:ascii="Times New Roman" w:hAnsi="Times New Roman" w:cs="Times New Roman"/>
                <w:color w:val="000000"/>
                <w:kern w:val="0"/>
                <w:sz w:val="21"/>
                <w:szCs w:val="21"/>
                <w:lang w:val="en-US" w:eastAsia="zh-CN" w:bidi="ar"/>
              </w:rPr>
              <w:t>17</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18</w:t>
            </w:r>
            <w:r>
              <w:rPr>
                <w:rFonts w:hint="default" w:ascii="Times New Roman" w:hAnsi="Times New Roman" w:eastAsia="宋体" w:cs="Times New Roman"/>
                <w:color w:val="000000"/>
                <w:kern w:val="0"/>
                <w:sz w:val="21"/>
                <w:szCs w:val="21"/>
                <w:lang w:val="en-US" w:eastAsia="zh-CN" w:bidi="ar"/>
              </w:rPr>
              <w:t>：6：0.1：0.3：3.6）计；</w:t>
            </w:r>
            <w:r>
              <w:rPr>
                <w:rFonts w:hint="default" w:ascii="Times New Roman" w:hAnsi="Times New Roman" w:cs="Times New Roman"/>
                <w:color w:val="000000"/>
                <w:kern w:val="0"/>
                <w:sz w:val="21"/>
                <w:szCs w:val="21"/>
                <w:lang w:val="en-US" w:eastAsia="zh-CN" w:bidi="ar"/>
              </w:rPr>
              <w:t>预拌砂浆</w:t>
            </w:r>
            <w:r>
              <w:rPr>
                <w:rFonts w:hint="default" w:ascii="Times New Roman" w:hAnsi="Times New Roman" w:eastAsia="宋体" w:cs="Times New Roman"/>
                <w:color w:val="000000"/>
                <w:kern w:val="0"/>
                <w:sz w:val="21"/>
                <w:szCs w:val="21"/>
                <w:lang w:val="en-US" w:eastAsia="zh-CN" w:bidi="ar"/>
              </w:rPr>
              <w:t>生产线搅拌过程中骨料（0~5mm）、水泥、外加剂及水比例以（</w:t>
            </w:r>
            <w:r>
              <w:rPr>
                <w:rFonts w:hint="default" w:ascii="Times New Roman" w:hAnsi="Times New Roman" w:cs="Times New Roman"/>
                <w:color w:val="000000"/>
                <w:kern w:val="0"/>
                <w:sz w:val="21"/>
                <w:szCs w:val="21"/>
                <w:lang w:val="en-US" w:eastAsia="zh-CN" w:bidi="ar"/>
              </w:rPr>
              <w:t>77.7</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14.43</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0.37</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7.5</w:t>
            </w:r>
            <w:r>
              <w:rPr>
                <w:rFonts w:hint="default" w:ascii="Times New Roman" w:hAnsi="Times New Roman" w:eastAsia="宋体" w:cs="Times New Roman"/>
                <w:color w:val="000000"/>
                <w:kern w:val="0"/>
                <w:sz w:val="21"/>
                <w:szCs w:val="21"/>
                <w:lang w:val="en-US" w:eastAsia="zh-CN" w:bidi="ar"/>
              </w:rPr>
              <w:t>）计</w:t>
            </w:r>
            <w:r>
              <w:rPr>
                <w:rFonts w:hint="default" w:ascii="Times New Roman" w:hAnsi="Times New Roman" w:cs="Times New Roman"/>
                <w:color w:val="000000"/>
                <w:kern w:val="0"/>
                <w:sz w:val="21"/>
                <w:szCs w:val="21"/>
                <w:lang w:val="en-US" w:eastAsia="zh-CN" w:bidi="ar"/>
              </w:rPr>
              <w:t>。</w:t>
            </w:r>
          </w:p>
          <w:p w14:paraId="36E3270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主要原辅材料成分：</w:t>
            </w:r>
          </w:p>
          <w:p w14:paraId="413E67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）外加剂：主要为塑化剂，可改善砂浆的粘聚性和保水性。具有良好的分散溶解、抗渗、抗冻性能等，可改善砂浆和易性，起到扩散砂浆乳化发泡等作用，本材料是粉末状，无毒，无味。</w:t>
            </w:r>
          </w:p>
          <w:p w14:paraId="34D369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（2）膨胀剂：主要为硫铝酸钙型混凝土膨胀剂，不含钠盐，</w:t>
            </w:r>
            <w:r>
              <w:rPr>
                <w:rFonts w:hint="eastAsia" w:cs="Times New Roman"/>
                <w:snapToGrid/>
                <w:color w:val="000000" w:themeColor="text1"/>
                <w:spacing w:val="0"/>
                <w:kern w:val="0"/>
                <w:position w:val="0"/>
                <w:sz w:val="24"/>
                <w:lang w:val="en-US" w:eastAsia="zh-CN"/>
                <w14:textFill>
                  <w14:solidFill>
                    <w14:schemeClr w14:val="tx1"/>
                  </w14:solidFill>
                </w14:textFill>
              </w:rPr>
              <w:t>不</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会引起混凝土碱骨料反应。而</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instrText xml:space="preserve"> HYPERLINK "https://baike.baidu.com/item/%E8%80%90%E4%B9%85%E6%80%A7/8323247?fromModule=lemma_inlink" \t "https://baike.baidu.com/item/%E6%B7%B7%E5%87%9D%E5%9C%9F%E8%86%A8%E8%83%80%E5%89%82/_blank" </w:instrTex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耐久性</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良好，膨胀性能稳定，强度持续上升。</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instrText xml:space="preserve"> HYPERLINK "https://baike.baidu.com/item/%E6%99%AE%E9%80%9A%E6%B7%B7%E5%87%9D%E5%9C%9F/9307984?fromModule=lemma_inlink" \t "https://baike.baidu.com/item/%E6%B7%B7%E5%87%9D%E5%9C%9F%E8%86%A8%E8%83%80%E5%89%82/_blank" </w:instrTex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普通混凝土</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由于收缩开裂，往往发生渗漏，降低了它的使用功能和耐久性。在水泥中内掺8%</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12%的膨胀剂，可拌制成补偿收缩混凝土，大大提高了混凝土结构的抗裂防水能力。可取消外防水作业，延长后浇缝间距，防止</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instrText xml:space="preserve"> HYPERLINK "https://baike.baidu.com/item/%E5%A4%A7%E4%BD%93%E7%A7%AF%E6%B7%B7%E5%87%9D%E5%9C%9F/9007633?fromModule=lemma_inlink" \t "https://baike.baidu.com/item/%E6%B7%B7%E5%87%9D%E5%9C%9F%E8%86%A8%E8%83%80%E5%89%82/_blank" </w:instrTex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大体积混凝土</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和</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instrText xml:space="preserve"> HYPERLINK "https://baike.baidu.com/item/%E9%AB%98%E5%BC%BA%E6%B7%B7%E5%87%9D%E5%9C%9F/343052?fromModule=lemma_inlink" \t "https://baike.baidu.com/item/%E6%B7%B7%E5%87%9D%E5%9C%9F%E8%86%A8%E8%83%80%E5%89%82/_blank" </w:instrTex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高强混凝土</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温差裂缝的出现。</w:t>
            </w:r>
          </w:p>
          <w:p w14:paraId="11AC38F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pPr>
            <w:r>
              <w:rPr>
                <w:rFonts w:hint="eastAsia" w:cs="Times New Roman"/>
                <w:b/>
                <w:snapToGrid/>
                <w:color w:val="000000" w:themeColor="text1"/>
                <w:spacing w:val="0"/>
                <w:kern w:val="0"/>
                <w:position w:val="0"/>
                <w:sz w:val="24"/>
                <w:lang w:val="en-US" w:eastAsia="zh-CN"/>
                <w14:textFill>
                  <w14:solidFill>
                    <w14:schemeClr w14:val="tx1"/>
                  </w14:solidFill>
                </w14:textFill>
              </w:rPr>
              <w:t>5</w:t>
            </w:r>
            <w:r>
              <w:rPr>
                <w:rFonts w:hint="default" w:ascii="Times New Roman" w:hAnsi="Times New Roman" w:eastAsia="宋体" w:cs="Times New Roman"/>
                <w:b/>
                <w:snapToGrid/>
                <w:color w:val="000000" w:themeColor="text1"/>
                <w:spacing w:val="0"/>
                <w:kern w:val="0"/>
                <w:position w:val="0"/>
                <w:sz w:val="24"/>
                <w:lang w:eastAsia="zh-CN"/>
                <w14:textFill>
                  <w14:solidFill>
                    <w14:schemeClr w14:val="tx1"/>
                  </w14:solidFill>
                </w14:textFill>
              </w:rPr>
              <w:t>、</w:t>
            </w:r>
            <w:r>
              <w:rPr>
                <w:rFonts w:hint="eastAsia" w:cs="Times New Roman"/>
                <w:b/>
                <w:snapToGrid/>
                <w:color w:val="000000" w:themeColor="text1"/>
                <w:spacing w:val="0"/>
                <w:kern w:val="0"/>
                <w:position w:val="0"/>
                <w:sz w:val="24"/>
                <w:lang w:val="en-US" w:eastAsia="zh-CN"/>
                <w14:textFill>
                  <w14:solidFill>
                    <w14:schemeClr w14:val="tx1"/>
                  </w14:solidFill>
                </w14:textFill>
              </w:rPr>
              <w:t>公用工程</w:t>
            </w:r>
          </w:p>
          <w:p w14:paraId="4BB539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（1）供电</w:t>
            </w:r>
          </w:p>
          <w:p w14:paraId="1039AD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本项目年用总电量约400万</w:t>
            </w:r>
            <w:r>
              <w:rPr>
                <w:rFonts w:hint="default" w:cs="Times New Roman"/>
                <w:snapToGrid/>
                <w:color w:val="000000" w:themeColor="text1"/>
                <w:spacing w:val="0"/>
                <w:kern w:val="0"/>
                <w:position w:val="0"/>
                <w:sz w:val="24"/>
                <w:lang w:val="en-US" w:eastAsia="zh-CN"/>
                <w14:textFill>
                  <w14:solidFill>
                    <w14:schemeClr w14:val="tx1"/>
                  </w14:solidFill>
                </w14:textFill>
              </w:rPr>
              <w:t>kW</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r>
              <w:rPr>
                <w:rFonts w:hint="default" w:cs="Times New Roman"/>
                <w:snapToGrid/>
                <w:color w:val="000000" w:themeColor="text1"/>
                <w:spacing w:val="0"/>
                <w:kern w:val="0"/>
                <w:position w:val="0"/>
                <w:sz w:val="24"/>
                <w:lang w:val="en-US" w:eastAsia="zh-CN"/>
                <w14:textFill>
                  <w14:solidFill>
                    <w14:schemeClr w14:val="tx1"/>
                  </w14:solidFill>
                </w14:textFill>
              </w:rPr>
              <w:t>h</w:t>
            </w:r>
            <w:r>
              <w:rPr>
                <w:rFonts w:hint="eastAsia" w:cs="Times New Roman"/>
                <w:snapToGrid/>
                <w:color w:val="000000" w:themeColor="text1"/>
                <w:spacing w:val="0"/>
                <w:kern w:val="0"/>
                <w:position w:val="0"/>
                <w:sz w:val="24"/>
                <w:lang w:val="en-US" w:eastAsia="zh-CN"/>
                <w14:textFill>
                  <w14:solidFill>
                    <w14:schemeClr w14:val="tx1"/>
                  </w14:solidFill>
                </w14:textFill>
              </w:rPr>
              <w:t>，由市政电网进行供电。</w:t>
            </w:r>
          </w:p>
          <w:p w14:paraId="25BED0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（2）供水</w:t>
            </w:r>
          </w:p>
          <w:p w14:paraId="5D9E23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本项目用水主要</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lang w:eastAsia="zh-CN"/>
                <w14:textFill>
                  <w14:solidFill>
                    <w14:schemeClr w14:val="tx1"/>
                  </w14:solidFill>
                </w14:textFill>
              </w:rPr>
              <w:t>用水和</w:t>
            </w:r>
            <w:r>
              <w:rPr>
                <w:rFonts w:hint="default" w:ascii="Times New Roman" w:hAnsi="Times New Roman" w:eastAsia="宋体" w:cs="Times New Roman"/>
                <w:color w:val="000000" w:themeColor="text1"/>
                <w:sz w:val="24"/>
                <w:szCs w:val="24"/>
                <w14:textFill>
                  <w14:solidFill>
                    <w14:schemeClr w14:val="tx1"/>
                  </w14:solidFill>
                </w14:textFill>
              </w:rPr>
              <w:t>生活用水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由市政供水管网</w:t>
            </w:r>
            <w:r>
              <w:rPr>
                <w:rFonts w:hint="eastAsia" w:cs="Times New Roman"/>
                <w:color w:val="000000" w:themeColor="text1"/>
                <w:sz w:val="24"/>
                <w:szCs w:val="24"/>
                <w:lang w:val="en-US" w:eastAsia="zh-CN"/>
                <w14:textFill>
                  <w14:solidFill>
                    <w14:schemeClr w14:val="tx1"/>
                  </w14:solidFill>
                </w14:textFill>
              </w:rPr>
              <w:t>供水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32B97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1）</w:t>
            </w:r>
            <w:r>
              <w:rPr>
                <w:rFonts w:hint="eastAsia" w:cs="Times New Roman"/>
                <w:snapToGrid/>
                <w:color w:val="000000" w:themeColor="text1"/>
                <w:spacing w:val="0"/>
                <w:kern w:val="0"/>
                <w:position w:val="0"/>
                <w:sz w:val="24"/>
                <w:lang w:val="en-US" w:eastAsia="zh-CN"/>
                <w14:textFill>
                  <w14:solidFill>
                    <w14:schemeClr w14:val="tx1"/>
                  </w14:solidFill>
                </w14:textFill>
              </w:rPr>
              <w:t>生活用水</w:t>
            </w:r>
          </w:p>
          <w:p w14:paraId="05BCDB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本项目劳动定员</w:t>
            </w:r>
            <w:r>
              <w:rPr>
                <w:rFonts w:hint="eastAsia" w:cs="Times New Roman"/>
                <w:snapToGrid/>
                <w:color w:val="000000" w:themeColor="text1"/>
                <w:spacing w:val="0"/>
                <w:kern w:val="0"/>
                <w:position w:val="0"/>
                <w:sz w:val="24"/>
                <w:lang w:val="en-US" w:eastAsia="zh-CN"/>
                <w14:textFill>
                  <w14:solidFill>
                    <w14:schemeClr w14:val="tx1"/>
                  </w14:solidFill>
                </w14:textFill>
              </w:rPr>
              <w:t>20</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人，均</w:t>
            </w:r>
            <w:r>
              <w:rPr>
                <w:rFonts w:hint="eastAsia" w:cs="Times New Roman"/>
                <w:snapToGrid/>
                <w:color w:val="000000" w:themeColor="text1"/>
                <w:spacing w:val="0"/>
                <w:kern w:val="0"/>
                <w:position w:val="0"/>
                <w:sz w:val="24"/>
                <w:lang w:val="en-US" w:eastAsia="zh-CN"/>
                <w14:textFill>
                  <w14:solidFill>
                    <w14:schemeClr w14:val="tx1"/>
                  </w14:solidFill>
                </w14:textFill>
              </w:rPr>
              <w:t>不</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在厂内食宿，</w:t>
            </w:r>
            <w:r>
              <w:rPr>
                <w:rFonts w:hint="eastAsia" w:cs="Times New Roman"/>
                <w:snapToGrid/>
                <w:color w:val="000000" w:themeColor="text1"/>
                <w:spacing w:val="0"/>
                <w:kern w:val="0"/>
                <w:position w:val="0"/>
                <w:sz w:val="24"/>
                <w:lang w:val="en-US" w:eastAsia="zh-CN"/>
                <w14:textFill>
                  <w14:solidFill>
                    <w14:schemeClr w14:val="tx1"/>
                  </w14:solidFill>
                </w14:textFill>
              </w:rPr>
              <w:t>根据《江西省生活用水定额》（DB36/T 419-2017），本次评价</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生活用水量按</w:t>
            </w:r>
            <w:r>
              <w:rPr>
                <w:rFonts w:hint="eastAsia" w:cs="Times New Roman"/>
                <w:snapToGrid/>
                <w:color w:val="000000" w:themeColor="text1"/>
                <w:spacing w:val="0"/>
                <w:kern w:val="0"/>
                <w:position w:val="0"/>
                <w:sz w:val="24"/>
                <w:lang w:val="en-US" w:eastAsia="zh-CN"/>
                <w14:textFill>
                  <w14:solidFill>
                    <w14:schemeClr w14:val="tx1"/>
                  </w14:solidFill>
                </w14:textFill>
              </w:rPr>
              <w:t>50</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L/人</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d计，则员工生活用水量为</w:t>
            </w:r>
            <w:r>
              <w:rPr>
                <w:rFonts w:hint="eastAsia" w:cs="Times New Roman"/>
                <w:snapToGrid/>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m</w:t>
            </w:r>
            <w:r>
              <w:rPr>
                <w:rFonts w:hint="eastAsia" w:ascii="Times New Roman" w:hAnsi="Times New Roman" w:eastAsia="宋体"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30</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0m</w:t>
            </w:r>
            <w:r>
              <w:rPr>
                <w:rFonts w:hint="eastAsia" w:ascii="Times New Roman" w:hAnsi="Times New Roman" w:eastAsia="宋体"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/a）。</w:t>
            </w:r>
          </w:p>
          <w:p w14:paraId="6F82F2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cs="Times New Roman"/>
                <w:snapToGrid/>
                <w:color w:val="000000" w:themeColor="text1"/>
                <w:spacing w:val="0"/>
                <w:kern w:val="0"/>
                <w:position w:val="0"/>
                <w:sz w:val="24"/>
                <w:lang w:val="en-US" w:eastAsia="zh-CN"/>
                <w14:textFill>
                  <w14:solidFill>
                    <w14:schemeClr w14:val="tx1"/>
                  </w14:solidFill>
                </w14:textFill>
              </w:rPr>
              <w:t>生产用水</w:t>
            </w:r>
          </w:p>
          <w:p w14:paraId="246BAB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本项目生产用水主要为</w:t>
            </w:r>
            <w:r>
              <w:rPr>
                <w:rFonts w:hint="eastAsia" w:cs="Times New Roman"/>
                <w:snapToGrid/>
                <w:color w:val="000000" w:themeColor="text1"/>
                <w:spacing w:val="0"/>
                <w:kern w:val="0"/>
                <w:position w:val="0"/>
                <w:sz w:val="24"/>
                <w:lang w:val="en-US" w:eastAsia="zh-CN"/>
                <w14:textFill>
                  <w14:solidFill>
                    <w14:schemeClr w14:val="tx1"/>
                  </w14:solidFill>
                </w14:textFill>
              </w:rPr>
              <w:t>混凝土生产线及预拌砂浆生产线混合搅拌工序用水、地面冲洗用水、搅拌机清洗用水、车辆冲洗用水、抑尘用水，本项目实验室仅为物理实验过程，无废水产生。</w:t>
            </w:r>
          </w:p>
          <w:p w14:paraId="72562E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①</w:t>
            </w:r>
            <w:r>
              <w:rPr>
                <w:rFonts w:hint="eastAsia" w:cs="Times New Roman"/>
                <w:snapToGrid/>
                <w:color w:val="000000" w:themeColor="text1"/>
                <w:spacing w:val="0"/>
                <w:kern w:val="0"/>
                <w:position w:val="0"/>
                <w:sz w:val="24"/>
                <w:lang w:val="en-US" w:eastAsia="zh-CN"/>
                <w14:textFill>
                  <w14:solidFill>
                    <w14:schemeClr w14:val="tx1"/>
                  </w14:solidFill>
                </w14:textFill>
              </w:rPr>
              <w:t>混凝土生产线及预拌砂浆生产线混合搅拌工序用水</w:t>
            </w:r>
          </w:p>
          <w:p w14:paraId="6D810E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A.混凝土生产线混合搅拌工序用水</w:t>
            </w:r>
          </w:p>
          <w:p w14:paraId="79C7FD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本项目混凝土生产线混合搅拌工序需加水，根据本项目混凝土生产线所用原料配比可知（见表2-5），本项目混凝土生产线混合搅拌工序用水量为292</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87600m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），该部分用水均进入产品中，无废水产生。</w:t>
            </w:r>
          </w:p>
          <w:p w14:paraId="5FCD1B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B.预拌砂浆生产线搅拌用水</w:t>
            </w:r>
          </w:p>
          <w:p w14:paraId="0E9A87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本项目预拌砂浆生产线混合搅拌过程需加水，根据本项目预拌砂浆生产线所用原料配比可知（见表2-5），本项目预拌砂浆生产线混合搅拌工序用水量为51</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15300m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），该部分用水均进入产品中，无废水产生。</w:t>
            </w:r>
          </w:p>
          <w:p w14:paraId="018648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本项目混凝土生产线及预拌砂浆生产线混合搅拌工序用水总量为343</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102900m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19C3BE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②</w:t>
            </w:r>
            <w:r>
              <w:rPr>
                <w:rFonts w:hint="eastAsia" w:cs="Times New Roman"/>
                <w:snapToGrid/>
                <w:color w:val="000000" w:themeColor="text1"/>
                <w:spacing w:val="0"/>
                <w:kern w:val="0"/>
                <w:position w:val="0"/>
                <w:sz w:val="24"/>
                <w:lang w:val="en-US" w:eastAsia="zh-CN"/>
                <w14:textFill>
                  <w14:solidFill>
                    <w14:schemeClr w14:val="tx1"/>
                  </w14:solidFill>
                </w14:textFill>
              </w:rPr>
              <w:t>地面冲洗用水</w:t>
            </w:r>
          </w:p>
          <w:p w14:paraId="64D1EF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本项目1#设备楼、2#设备楼地面每天需冲洗1次，参照《建筑给排水设计标准》（</w:t>
            </w:r>
            <w:r>
              <w:rPr>
                <w:rFonts w:hint="default" w:cs="Times New Roman"/>
                <w:snapToGrid/>
                <w:color w:val="000000" w:themeColor="text1"/>
                <w:spacing w:val="0"/>
                <w:kern w:val="0"/>
                <w:position w:val="0"/>
                <w:sz w:val="24"/>
                <w:lang w:val="en-US" w:eastAsia="zh-CN"/>
                <w14:textFill>
                  <w14:solidFill>
                    <w14:schemeClr w14:val="tx1"/>
                  </w14:solidFill>
                </w14:textFill>
              </w:rPr>
              <w:t>GB50015-2019</w:t>
            </w:r>
            <w:r>
              <w:rPr>
                <w:rFonts w:hint="eastAsia" w:cs="Times New Roman"/>
                <w:snapToGrid/>
                <w:color w:val="000000" w:themeColor="text1"/>
                <w:spacing w:val="0"/>
                <w:kern w:val="0"/>
                <w:position w:val="0"/>
                <w:sz w:val="24"/>
                <w:lang w:val="en-US" w:eastAsia="zh-CN"/>
                <w14:textFill>
                  <w14:solidFill>
                    <w14:schemeClr w14:val="tx1"/>
                  </w14:solidFill>
                </w14:textFill>
              </w:rPr>
              <w:t>）中地面冲洗水定额（平均日）为</w:t>
            </w:r>
            <w:r>
              <w:rPr>
                <w:rFonts w:hint="default" w:cs="Times New Roman"/>
                <w:snapToGrid/>
                <w:color w:val="000000" w:themeColor="text1"/>
                <w:spacing w:val="0"/>
                <w:kern w:val="0"/>
                <w:position w:val="0"/>
                <w:sz w:val="24"/>
                <w:lang w:val="en-US" w:eastAsia="zh-CN"/>
                <w14:textFill>
                  <w14:solidFill>
                    <w14:schemeClr w14:val="tx1"/>
                  </w14:solidFill>
                </w14:textFill>
              </w:rPr>
              <w:t>2</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default" w:cs="Times New Roman"/>
                <w:snapToGrid/>
                <w:color w:val="000000" w:themeColor="text1"/>
                <w:spacing w:val="0"/>
                <w:kern w:val="0"/>
                <w:position w:val="0"/>
                <w:sz w:val="24"/>
                <w:lang w:val="en-US" w:eastAsia="zh-CN"/>
                <w14:textFill>
                  <w14:solidFill>
                    <w14:schemeClr w14:val="tx1"/>
                  </w14:solidFill>
                </w14:textFill>
              </w:rPr>
              <w:t>3L/m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2</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次，本次评价按</w:t>
            </w:r>
            <w:r>
              <w:rPr>
                <w:rFonts w:hint="default" w:cs="Times New Roman"/>
                <w:snapToGrid/>
                <w:color w:val="000000" w:themeColor="text1"/>
                <w:spacing w:val="0"/>
                <w:kern w:val="0"/>
                <w:position w:val="0"/>
                <w:sz w:val="24"/>
                <w:lang w:val="en-US" w:eastAsia="zh-CN"/>
                <w14:textFill>
                  <w14:solidFill>
                    <w14:schemeClr w14:val="tx1"/>
                  </w14:solidFill>
                </w14:textFill>
              </w:rPr>
              <w:t>2.5L/m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2</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次计，地面冲洗面积约800m</w:t>
            </w:r>
            <w:r>
              <w:rPr>
                <w:rFonts w:hint="eastAsia" w:cs="Times New Roman"/>
                <w:snapToGrid/>
                <w:color w:val="000000" w:themeColor="text1"/>
                <w:spacing w:val="0"/>
                <w:kern w:val="0"/>
                <w:position w:val="0"/>
                <w:sz w:val="24"/>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4"/>
                <w:lang w:val="en-US" w:eastAsia="zh-CN"/>
                <w14:textFill>
                  <w14:solidFill>
                    <w14:schemeClr w14:val="tx1"/>
                  </w14:solidFill>
                </w14:textFill>
              </w:rPr>
              <w:t>，则本项目地面冲洗用水量为2</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600m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3584EC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③搅拌机清洗用水</w:t>
            </w:r>
          </w:p>
          <w:p w14:paraId="30FEA2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本项目主要对搅拌机进行冲洗，搅拌机平均每天冲洗一次，每次冲洗用水量按</w:t>
            </w:r>
            <w:r>
              <w:rPr>
                <w:rFonts w:hint="default" w:cs="Times New Roman"/>
                <w:snapToGrid/>
                <w:color w:val="000000" w:themeColor="text1"/>
                <w:spacing w:val="0"/>
                <w:kern w:val="0"/>
                <w:position w:val="0"/>
                <w:sz w:val="24"/>
                <w:lang w:val="en-US" w:eastAsia="zh-CN"/>
                <w14:textFill>
                  <w14:solidFill>
                    <w14:schemeClr w14:val="tx1"/>
                  </w14:solidFill>
                </w14:textFill>
              </w:rPr>
              <w:t>2m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lang w:val="en-US" w:eastAsia="zh-CN"/>
                <w14:textFill>
                  <w14:solidFill>
                    <w14:schemeClr w14:val="tx1"/>
                  </w14:solidFill>
                </w14:textFill>
              </w:rPr>
              <w:t>计，本项目混凝土生产线配备2台搅拌机，预拌砂浆生产线配备</w:t>
            </w:r>
            <w:r>
              <w:rPr>
                <w:rFonts w:hint="default" w:cs="Times New Roman"/>
                <w:snapToGrid/>
                <w:color w:val="000000" w:themeColor="text1"/>
                <w:spacing w:val="0"/>
                <w:kern w:val="0"/>
                <w:position w:val="0"/>
                <w:sz w:val="24"/>
                <w:lang w:val="en-US" w:eastAsia="zh-CN"/>
                <w14:textFill>
                  <w14:solidFill>
                    <w14:schemeClr w14:val="tx1"/>
                  </w14:solidFill>
                </w14:textFill>
              </w:rPr>
              <w:t>1</w:t>
            </w:r>
            <w:r>
              <w:rPr>
                <w:rFonts w:hint="eastAsia" w:cs="Times New Roman"/>
                <w:snapToGrid/>
                <w:color w:val="000000" w:themeColor="text1"/>
                <w:spacing w:val="0"/>
                <w:kern w:val="0"/>
                <w:position w:val="0"/>
                <w:sz w:val="24"/>
                <w:lang w:val="en-US" w:eastAsia="zh-CN"/>
                <w14:textFill>
                  <w14:solidFill>
                    <w14:schemeClr w14:val="tx1"/>
                  </w14:solidFill>
                </w14:textFill>
              </w:rPr>
              <w:t>台搅拌机，则搅拌机清洗用水量为6</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（1800</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3C7537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④车辆清洗用水</w:t>
            </w:r>
          </w:p>
          <w:p w14:paraId="6B5358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A.罐车清洗用水</w:t>
            </w:r>
          </w:p>
          <w:p w14:paraId="3E933C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本项目运输罐车不工作时需进行清洗，平均每天对</w:t>
            </w:r>
            <w:r>
              <w:rPr>
                <w:rFonts w:hint="default" w:cs="Times New Roman"/>
                <w:snapToGrid/>
                <w:color w:val="000000" w:themeColor="text1"/>
                <w:spacing w:val="0"/>
                <w:kern w:val="0"/>
                <w:position w:val="0"/>
                <w:sz w:val="24"/>
                <w:lang w:val="en-US" w:eastAsia="zh-CN"/>
                <w14:textFill>
                  <w14:solidFill>
                    <w14:schemeClr w14:val="tx1"/>
                  </w14:solidFill>
                </w14:textFill>
              </w:rPr>
              <w:t>5</w:t>
            </w:r>
            <w:r>
              <w:rPr>
                <w:rFonts w:hint="eastAsia" w:cs="Times New Roman"/>
                <w:snapToGrid/>
                <w:color w:val="000000" w:themeColor="text1"/>
                <w:spacing w:val="0"/>
                <w:kern w:val="0"/>
                <w:position w:val="0"/>
                <w:sz w:val="24"/>
                <w:lang w:val="en-US" w:eastAsia="zh-CN"/>
                <w14:textFill>
                  <w14:solidFill>
                    <w14:schemeClr w14:val="tx1"/>
                  </w14:solidFill>
                </w14:textFill>
              </w:rPr>
              <w:t>辆罐车进行清洗一次，根据建设单位提供的资料，运输车辆冲洗水量约</w:t>
            </w:r>
            <w:r>
              <w:rPr>
                <w:rFonts w:hint="default" w:cs="Times New Roman"/>
                <w:snapToGrid/>
                <w:color w:val="000000" w:themeColor="text1"/>
                <w:spacing w:val="0"/>
                <w:kern w:val="0"/>
                <w:position w:val="0"/>
                <w:sz w:val="24"/>
                <w:lang w:val="en-US" w:eastAsia="zh-CN"/>
                <w14:textFill>
                  <w14:solidFill>
                    <w14:schemeClr w14:val="tx1"/>
                  </w14:solidFill>
                </w14:textFill>
              </w:rPr>
              <w:t>1m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辆</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次，则罐车清洗用水量为</w:t>
            </w:r>
            <w:r>
              <w:rPr>
                <w:rFonts w:hint="default" w:cs="Times New Roman"/>
                <w:snapToGrid/>
                <w:color w:val="000000" w:themeColor="text1"/>
                <w:spacing w:val="0"/>
                <w:kern w:val="0"/>
                <w:position w:val="0"/>
                <w:sz w:val="24"/>
                <w:lang w:val="en-US" w:eastAsia="zh-CN"/>
                <w14:textFill>
                  <w14:solidFill>
                    <w14:schemeClr w14:val="tx1"/>
                  </w14:solidFill>
                </w14:textFill>
              </w:rPr>
              <w:t>5m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（1500</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421B15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B.运输车辆冲洗用水</w:t>
            </w:r>
          </w:p>
          <w:p w14:paraId="7E256E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本项目在物料出入口设置了洗车平台对运输车辆外部及轮胎进行冲洗，本项目需运输约18.87万吨原料、139.8万吨产品，工作制度为年生产300天，按单车</w:t>
            </w:r>
            <w:r>
              <w:rPr>
                <w:rFonts w:hint="default" w:cs="Times New Roman"/>
                <w:snapToGrid/>
                <w:color w:val="000000" w:themeColor="text1"/>
                <w:spacing w:val="0"/>
                <w:kern w:val="0"/>
                <w:position w:val="0"/>
                <w:sz w:val="24"/>
                <w:lang w:val="en-US" w:eastAsia="zh-CN"/>
                <w14:textFill>
                  <w14:solidFill>
                    <w14:schemeClr w14:val="tx1"/>
                  </w14:solidFill>
                </w14:textFill>
              </w:rPr>
              <w:t>1</w:t>
            </w:r>
            <w:r>
              <w:rPr>
                <w:rFonts w:hint="eastAsia" w:cs="Times New Roman"/>
                <w:snapToGrid/>
                <w:color w:val="000000" w:themeColor="text1"/>
                <w:spacing w:val="0"/>
                <w:kern w:val="0"/>
                <w:position w:val="0"/>
                <w:sz w:val="24"/>
                <w:lang w:val="en-US" w:eastAsia="zh-CN"/>
                <w14:textFill>
                  <w14:solidFill>
                    <w14:schemeClr w14:val="tx1"/>
                  </w14:solidFill>
                </w14:textFill>
              </w:rPr>
              <w:t>次运输量最大为</w:t>
            </w:r>
            <w:r>
              <w:rPr>
                <w:rFonts w:hint="default" w:cs="Times New Roman"/>
                <w:snapToGrid/>
                <w:color w:val="000000" w:themeColor="text1"/>
                <w:spacing w:val="0"/>
                <w:kern w:val="0"/>
                <w:position w:val="0"/>
                <w:sz w:val="24"/>
                <w:lang w:val="en-US" w:eastAsia="zh-CN"/>
                <w14:textFill>
                  <w14:solidFill>
                    <w14:schemeClr w14:val="tx1"/>
                  </w14:solidFill>
                </w14:textFill>
              </w:rPr>
              <w:t>30t</w:t>
            </w:r>
            <w:r>
              <w:rPr>
                <w:rFonts w:hint="eastAsia" w:cs="Times New Roman"/>
                <w:snapToGrid/>
                <w:color w:val="000000" w:themeColor="text1"/>
                <w:spacing w:val="0"/>
                <w:kern w:val="0"/>
                <w:position w:val="0"/>
                <w:sz w:val="24"/>
                <w:lang w:val="en-US" w:eastAsia="zh-CN"/>
                <w14:textFill>
                  <w14:solidFill>
                    <w14:schemeClr w14:val="tx1"/>
                  </w14:solidFill>
                </w14:textFill>
              </w:rPr>
              <w:t>计算，每天约需运输约177趟。每次均需对运输车辆外部及轮胎进行冲洗，清洗用水量按</w:t>
            </w:r>
            <w:r>
              <w:rPr>
                <w:rFonts w:hint="default" w:cs="Times New Roman"/>
                <w:snapToGrid/>
                <w:color w:val="000000" w:themeColor="text1"/>
                <w:spacing w:val="0"/>
                <w:kern w:val="0"/>
                <w:position w:val="0"/>
                <w:sz w:val="24"/>
                <w:lang w:val="en-US" w:eastAsia="zh-CN"/>
                <w14:textFill>
                  <w14:solidFill>
                    <w14:schemeClr w14:val="tx1"/>
                  </w14:solidFill>
                </w14:textFill>
              </w:rPr>
              <w:t>0.</w:t>
            </w:r>
            <w:r>
              <w:rPr>
                <w:rFonts w:hint="eastAsia" w:cs="Times New Roman"/>
                <w:snapToGrid/>
                <w:color w:val="000000" w:themeColor="text1"/>
                <w:spacing w:val="0"/>
                <w:kern w:val="0"/>
                <w:position w:val="0"/>
                <w:sz w:val="24"/>
                <w:lang w:val="en-US" w:eastAsia="zh-CN"/>
                <w14:textFill>
                  <w14:solidFill>
                    <w14:schemeClr w14:val="tx1"/>
                  </w14:solidFill>
                </w14:textFill>
              </w:rPr>
              <w:t>02</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辆</w:t>
            </w:r>
            <w:r>
              <w:rPr>
                <w:rFonts w:hint="default"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次计，则冲洗用水量为3.5</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（1050</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5E4AF9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本项目</w:t>
            </w:r>
            <w:r>
              <w:rPr>
                <w:rFonts w:hint="eastAsia" w:cs="Times New Roman"/>
                <w:snapToGrid/>
                <w:color w:val="000000" w:themeColor="text1"/>
                <w:spacing w:val="0"/>
                <w:kern w:val="0"/>
                <w:position w:val="0"/>
                <w:sz w:val="24"/>
                <w:lang w:val="en-US" w:eastAsia="zh-CN"/>
                <w14:textFill>
                  <w14:solidFill>
                    <w14:schemeClr w14:val="tx1"/>
                  </w14:solidFill>
                </w14:textFill>
              </w:rPr>
              <w:t>车辆清洗用水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总量为8.5m</w:t>
            </w:r>
            <w:r>
              <w:rPr>
                <w:rFonts w:hint="eastAsia"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/d（2550m</w:t>
            </w:r>
            <w:r>
              <w:rPr>
                <w:rFonts w:hint="eastAsia"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/a）。</w:t>
            </w:r>
          </w:p>
          <w:p w14:paraId="53738F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⑤抑尘用水</w:t>
            </w:r>
          </w:p>
          <w:p w14:paraId="3D4F1F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A.料仓喷淋抑尘用水</w:t>
            </w:r>
          </w:p>
          <w:p w14:paraId="30D1C34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本项目生产所需骨料堆放于料仓内，为防止内部粉尘过高，本项目料仓需要定期对物料堆放区进行喷水降尘，防止二次扬尘产生，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本项目在物料堆存区上方设置雾化水喷淋装置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，减少物料装卸产生的粉尘</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，水雾喷淋系统流量约为40L/min，水雾喷淋每天运行时间约1.</w:t>
            </w:r>
            <w:r>
              <w:rPr>
                <w:rFonts w:hint="eastAsia" w:cs="Times New Roman"/>
                <w:snapToGrid/>
                <w:color w:val="000000" w:themeColor="text1"/>
                <w:spacing w:val="0"/>
                <w:kern w:val="0"/>
                <w:position w:val="0"/>
                <w:sz w:val="24"/>
                <w:szCs w:val="24"/>
                <w:lang w:val="en-US" w:eastAsia="zh-CN"/>
                <w14:textFill>
                  <w14:solidFill>
                    <w14:schemeClr w14:val="tx1"/>
                  </w14:solidFill>
                </w14:textFill>
              </w:rPr>
              <w:t>5</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h，则</w:t>
            </w:r>
            <w:r>
              <w:rPr>
                <w:rFonts w:hint="eastAsia" w:cs="Times New Roman"/>
                <w:snapToGrid/>
                <w:color w:val="000000" w:themeColor="text1"/>
                <w:spacing w:val="0"/>
                <w:kern w:val="0"/>
                <w:position w:val="0"/>
                <w:sz w:val="24"/>
                <w:lang w:val="en-US" w:eastAsia="zh-CN"/>
                <w14:textFill>
                  <w14:solidFill>
                    <w14:schemeClr w14:val="tx1"/>
                  </w14:solidFill>
                </w14:textFill>
              </w:rPr>
              <w:t>料仓喷淋抑尘用水</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量=40×1.5×60÷1000=3.6m</w:t>
            </w:r>
            <w:r>
              <w:rPr>
                <w:rFonts w:hint="eastAsia" w:ascii="Times New Roman" w:hAnsi="Times New Roman"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/d（1080m</w:t>
            </w:r>
            <w:r>
              <w:rPr>
                <w:rFonts w:hint="eastAsia" w:ascii="Times New Roman" w:hAnsi="Times New Roman"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该部分用水直接进入骨料中，不产生废水。</w:t>
            </w:r>
          </w:p>
          <w:p w14:paraId="3F0A9A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B.厂区道路抑尘用水</w:t>
            </w:r>
          </w:p>
          <w:p w14:paraId="3DFDEA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建设单位拟在无降雨日</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定时对</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厂区道路</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进行洒水加湿，洒水频率为每</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小时一次，按每天16小时计算，每平方米洒水量0.25L</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，厂区道路面积约5000m</w:t>
            </w:r>
            <w:r>
              <w:rPr>
                <w:rFonts w:hint="eastAsia"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，宁都县多年平均年降水日数与无降水日数之比为18：20，</w:t>
            </w:r>
            <w:r>
              <w:rPr>
                <w:rFonts w:hint="eastAsia" w:cs="Times New Roman"/>
                <w:snapToGrid/>
                <w:color w:val="000000" w:themeColor="text1"/>
                <w:spacing w:val="0"/>
                <w:kern w:val="0"/>
                <w:position w:val="0"/>
                <w:sz w:val="24"/>
                <w:lang w:val="en-US" w:eastAsia="zh-CN"/>
                <w14:textFill>
                  <w14:solidFill>
                    <w14:schemeClr w14:val="tx1"/>
                  </w14:solidFill>
                </w14:textFill>
              </w:rPr>
              <w:t>厂区道路抑尘用水量为</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2.63m</w:t>
            </w:r>
            <w:r>
              <w:rPr>
                <w:rFonts w:hint="eastAsia" w:ascii="Times New Roman" w:hAnsi="Times New Roman"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/d（789m</w:t>
            </w:r>
            <w:r>
              <w:rPr>
                <w:rFonts w:hint="eastAsia" w:ascii="Times New Roman" w:hAnsi="Times New Roman"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/a）。</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这部分用水均被自然蒸发，不会产生外排废水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w:t>
            </w:r>
          </w:p>
          <w:p w14:paraId="392CD1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本项目抑尘用水总量为6.23</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1869m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p>
          <w:p w14:paraId="214201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napToGrid/>
                <w:color w:val="000000" w:themeColor="text1"/>
                <w:spacing w:val="0"/>
                <w:kern w:val="0"/>
                <w:position w:val="0"/>
                <w:sz w:val="24"/>
                <w:szCs w:val="24"/>
                <w:lang w:val="en-US"/>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（3）排水</w:t>
            </w:r>
          </w:p>
          <w:p w14:paraId="4F9D2B6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本项目排水采用雨污分流制。</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项目废水产生情况如下：</w:t>
            </w:r>
          </w:p>
          <w:p w14:paraId="00A477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1）</w:t>
            </w:r>
            <w:r>
              <w:rPr>
                <w:rFonts w:hint="eastAsia" w:cs="Times New Roman"/>
                <w:snapToGrid/>
                <w:color w:val="000000" w:themeColor="text1"/>
                <w:spacing w:val="0"/>
                <w:kern w:val="0"/>
                <w:position w:val="0"/>
                <w:sz w:val="24"/>
                <w:lang w:val="en-US" w:eastAsia="zh-CN"/>
                <w14:textFill>
                  <w14:solidFill>
                    <w14:schemeClr w14:val="tx1"/>
                  </w14:solidFill>
                </w14:textFill>
              </w:rPr>
              <w:t>生活污水</w:t>
            </w:r>
          </w:p>
          <w:p w14:paraId="6F76ECC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员工生活</w:t>
            </w:r>
            <w:r>
              <w:rPr>
                <w:rFonts w:hint="eastAsia" w:ascii="Times New Roman" w:hAnsi="Times New Roman" w:eastAsia="宋体" w:cs="Times New Roman"/>
                <w:color w:val="000000" w:themeColor="text1"/>
                <w:sz w:val="24"/>
                <w:szCs w:val="24"/>
                <w:lang w:eastAsia="zh-CN"/>
                <w14:textFill>
                  <w14:solidFill>
                    <w14:schemeClr w14:val="tx1"/>
                  </w14:solidFill>
                </w14:textFill>
              </w:rPr>
              <w:t>污水排放量按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80%计，则生活污水排放量为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240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生活污水经化粪池处理达</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《农田灌溉水质标准》（GB5084-2021）中旱地作物标准限值后用于厂区绿化，不外排。</w:t>
            </w:r>
          </w:p>
          <w:p w14:paraId="1C5972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cs="Times New Roman"/>
                <w:snapToGrid/>
                <w:color w:val="000000" w:themeColor="text1"/>
                <w:spacing w:val="0"/>
                <w:kern w:val="0"/>
                <w:position w:val="0"/>
                <w:sz w:val="24"/>
                <w:lang w:val="en-US" w:eastAsia="zh-CN"/>
                <w14:textFill>
                  <w14:solidFill>
                    <w14:schemeClr w14:val="tx1"/>
                  </w14:solidFill>
                </w14:textFill>
              </w:rPr>
              <w:t>生产废水</w:t>
            </w:r>
          </w:p>
          <w:p w14:paraId="76EB04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本项目</w:t>
            </w:r>
            <w:r>
              <w:rPr>
                <w:rFonts w:hint="eastAsia" w:cs="Times New Roman"/>
                <w:snapToGrid/>
                <w:color w:val="000000" w:themeColor="text1"/>
                <w:spacing w:val="0"/>
                <w:kern w:val="0"/>
                <w:position w:val="0"/>
                <w:sz w:val="24"/>
                <w:lang w:val="en-US" w:eastAsia="zh-CN"/>
                <w14:textFill>
                  <w14:solidFill>
                    <w14:schemeClr w14:val="tx1"/>
                  </w14:solidFill>
                </w14:textFill>
              </w:rPr>
              <w:t>生产废水主要有地面冲洗废水、搅拌机清洗废水、车辆冲洗废水。</w:t>
            </w:r>
          </w:p>
          <w:p w14:paraId="4F4080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①</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w:t>
            </w:r>
          </w:p>
          <w:p w14:paraId="0B9E55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地面冲洗用水量为2</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600m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排放系数按</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85%</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计，</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产生量约为</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7</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510m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，经“车间沉淀池+砂水分离机+压滤设施”处理后回用于生产，不外排。</w:t>
            </w:r>
          </w:p>
          <w:p w14:paraId="522D0E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②</w:t>
            </w:r>
            <w:r>
              <w:rPr>
                <w:rFonts w:hint="eastAsia" w:cs="Times New Roman"/>
                <w:snapToGrid/>
                <w:color w:val="000000" w:themeColor="text1"/>
                <w:spacing w:val="0"/>
                <w:kern w:val="0"/>
                <w:position w:val="0"/>
                <w:sz w:val="24"/>
                <w:lang w:val="en-US" w:eastAsia="zh-CN"/>
                <w14:textFill>
                  <w14:solidFill>
                    <w14:schemeClr w14:val="tx1"/>
                  </w14:solidFill>
                </w14:textFill>
              </w:rPr>
              <w:t>搅拌机清洗废水</w:t>
            </w:r>
          </w:p>
          <w:p w14:paraId="7D6887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搅拌机清洗用水量为6</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（1800</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排放系数按</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85%</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计，</w:t>
            </w:r>
            <w:r>
              <w:rPr>
                <w:rFonts w:hint="eastAsia" w:cs="Times New Roman"/>
                <w:snapToGrid/>
                <w:color w:val="000000" w:themeColor="text1"/>
                <w:spacing w:val="0"/>
                <w:kern w:val="0"/>
                <w:position w:val="0"/>
                <w:sz w:val="24"/>
                <w:lang w:val="en-US" w:eastAsia="zh-CN"/>
                <w14:textFill>
                  <w14:solidFill>
                    <w14:schemeClr w14:val="tx1"/>
                  </w14:solidFill>
                </w14:textFill>
              </w:rPr>
              <w:t>搅拌机清洗废水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产生量约为5.1</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lang w:val="en-US" w:eastAsia="zh-CN"/>
                <w14:textFill>
                  <w14:solidFill>
                    <w14:schemeClr w14:val="tx1"/>
                  </w14:solidFill>
                </w14:textFill>
              </w:rPr>
              <w:t>530m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，经“车间沉淀池+砂水分离机+压滤设施”处理后回用于生产，不外排。</w:t>
            </w:r>
          </w:p>
          <w:p w14:paraId="799089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③车辆清洗废水</w:t>
            </w:r>
          </w:p>
          <w:p w14:paraId="33FB85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车辆清洗用水量为8.5</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（2550</w:t>
            </w:r>
            <w:r>
              <w:rPr>
                <w:rFonts w:hint="default" w:cs="Times New Roman"/>
                <w:snapToGrid/>
                <w:color w:val="000000" w:themeColor="text1"/>
                <w:spacing w:val="0"/>
                <w:kern w:val="0"/>
                <w:position w:val="0"/>
                <w:sz w:val="24"/>
                <w:lang w:val="en-US" w:eastAsia="zh-CN"/>
                <w14:textFill>
                  <w14:solidFill>
                    <w14:schemeClr w14:val="tx1"/>
                  </w14:solidFill>
                </w14:textFill>
              </w:rPr>
              <w:t>m</w:t>
            </w:r>
            <w:r>
              <w:rPr>
                <w:rFonts w:hint="default"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cs="Times New Roman"/>
                <w:snapToGrid/>
                <w:color w:val="000000" w:themeColor="text1"/>
                <w:spacing w:val="0"/>
                <w:kern w:val="0"/>
                <w:position w:val="0"/>
                <w:sz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排放系数按</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85%</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计，</w:t>
            </w:r>
            <w:r>
              <w:rPr>
                <w:rFonts w:hint="eastAsia" w:cs="Times New Roman"/>
                <w:snapToGrid/>
                <w:color w:val="000000" w:themeColor="text1"/>
                <w:spacing w:val="0"/>
                <w:kern w:val="0"/>
                <w:position w:val="0"/>
                <w:sz w:val="24"/>
                <w:lang w:val="en-US" w:eastAsia="zh-CN"/>
                <w14:textFill>
                  <w14:solidFill>
                    <w14:schemeClr w14:val="tx1"/>
                  </w14:solidFill>
                </w14:textFill>
              </w:rPr>
              <w:t>车辆清洗废水</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产生量约为7.23</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（2169</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，经洗车平台的沉淀池沉淀后回用于车辆冲洗。</w:t>
            </w:r>
          </w:p>
          <w:p w14:paraId="485724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初期雨水</w:t>
            </w:r>
          </w:p>
          <w:p w14:paraId="1AA94C7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本项目需在生产区建设雨水收集沟和初期雨水收集池。根据《赣州市暴雨强度公式》和《室外排水设计规范》（GB50014-2021）计算公式为：</w:t>
            </w:r>
          </w:p>
          <w:p w14:paraId="3853231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①</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暴雨强度</w:t>
            </w:r>
          </w:p>
          <w:p w14:paraId="5C8E66D1">
            <w:pPr>
              <w:pStyle w:val="9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position w:val="-30"/>
                <w:sz w:val="21"/>
                <w:szCs w:val="21"/>
                <w:lang w:val="en-US" w:eastAsia="zh-CN"/>
                <w14:textFill>
                  <w14:solidFill>
                    <w14:schemeClr w14:val="tx1"/>
                  </w14:solidFill>
                </w14:textFill>
              </w:rPr>
              <w:object>
                <v:shape id="_x0000_i1025" o:spt="75" type="#_x0000_t75" style="height:34pt;width:105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p>
          <w:p w14:paraId="1FB9076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式中：</w:t>
            </w:r>
          </w:p>
          <w:p w14:paraId="12D7105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q</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—为暴雨强度，单位为L/s</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hm</w:t>
            </w:r>
            <w:r>
              <w:rPr>
                <w:rFonts w:hint="eastAsia"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vertAlign w:val="baseline"/>
                <w:lang w:val="en-US" w:eastAsia="zh-CN" w:bidi="ar-SA"/>
                <w14:textFill>
                  <w14:solidFill>
                    <w14:schemeClr w14:val="tx1"/>
                  </w14:solidFill>
                </w14:textFill>
              </w:rPr>
              <w:t>；</w:t>
            </w:r>
          </w:p>
          <w:p w14:paraId="69F6575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—降雨历时（min），</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t=t1+mt2</w:t>
            </w:r>
          </w:p>
          <w:p w14:paraId="0604002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t1</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—地面集水时间（分钟），按</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5</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min计，</w:t>
            </w:r>
          </w:p>
          <w:p w14:paraId="4A9E8BA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—管网流行时间（分钟），按</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15</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min计，</w:t>
            </w:r>
          </w:p>
          <w:p w14:paraId="68123BC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—折减系数，暗管（明渠）</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m=1</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3F981E1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P</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—设计重现期（年），按</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年计。</w:t>
            </w:r>
          </w:p>
          <w:p w14:paraId="3C8D68A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经计算，本项目q为188.12L/s</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hm</w:t>
            </w:r>
            <w:r>
              <w:rPr>
                <w:rFonts w:hint="eastAsia"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vertAlign w:val="baseline"/>
                <w:lang w:val="en-US" w:eastAsia="zh-CN" w:bidi="ar-SA"/>
                <w14:textFill>
                  <w14:solidFill>
                    <w14:schemeClr w14:val="tx1"/>
                  </w14:solidFill>
                </w14:textFill>
              </w:rPr>
              <w:t>。</w:t>
            </w:r>
          </w:p>
          <w:p w14:paraId="0DDA1A9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②</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暴雨设计流量</w:t>
            </w:r>
          </w:p>
          <w:p w14:paraId="230EA59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根据国家给排水规范要求，暴雨设计流量应按下列公式计算：</w:t>
            </w:r>
          </w:p>
          <w:p w14:paraId="14B85DF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Qs=qΨF</w:t>
            </w:r>
          </w:p>
          <w:p w14:paraId="3B8F8C7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式中：</w:t>
            </w:r>
          </w:p>
          <w:p w14:paraId="7217EBA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Qs</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—雨水设计流量（</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L/s</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18B6FD8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q</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—设计暴雨强度（</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L/s·hm</w:t>
            </w:r>
            <w:r>
              <w:rPr>
                <w:rFonts w:hint="default"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1AFCB20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Ψ</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—径流系数，混凝土路面取值</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0.85</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3939E5E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60" w:firstLineChars="4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F</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—汇水面积（</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hm</w:t>
            </w:r>
            <w:r>
              <w:rPr>
                <w:rFonts w:hint="default"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），本次仅分析本项目露天地面面积0.5</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hm</w:t>
            </w:r>
            <w:r>
              <w:rPr>
                <w:rFonts w:hint="default"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3318628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本项目</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Qs</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为79.95L/s</w:t>
            </w:r>
            <w:r>
              <w:rPr>
                <w:rFonts w:hint="eastAsia" w:ascii="Times New Roman" w:hAnsi="Times New Roman" w:cs="Times New Roman"/>
                <w:snapToGrid/>
                <w:color w:val="000000" w:themeColor="text1"/>
                <w:spacing w:val="0"/>
                <w:kern w:val="0"/>
                <w:position w:val="0"/>
                <w:sz w:val="24"/>
                <w:szCs w:val="24"/>
                <w:vertAlign w:val="baseline"/>
                <w:lang w:val="en-US" w:eastAsia="zh-CN" w:bidi="ar-SA"/>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本次评价以暴雨历时15</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min</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计，雨水设计流量约为71.96</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拟</w:t>
            </w:r>
            <w:r>
              <w:rPr>
                <w:rFonts w:hint="eastAsia" w:cs="Times New Roman"/>
                <w:color w:val="000000" w:themeColor="text1"/>
                <w:kern w:val="0"/>
                <w:sz w:val="24"/>
                <w:szCs w:val="24"/>
                <w:lang w:val="en-US" w:eastAsia="zh-CN" w:bidi="ar"/>
                <w14:textFill>
                  <w14:solidFill>
                    <w14:schemeClr w14:val="tx1"/>
                  </w14:solidFill>
                </w14:textFill>
              </w:rPr>
              <w:t>在厂区设置</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座容积</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为90m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的初期雨</w:t>
            </w:r>
            <w:r>
              <w:rPr>
                <w:rFonts w:hint="eastAsia" w:cs="Times New Roman"/>
                <w:color w:val="000000" w:themeColor="text1"/>
                <w:kern w:val="0"/>
                <w:sz w:val="24"/>
                <w:szCs w:val="24"/>
                <w:lang w:val="en-US" w:eastAsia="zh-CN" w:bidi="ar"/>
                <w14:textFill>
                  <w14:solidFill>
                    <w14:schemeClr w14:val="tx1"/>
                  </w14:solidFill>
                </w14:textFill>
              </w:rPr>
              <w:t>水池，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在</w:t>
            </w:r>
            <w:r>
              <w:rPr>
                <w:rFonts w:hint="eastAsia" w:cs="Times New Roman"/>
                <w:color w:val="000000" w:themeColor="text1"/>
                <w:kern w:val="0"/>
                <w:sz w:val="24"/>
                <w:szCs w:val="24"/>
                <w:lang w:val="en-US" w:eastAsia="zh-CN" w:bidi="ar"/>
                <w14:textFill>
                  <w14:solidFill>
                    <w14:schemeClr w14:val="tx1"/>
                  </w14:solidFill>
                </w14:textFill>
              </w:rPr>
              <w:t>厂区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雨水排放管道上安装一个阀门，收集的初期雨水通过专用管道排入初期雨水收集池，</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15</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min</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降雨后切换阀门，后期雨水直接排入园区雨水管网，收集的初期雨水经</w:t>
            </w:r>
            <w:r>
              <w:rPr>
                <w:rFonts w:hint="eastAsia" w:eastAsia="宋体" w:cs="Times New Roman"/>
                <w:color w:val="000000" w:themeColor="text1"/>
                <w:kern w:val="0"/>
                <w:sz w:val="24"/>
                <w:szCs w:val="24"/>
                <w:lang w:val="en-US" w:eastAsia="zh-CN" w:bidi="ar"/>
                <w14:textFill>
                  <w14:solidFill>
                    <w14:schemeClr w14:val="tx1"/>
                  </w14:solidFill>
                </w14:textFill>
              </w:rPr>
              <w:t>初期雨水池沉淀后</w:t>
            </w:r>
            <w:r>
              <w:rPr>
                <w:rFonts w:hint="eastAsia" w:ascii="Times New Roman" w:hAnsi="Times New Roman" w:cs="Times New Roman"/>
                <w:snapToGrid/>
                <w:color w:val="000000" w:themeColor="text1"/>
                <w:spacing w:val="0"/>
                <w:kern w:val="0"/>
                <w:position w:val="0"/>
                <w:sz w:val="24"/>
                <w:lang w:val="en-US" w:eastAsia="zh-CN"/>
                <w14:textFill>
                  <w14:solidFill>
                    <w14:schemeClr w14:val="tx1"/>
                  </w14:solidFill>
                </w14:textFill>
              </w:rPr>
              <w:t>用于生产，不外排</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。由于初期雨水具有较大的不确定性，因此本评价仅针对初期雨水做定性分析，不计入废水排放量。</w:t>
            </w:r>
          </w:p>
          <w:p w14:paraId="1853F89B">
            <w:pPr>
              <w:pStyle w:val="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表</w:t>
            </w:r>
            <w:r>
              <w:rPr>
                <w:rFonts w:hint="eastAsia" w:eastAsia="宋体" w:cs="Times New Roman"/>
                <w:b/>
                <w:bCs/>
                <w:snapToGrid/>
                <w:color w:val="000000" w:themeColor="text1"/>
                <w:spacing w:val="0"/>
                <w:w w:val="100"/>
                <w:position w:val="0"/>
                <w:sz w:val="21"/>
                <w:szCs w:val="21"/>
                <w:lang w:val="en-US" w:eastAsia="zh-CN"/>
                <w14:textFill>
                  <w14:solidFill>
                    <w14:schemeClr w14:val="tx1"/>
                  </w14:solidFill>
                </w14:textFill>
              </w:rPr>
              <w:t>2</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w:t>
            </w:r>
            <w:r>
              <w:rPr>
                <w:rFonts w:hint="eastAsia" w:cs="Times New Roman"/>
                <w:b/>
                <w:bCs/>
                <w:snapToGrid/>
                <w:color w:val="000000" w:themeColor="text1"/>
                <w:spacing w:val="0"/>
                <w:w w:val="100"/>
                <w:position w:val="0"/>
                <w:sz w:val="21"/>
                <w:szCs w:val="21"/>
                <w:lang w:val="en-US" w:eastAsia="zh-CN"/>
                <w14:textFill>
                  <w14:solidFill>
                    <w14:schemeClr w14:val="tx1"/>
                  </w14:solidFill>
                </w14:textFill>
              </w:rPr>
              <w:t>7</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 xml:space="preserve"> </w:t>
            </w:r>
            <w:r>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 xml:space="preserve"> </w:t>
            </w:r>
            <w:r>
              <w:rPr>
                <w:rFonts w:hint="eastAsia" w:cs="Times New Roman"/>
                <w:b/>
                <w:bCs/>
                <w:snapToGrid/>
                <w:color w:val="000000" w:themeColor="text1"/>
                <w:spacing w:val="0"/>
                <w:w w:val="100"/>
                <w:position w:val="0"/>
                <w:sz w:val="21"/>
                <w:szCs w:val="21"/>
                <w:lang w:val="en-US" w:eastAsia="zh-CN"/>
                <w14:textFill>
                  <w14:solidFill>
                    <w14:schemeClr w14:val="tx1"/>
                  </w14:solidFill>
                </w14:textFill>
              </w:rPr>
              <w:t>项目</w:t>
            </w:r>
            <w:r>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水平衡表  单位：</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m</w:t>
            </w:r>
            <w:r>
              <w:rPr>
                <w:rFonts w:hint="default" w:ascii="Times New Roman" w:hAnsi="Times New Roman" w:eastAsia="宋体" w:cs="Times New Roman"/>
                <w:b/>
                <w:bCs/>
                <w:snapToGrid/>
                <w:color w:val="000000" w:themeColor="text1"/>
                <w:spacing w:val="0"/>
                <w:w w:val="100"/>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/d</w:t>
            </w:r>
          </w:p>
          <w:tbl>
            <w:tblPr>
              <w:tblStyle w:val="28"/>
              <w:tblW w:w="81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4"/>
              <w:gridCol w:w="601"/>
              <w:gridCol w:w="1712"/>
              <w:gridCol w:w="888"/>
              <w:gridCol w:w="762"/>
              <w:gridCol w:w="888"/>
              <w:gridCol w:w="625"/>
              <w:gridCol w:w="775"/>
              <w:gridCol w:w="1418"/>
            </w:tblGrid>
            <w:tr w14:paraId="35905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vMerge w:val="restart"/>
                  <w:tcBorders>
                    <w:top w:val="single" w:color="auto" w:sz="2" w:space="0"/>
                    <w:left w:val="single" w:color="auto" w:sz="2" w:space="0"/>
                  </w:tcBorders>
                  <w:vAlign w:val="center"/>
                </w:tcPr>
                <w:p w14:paraId="3374F449">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序号</w:t>
                  </w:r>
                </w:p>
              </w:tc>
              <w:tc>
                <w:tcPr>
                  <w:tcW w:w="1411" w:type="pct"/>
                  <w:gridSpan w:val="2"/>
                  <w:vMerge w:val="restart"/>
                  <w:tcBorders>
                    <w:top w:val="single" w:color="auto" w:sz="2" w:space="0"/>
                  </w:tcBorders>
                  <w:vAlign w:val="center"/>
                </w:tcPr>
                <w:p w14:paraId="7316985C">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项目</w:t>
                  </w:r>
                </w:p>
              </w:tc>
              <w:tc>
                <w:tcPr>
                  <w:tcW w:w="1548" w:type="pct"/>
                  <w:gridSpan w:val="3"/>
                  <w:tcBorders>
                    <w:top w:val="single" w:color="auto" w:sz="2" w:space="0"/>
                  </w:tcBorders>
                  <w:vAlign w:val="center"/>
                </w:tcPr>
                <w:p w14:paraId="07DC86C9">
                  <w:pPr>
                    <w:pStyle w:val="105"/>
                    <w:ind w:left="136"/>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入方</w:t>
                  </w:r>
                </w:p>
              </w:tc>
              <w:tc>
                <w:tcPr>
                  <w:tcW w:w="1719" w:type="pct"/>
                  <w:gridSpan w:val="3"/>
                  <w:tcBorders>
                    <w:top w:val="single" w:color="auto" w:sz="2" w:space="0"/>
                    <w:right w:val="single" w:color="auto" w:sz="2" w:space="0"/>
                  </w:tcBorders>
                  <w:vAlign w:val="center"/>
                </w:tcPr>
                <w:p w14:paraId="0D557BD6">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出方</w:t>
                  </w:r>
                </w:p>
              </w:tc>
            </w:tr>
            <w:tr w14:paraId="154F0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vMerge w:val="continue"/>
                  <w:tcBorders>
                    <w:left w:val="single" w:color="auto" w:sz="2" w:space="0"/>
                  </w:tcBorders>
                  <w:vAlign w:val="center"/>
                </w:tcPr>
                <w:p w14:paraId="57A603E0">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p>
              </w:tc>
              <w:tc>
                <w:tcPr>
                  <w:tcW w:w="1411" w:type="pct"/>
                  <w:gridSpan w:val="2"/>
                  <w:vMerge w:val="continue"/>
                  <w:vAlign w:val="center"/>
                </w:tcPr>
                <w:p w14:paraId="5145A5C3">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p>
              </w:tc>
              <w:tc>
                <w:tcPr>
                  <w:tcW w:w="541" w:type="pct"/>
                  <w:vAlign w:val="center"/>
                </w:tcPr>
                <w:p w14:paraId="22D96A6F">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总用水</w:t>
                  </w:r>
                </w:p>
              </w:tc>
              <w:tc>
                <w:tcPr>
                  <w:tcW w:w="465" w:type="pct"/>
                  <w:vAlign w:val="center"/>
                </w:tcPr>
                <w:p w14:paraId="29C88689">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新水</w:t>
                  </w:r>
                </w:p>
              </w:tc>
              <w:tc>
                <w:tcPr>
                  <w:tcW w:w="541" w:type="pct"/>
                  <w:vAlign w:val="center"/>
                </w:tcPr>
                <w:p w14:paraId="205C8950">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回用水</w:t>
                  </w:r>
                </w:p>
              </w:tc>
              <w:tc>
                <w:tcPr>
                  <w:tcW w:w="381" w:type="pct"/>
                  <w:vAlign w:val="center"/>
                </w:tcPr>
                <w:p w14:paraId="4005D4C2">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损耗</w:t>
                  </w:r>
                </w:p>
              </w:tc>
              <w:tc>
                <w:tcPr>
                  <w:tcW w:w="472" w:type="pct"/>
                  <w:vAlign w:val="center"/>
                </w:tcPr>
                <w:p w14:paraId="77D98BCD">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回用水</w:t>
                  </w:r>
                </w:p>
              </w:tc>
              <w:tc>
                <w:tcPr>
                  <w:tcW w:w="865" w:type="pct"/>
                  <w:tcBorders>
                    <w:right w:val="single" w:color="auto" w:sz="2" w:space="0"/>
                  </w:tcBorders>
                  <w:vAlign w:val="center"/>
                </w:tcPr>
                <w:p w14:paraId="1DC0A910">
                  <w:pPr>
                    <w:pStyle w:val="105"/>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b/>
                      <w:bCs/>
                      <w:snapToGrid/>
                      <w:color w:val="000000" w:themeColor="text1"/>
                      <w:spacing w:val="0"/>
                      <w:w w:val="100"/>
                      <w:kern w:val="0"/>
                      <w:position w:val="0"/>
                      <w:sz w:val="21"/>
                      <w:szCs w:val="21"/>
                      <w14:textFill>
                        <w14:solidFill>
                          <w14:schemeClr w14:val="tx1"/>
                        </w14:solidFill>
                      </w14:textFill>
                    </w:rPr>
                    <w:t>排放</w:t>
                  </w:r>
                </w:p>
              </w:tc>
            </w:tr>
            <w:tr w14:paraId="5E985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21993983">
                  <w:pPr>
                    <w:pStyle w:val="105"/>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t>1</w:t>
                  </w:r>
                </w:p>
              </w:tc>
              <w:tc>
                <w:tcPr>
                  <w:tcW w:w="366" w:type="pct"/>
                  <w:vMerge w:val="restart"/>
                  <w:vAlign w:val="center"/>
                </w:tcPr>
                <w:p w14:paraId="15382964">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生产用水</w:t>
                  </w:r>
                </w:p>
              </w:tc>
              <w:tc>
                <w:tcPr>
                  <w:tcW w:w="1044" w:type="pct"/>
                  <w:vAlign w:val="center"/>
                </w:tcPr>
                <w:p w14:paraId="5B456B92">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混合搅拌工序</w:t>
                  </w:r>
                </w:p>
              </w:tc>
              <w:tc>
                <w:tcPr>
                  <w:tcW w:w="541" w:type="pct"/>
                  <w:vAlign w:val="center"/>
                </w:tcPr>
                <w:p w14:paraId="5965125B">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343</w:t>
                  </w:r>
                </w:p>
              </w:tc>
              <w:tc>
                <w:tcPr>
                  <w:tcW w:w="465" w:type="pct"/>
                  <w:vAlign w:val="center"/>
                </w:tcPr>
                <w:p w14:paraId="1CA4799A">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336.2</w:t>
                  </w:r>
                </w:p>
              </w:tc>
              <w:tc>
                <w:tcPr>
                  <w:tcW w:w="541" w:type="pct"/>
                  <w:vAlign w:val="center"/>
                </w:tcPr>
                <w:p w14:paraId="2D1F2CCA">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6.80</w:t>
                  </w:r>
                </w:p>
              </w:tc>
              <w:tc>
                <w:tcPr>
                  <w:tcW w:w="381" w:type="pct"/>
                  <w:vAlign w:val="center"/>
                </w:tcPr>
                <w:p w14:paraId="5ADFF10B">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343</w:t>
                  </w:r>
                </w:p>
              </w:tc>
              <w:tc>
                <w:tcPr>
                  <w:tcW w:w="472" w:type="pct"/>
                  <w:vAlign w:val="center"/>
                </w:tcPr>
                <w:p w14:paraId="7F488355">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w:t>
                  </w:r>
                </w:p>
              </w:tc>
              <w:tc>
                <w:tcPr>
                  <w:tcW w:w="865" w:type="pct"/>
                  <w:tcBorders>
                    <w:right w:val="single" w:color="auto" w:sz="2" w:space="0"/>
                  </w:tcBorders>
                  <w:vAlign w:val="center"/>
                </w:tcPr>
                <w:p w14:paraId="2A395AD1">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0</w:t>
                  </w:r>
                </w:p>
              </w:tc>
            </w:tr>
            <w:tr w14:paraId="62817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31EA248F">
                  <w:pPr>
                    <w:pStyle w:val="105"/>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t>2</w:t>
                  </w:r>
                </w:p>
              </w:tc>
              <w:tc>
                <w:tcPr>
                  <w:tcW w:w="366" w:type="pct"/>
                  <w:vMerge w:val="continue"/>
                  <w:vAlign w:val="center"/>
                </w:tcPr>
                <w:p w14:paraId="218E7B7D">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p>
              </w:tc>
              <w:tc>
                <w:tcPr>
                  <w:tcW w:w="1044" w:type="pct"/>
                  <w:vAlign w:val="center"/>
                </w:tcPr>
                <w:p w14:paraId="5B4114C9">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地面冲洗</w:t>
                  </w:r>
                </w:p>
              </w:tc>
              <w:tc>
                <w:tcPr>
                  <w:tcW w:w="541" w:type="pct"/>
                  <w:vAlign w:val="center"/>
                </w:tcPr>
                <w:p w14:paraId="506D0E43">
                  <w:pPr>
                    <w:keepNext w:val="0"/>
                    <w:keepLines w:val="0"/>
                    <w:widowControl/>
                    <w:suppressLineNumbers w:val="0"/>
                    <w:jc w:val="center"/>
                    <w:textAlignment w:val="cente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2</w:t>
                  </w:r>
                </w:p>
              </w:tc>
              <w:tc>
                <w:tcPr>
                  <w:tcW w:w="465" w:type="pct"/>
                  <w:vAlign w:val="center"/>
                </w:tcPr>
                <w:p w14:paraId="1F50A3D6">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2</w:t>
                  </w:r>
                </w:p>
              </w:tc>
              <w:tc>
                <w:tcPr>
                  <w:tcW w:w="541" w:type="pct"/>
                  <w:vAlign w:val="center"/>
                </w:tcPr>
                <w:p w14:paraId="4391B1B9">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0</w:t>
                  </w:r>
                </w:p>
              </w:tc>
              <w:tc>
                <w:tcPr>
                  <w:tcW w:w="381" w:type="pct"/>
                  <w:vAlign w:val="center"/>
                </w:tcPr>
                <w:p w14:paraId="1C795421">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0.3</w:t>
                  </w:r>
                </w:p>
              </w:tc>
              <w:tc>
                <w:tcPr>
                  <w:tcW w:w="472" w:type="pct"/>
                  <w:vAlign w:val="center"/>
                </w:tcPr>
                <w:p w14:paraId="683F7302">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1.7</w:t>
                  </w:r>
                </w:p>
              </w:tc>
              <w:tc>
                <w:tcPr>
                  <w:tcW w:w="865" w:type="pct"/>
                  <w:tcBorders>
                    <w:right w:val="single" w:color="auto" w:sz="2" w:space="0"/>
                  </w:tcBorders>
                  <w:vAlign w:val="center"/>
                </w:tcPr>
                <w:p w14:paraId="7749566A">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0</w:t>
                  </w:r>
                </w:p>
              </w:tc>
            </w:tr>
            <w:tr w14:paraId="3331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32C7B7A8">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t>3</w:t>
                  </w:r>
                </w:p>
              </w:tc>
              <w:tc>
                <w:tcPr>
                  <w:tcW w:w="366" w:type="pct"/>
                  <w:vMerge w:val="continue"/>
                  <w:vAlign w:val="center"/>
                </w:tcPr>
                <w:p w14:paraId="72CAF9E7">
                  <w:pPr>
                    <w:pStyle w:val="105"/>
                    <w:ind w:firstLine="0" w:firstLineChars="0"/>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p>
              </w:tc>
              <w:tc>
                <w:tcPr>
                  <w:tcW w:w="1044" w:type="pct"/>
                  <w:vAlign w:val="center"/>
                </w:tcPr>
                <w:p w14:paraId="19C79747">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搅拌机清洗</w:t>
                  </w:r>
                </w:p>
              </w:tc>
              <w:tc>
                <w:tcPr>
                  <w:tcW w:w="541" w:type="pct"/>
                  <w:vAlign w:val="center"/>
                </w:tcPr>
                <w:p w14:paraId="6CFA5887">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6</w:t>
                  </w:r>
                </w:p>
              </w:tc>
              <w:tc>
                <w:tcPr>
                  <w:tcW w:w="465" w:type="pct"/>
                  <w:vAlign w:val="center"/>
                </w:tcPr>
                <w:p w14:paraId="433A42FC">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6</w:t>
                  </w:r>
                </w:p>
              </w:tc>
              <w:tc>
                <w:tcPr>
                  <w:tcW w:w="541" w:type="pct"/>
                  <w:vAlign w:val="center"/>
                </w:tcPr>
                <w:p w14:paraId="20F108C9">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w:t>
                  </w:r>
                </w:p>
              </w:tc>
              <w:tc>
                <w:tcPr>
                  <w:tcW w:w="381" w:type="pct"/>
                  <w:vAlign w:val="center"/>
                </w:tcPr>
                <w:p w14:paraId="11F7E034">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0.9</w:t>
                  </w:r>
                </w:p>
              </w:tc>
              <w:tc>
                <w:tcPr>
                  <w:tcW w:w="472" w:type="pct"/>
                  <w:vAlign w:val="center"/>
                </w:tcPr>
                <w:p w14:paraId="06926588">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5.1</w:t>
                  </w:r>
                </w:p>
              </w:tc>
              <w:tc>
                <w:tcPr>
                  <w:tcW w:w="865" w:type="pct"/>
                  <w:tcBorders>
                    <w:right w:val="single" w:color="auto" w:sz="2" w:space="0"/>
                  </w:tcBorders>
                  <w:vAlign w:val="center"/>
                </w:tcPr>
                <w:p w14:paraId="405DE8FD">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w:t>
                  </w:r>
                </w:p>
              </w:tc>
            </w:tr>
            <w:tr w14:paraId="140CE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1C98FB4B">
                  <w:pPr>
                    <w:pStyle w:val="105"/>
                    <w:rPr>
                      <w:rFonts w:hint="default"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t>4</w:t>
                  </w:r>
                </w:p>
              </w:tc>
              <w:tc>
                <w:tcPr>
                  <w:tcW w:w="366" w:type="pct"/>
                  <w:vMerge w:val="continue"/>
                  <w:vAlign w:val="center"/>
                </w:tcPr>
                <w:p w14:paraId="5968494C">
                  <w:pPr>
                    <w:pStyle w:val="105"/>
                    <w:ind w:firstLine="0" w:firstLineChars="0"/>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p>
              </w:tc>
              <w:tc>
                <w:tcPr>
                  <w:tcW w:w="1044" w:type="pct"/>
                  <w:vAlign w:val="center"/>
                </w:tcPr>
                <w:p w14:paraId="54FCACED">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车辆冲洗</w:t>
                  </w:r>
                </w:p>
              </w:tc>
              <w:tc>
                <w:tcPr>
                  <w:tcW w:w="541" w:type="pct"/>
                  <w:vAlign w:val="center"/>
                </w:tcPr>
                <w:p w14:paraId="20EB15AE">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8.5</w:t>
                  </w:r>
                </w:p>
              </w:tc>
              <w:tc>
                <w:tcPr>
                  <w:tcW w:w="465" w:type="pct"/>
                  <w:vAlign w:val="center"/>
                </w:tcPr>
                <w:p w14:paraId="27CDF5E6">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1.27</w:t>
                  </w:r>
                </w:p>
              </w:tc>
              <w:tc>
                <w:tcPr>
                  <w:tcW w:w="541" w:type="pct"/>
                  <w:vAlign w:val="center"/>
                </w:tcPr>
                <w:p w14:paraId="5E60BBB6">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7.23</w:t>
                  </w:r>
                </w:p>
              </w:tc>
              <w:tc>
                <w:tcPr>
                  <w:tcW w:w="381" w:type="pct"/>
                  <w:vAlign w:val="center"/>
                </w:tcPr>
                <w:p w14:paraId="1C55BF15">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1.27</w:t>
                  </w:r>
                </w:p>
              </w:tc>
              <w:tc>
                <w:tcPr>
                  <w:tcW w:w="472" w:type="pct"/>
                  <w:vAlign w:val="center"/>
                </w:tcPr>
                <w:p w14:paraId="0ED57E5D">
                  <w:pPr>
                    <w:keepNext w:val="0"/>
                    <w:keepLines w:val="0"/>
                    <w:widowControl/>
                    <w:suppressLineNumbers w:val="0"/>
                    <w:jc w:val="center"/>
                    <w:textAlignment w:val="center"/>
                    <w:rPr>
                      <w:rFonts w:hint="default"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7.23</w:t>
                  </w:r>
                </w:p>
              </w:tc>
              <w:tc>
                <w:tcPr>
                  <w:tcW w:w="865" w:type="pct"/>
                  <w:tcBorders>
                    <w:right w:val="single" w:color="auto" w:sz="2" w:space="0"/>
                  </w:tcBorders>
                  <w:vAlign w:val="center"/>
                </w:tcPr>
                <w:p w14:paraId="6915531E">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w:t>
                  </w:r>
                </w:p>
              </w:tc>
            </w:tr>
            <w:tr w14:paraId="7835E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4DF793CE">
                  <w:pPr>
                    <w:pStyle w:val="105"/>
                    <w:rPr>
                      <w:rFonts w:hint="default"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t>5</w:t>
                  </w:r>
                </w:p>
              </w:tc>
              <w:tc>
                <w:tcPr>
                  <w:tcW w:w="366" w:type="pct"/>
                  <w:vMerge w:val="continue"/>
                  <w:vAlign w:val="center"/>
                </w:tcPr>
                <w:p w14:paraId="7C36C62B">
                  <w:pPr>
                    <w:pStyle w:val="105"/>
                    <w:ind w:firstLine="0" w:firstLineChars="0"/>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p>
              </w:tc>
              <w:tc>
                <w:tcPr>
                  <w:tcW w:w="1044" w:type="pct"/>
                  <w:vAlign w:val="center"/>
                </w:tcPr>
                <w:p w14:paraId="4BBA1A33">
                  <w:pPr>
                    <w:pStyle w:val="105"/>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t>抑尘</w:t>
                  </w:r>
                </w:p>
              </w:tc>
              <w:tc>
                <w:tcPr>
                  <w:tcW w:w="541" w:type="pct"/>
                  <w:vAlign w:val="center"/>
                </w:tcPr>
                <w:p w14:paraId="30CFED35">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6.23</w:t>
                  </w:r>
                </w:p>
              </w:tc>
              <w:tc>
                <w:tcPr>
                  <w:tcW w:w="465" w:type="pct"/>
                  <w:vAlign w:val="center"/>
                </w:tcPr>
                <w:p w14:paraId="7D2AC0D1">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6.23</w:t>
                  </w:r>
                </w:p>
              </w:tc>
              <w:tc>
                <w:tcPr>
                  <w:tcW w:w="541" w:type="pct"/>
                  <w:vAlign w:val="center"/>
                </w:tcPr>
                <w:p w14:paraId="183E02EB">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w:t>
                  </w:r>
                </w:p>
              </w:tc>
              <w:tc>
                <w:tcPr>
                  <w:tcW w:w="381" w:type="pct"/>
                  <w:vAlign w:val="center"/>
                </w:tcPr>
                <w:p w14:paraId="41E28C21">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6.23</w:t>
                  </w:r>
                </w:p>
              </w:tc>
              <w:tc>
                <w:tcPr>
                  <w:tcW w:w="472" w:type="pct"/>
                  <w:vAlign w:val="center"/>
                </w:tcPr>
                <w:p w14:paraId="7BCC99BB">
                  <w:pPr>
                    <w:keepNext w:val="0"/>
                    <w:keepLines w:val="0"/>
                    <w:widowControl/>
                    <w:suppressLineNumbers w:val="0"/>
                    <w:jc w:val="center"/>
                    <w:textAlignment w:val="center"/>
                    <w:rPr>
                      <w:rFonts w:hint="default"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w:t>
                  </w:r>
                </w:p>
              </w:tc>
              <w:tc>
                <w:tcPr>
                  <w:tcW w:w="865" w:type="pct"/>
                  <w:tcBorders>
                    <w:right w:val="single" w:color="auto" w:sz="2" w:space="0"/>
                  </w:tcBorders>
                  <w:vAlign w:val="center"/>
                </w:tcPr>
                <w:p w14:paraId="2313E21C">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w:t>
                  </w:r>
                </w:p>
              </w:tc>
            </w:tr>
            <w:tr w14:paraId="0EAE8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9" w:type="pct"/>
                  <w:tcBorders>
                    <w:left w:val="single" w:color="auto" w:sz="2" w:space="0"/>
                  </w:tcBorders>
                  <w:vAlign w:val="center"/>
                </w:tcPr>
                <w:p w14:paraId="4A8F4043">
                  <w:pPr>
                    <w:pStyle w:val="105"/>
                    <w:rPr>
                      <w:rFonts w:hint="default"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lang w:val="en-US" w:eastAsia="zh-CN"/>
                      <w14:textFill>
                        <w14:solidFill>
                          <w14:schemeClr w14:val="tx1"/>
                        </w14:solidFill>
                      </w14:textFill>
                    </w:rPr>
                    <w:t>6</w:t>
                  </w:r>
                </w:p>
              </w:tc>
              <w:tc>
                <w:tcPr>
                  <w:tcW w:w="1411" w:type="pct"/>
                  <w:gridSpan w:val="2"/>
                  <w:vAlign w:val="center"/>
                </w:tcPr>
                <w:p w14:paraId="27784ABA">
                  <w:pPr>
                    <w:pStyle w:val="105"/>
                    <w:ind w:firstLine="0" w:firstLineChars="0"/>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t>生活用水</w:t>
                  </w:r>
                </w:p>
              </w:tc>
              <w:tc>
                <w:tcPr>
                  <w:tcW w:w="541" w:type="pct"/>
                  <w:vAlign w:val="center"/>
                </w:tcPr>
                <w:p w14:paraId="71B21F15">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1.00</w:t>
                  </w:r>
                </w:p>
              </w:tc>
              <w:tc>
                <w:tcPr>
                  <w:tcW w:w="465" w:type="pct"/>
                  <w:vAlign w:val="center"/>
                </w:tcPr>
                <w:p w14:paraId="6E935E96">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1.00</w:t>
                  </w:r>
                </w:p>
              </w:tc>
              <w:tc>
                <w:tcPr>
                  <w:tcW w:w="541" w:type="pct"/>
                  <w:vAlign w:val="center"/>
                </w:tcPr>
                <w:p w14:paraId="08BE021C">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w:t>
                  </w:r>
                </w:p>
              </w:tc>
              <w:tc>
                <w:tcPr>
                  <w:tcW w:w="381" w:type="pct"/>
                  <w:vAlign w:val="center"/>
                </w:tcPr>
                <w:p w14:paraId="749D0121">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0.20</w:t>
                  </w:r>
                </w:p>
              </w:tc>
              <w:tc>
                <w:tcPr>
                  <w:tcW w:w="472" w:type="pct"/>
                  <w:vAlign w:val="center"/>
                </w:tcPr>
                <w:p w14:paraId="10B62BAC">
                  <w:pPr>
                    <w:keepNext w:val="0"/>
                    <w:keepLines w:val="0"/>
                    <w:widowControl/>
                    <w:suppressLineNumbers w:val="0"/>
                    <w:jc w:val="center"/>
                    <w:textAlignment w:val="center"/>
                    <w:rPr>
                      <w:rFonts w:hint="default"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pPr>
                  <w:r>
                    <w:rPr>
                      <w:rFonts w:hint="eastAsia" w:cs="Times New Roman" w:eastAsiaTheme="minorEastAsia"/>
                      <w:snapToGrid/>
                      <w:color w:val="000000" w:themeColor="text1"/>
                      <w:spacing w:val="0"/>
                      <w:w w:val="100"/>
                      <w:kern w:val="0"/>
                      <w:position w:val="0"/>
                      <w:sz w:val="21"/>
                      <w:szCs w:val="21"/>
                      <w:lang w:val="en-US" w:eastAsia="zh-CN" w:bidi="ar-SA"/>
                      <w14:textFill>
                        <w14:solidFill>
                          <w14:schemeClr w14:val="tx1"/>
                        </w14:solidFill>
                      </w14:textFill>
                    </w:rPr>
                    <w:t>0</w:t>
                  </w:r>
                </w:p>
              </w:tc>
              <w:tc>
                <w:tcPr>
                  <w:tcW w:w="865" w:type="pct"/>
                  <w:tcBorders>
                    <w:right w:val="single" w:color="auto" w:sz="2" w:space="0"/>
                  </w:tcBorders>
                  <w:vAlign w:val="center"/>
                </w:tcPr>
                <w:p w14:paraId="7572756C">
                  <w:pPr>
                    <w:keepNext w:val="0"/>
                    <w:keepLines w:val="0"/>
                    <w:widowControl/>
                    <w:suppressLineNumbers w:val="0"/>
                    <w:jc w:val="center"/>
                    <w:textAlignment w:val="center"/>
                    <w:rPr>
                      <w:rFonts w:hint="default"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0.80（用于厂区绿化）</w:t>
                  </w:r>
                </w:p>
              </w:tc>
            </w:tr>
            <w:tr w14:paraId="09459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1" w:type="pct"/>
                  <w:gridSpan w:val="3"/>
                  <w:tcBorders>
                    <w:left w:val="single" w:color="auto" w:sz="2" w:space="0"/>
                    <w:bottom w:val="single" w:color="auto" w:sz="2" w:space="0"/>
                  </w:tcBorders>
                  <w:vAlign w:val="center"/>
                </w:tcPr>
                <w:p w14:paraId="6FBA67EC">
                  <w:pPr>
                    <w:pStyle w:val="105"/>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spacing w:val="0"/>
                      <w:w w:val="100"/>
                      <w:kern w:val="0"/>
                      <w:position w:val="0"/>
                      <w:sz w:val="21"/>
                      <w:szCs w:val="21"/>
                      <w14:textFill>
                        <w14:solidFill>
                          <w14:schemeClr w14:val="tx1"/>
                        </w14:solidFill>
                      </w14:textFill>
                    </w:rPr>
                    <w:t>合计</w:t>
                  </w:r>
                </w:p>
              </w:tc>
              <w:tc>
                <w:tcPr>
                  <w:tcW w:w="541" w:type="pct"/>
                  <w:tcBorders>
                    <w:bottom w:val="single" w:color="auto" w:sz="2" w:space="0"/>
                  </w:tcBorders>
                  <w:vAlign w:val="center"/>
                </w:tcPr>
                <w:p w14:paraId="53D471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366.73</w:t>
                  </w:r>
                </w:p>
              </w:tc>
              <w:tc>
                <w:tcPr>
                  <w:tcW w:w="465" w:type="pct"/>
                  <w:tcBorders>
                    <w:bottom w:val="single" w:color="auto" w:sz="2" w:space="0"/>
                  </w:tcBorders>
                  <w:vAlign w:val="center"/>
                </w:tcPr>
                <w:p w14:paraId="0F915C68">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352.7</w:t>
                  </w:r>
                </w:p>
              </w:tc>
              <w:tc>
                <w:tcPr>
                  <w:tcW w:w="541" w:type="pct"/>
                  <w:tcBorders>
                    <w:bottom w:val="single" w:color="auto" w:sz="2" w:space="0"/>
                  </w:tcBorders>
                  <w:vAlign w:val="center"/>
                </w:tcPr>
                <w:p w14:paraId="03186B55">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14.03</w:t>
                  </w:r>
                </w:p>
              </w:tc>
              <w:tc>
                <w:tcPr>
                  <w:tcW w:w="381" w:type="pct"/>
                  <w:tcBorders>
                    <w:bottom w:val="single" w:color="auto" w:sz="2" w:space="0"/>
                  </w:tcBorders>
                  <w:vAlign w:val="center"/>
                </w:tcPr>
                <w:p w14:paraId="5B5605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351.9</w:t>
                  </w:r>
                </w:p>
              </w:tc>
              <w:tc>
                <w:tcPr>
                  <w:tcW w:w="472" w:type="pct"/>
                  <w:tcBorders>
                    <w:bottom w:val="single" w:color="auto" w:sz="2" w:space="0"/>
                  </w:tcBorders>
                  <w:vAlign w:val="center"/>
                </w:tcPr>
                <w:p w14:paraId="526B11F7">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14.03</w:t>
                  </w:r>
                </w:p>
              </w:tc>
              <w:tc>
                <w:tcPr>
                  <w:tcW w:w="865" w:type="pct"/>
                  <w:tcBorders>
                    <w:bottom w:val="single" w:color="auto" w:sz="2" w:space="0"/>
                    <w:right w:val="single" w:color="auto" w:sz="2" w:space="0"/>
                  </w:tcBorders>
                  <w:vAlign w:val="center"/>
                </w:tcPr>
                <w:p w14:paraId="4BCD1EB8">
                  <w:pPr>
                    <w:keepNext w:val="0"/>
                    <w:keepLines w:val="0"/>
                    <w:widowControl/>
                    <w:suppressLineNumbers w:val="0"/>
                    <w:jc w:val="center"/>
                    <w:textAlignment w:val="center"/>
                    <w:rPr>
                      <w:rFonts w:hint="default" w:ascii="Times New Roman" w:hAnsi="Times New Roman" w:cs="Times New Roman" w:eastAsiaTheme="minorEastAsia"/>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i w:val="0"/>
                      <w:iCs w:val="0"/>
                      <w:snapToGrid/>
                      <w:color w:val="000000" w:themeColor="text1"/>
                      <w:spacing w:val="0"/>
                      <w:w w:val="100"/>
                      <w:kern w:val="0"/>
                      <w:position w:val="0"/>
                      <w:sz w:val="21"/>
                      <w:szCs w:val="21"/>
                      <w:u w:val="none"/>
                      <w:lang w:val="en-US" w:eastAsia="zh-CN" w:bidi="ar"/>
                      <w14:textFill>
                        <w14:solidFill>
                          <w14:schemeClr w14:val="tx1"/>
                        </w14:solidFill>
                      </w14:textFill>
                    </w:rPr>
                    <w:t>0.80（用于厂区绿化）</w:t>
                  </w:r>
                </w:p>
              </w:tc>
            </w:tr>
          </w:tbl>
          <w:p w14:paraId="66BEE76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cs="Times New Roman"/>
                <w:smallCaps w:val="0"/>
                <w:snapToGrid/>
                <w:color w:val="000000" w:themeColor="text1"/>
                <w:spacing w:val="0"/>
                <w:w w:val="100"/>
                <w:kern w:val="0"/>
                <w:position w:val="0"/>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14:textFill>
                  <w14:solidFill>
                    <w14:schemeClr w14:val="tx1"/>
                  </w14:solidFill>
                </w14:textFill>
              </w:rPr>
              <w:object>
                <v:shape id="_x0000_i1026" o:spt="75" type="#_x0000_t75" style="height:331.9pt;width:339.3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14:paraId="35A20C7F">
            <w:pPr>
              <w:pStyle w:val="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图2</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-1</w:t>
            </w:r>
            <w:r>
              <w:rPr>
                <w:rFonts w:hint="eastAsia"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 xml:space="preserve">  项目水平衡图  单位：</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m</w:t>
            </w:r>
            <w:r>
              <w:rPr>
                <w:rFonts w:hint="default" w:ascii="Times New Roman" w:hAnsi="Times New Roman" w:eastAsia="宋体" w:cs="Times New Roman"/>
                <w:b/>
                <w:bCs/>
                <w:snapToGrid/>
                <w:color w:val="000000" w:themeColor="text1"/>
                <w:spacing w:val="0"/>
                <w:w w:val="100"/>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snapToGrid/>
                <w:color w:val="000000" w:themeColor="text1"/>
                <w:spacing w:val="0"/>
                <w:w w:val="100"/>
                <w:position w:val="0"/>
                <w:sz w:val="21"/>
                <w:szCs w:val="21"/>
                <w:lang w:val="en-US" w:eastAsia="zh-CN"/>
                <w14:textFill>
                  <w14:solidFill>
                    <w14:schemeClr w14:val="tx1"/>
                  </w14:solidFill>
                </w14:textFill>
              </w:rPr>
              <w:t>/d</w:t>
            </w:r>
          </w:p>
          <w:p w14:paraId="5D235F2B">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b/>
                <w:bCs/>
                <w:snapToGrid/>
                <w:color w:val="000000" w:themeColor="text1"/>
                <w:spacing w:val="0"/>
                <w:kern w:val="0"/>
                <w:position w:val="0"/>
                <w:sz w:val="24"/>
                <w14:textFill>
                  <w14:solidFill>
                    <w14:schemeClr w14:val="tx1"/>
                  </w14:solidFill>
                </w14:textFill>
              </w:rPr>
            </w:pPr>
            <w:r>
              <w:rPr>
                <w:rFonts w:hint="eastAsia"/>
                <w:b/>
                <w:bCs/>
                <w:snapToGrid/>
                <w:color w:val="000000" w:themeColor="text1"/>
                <w:spacing w:val="0"/>
                <w:kern w:val="0"/>
                <w:position w:val="0"/>
                <w:sz w:val="24"/>
                <w:lang w:val="en-US" w:eastAsia="zh-CN"/>
                <w14:textFill>
                  <w14:solidFill>
                    <w14:schemeClr w14:val="tx1"/>
                  </w14:solidFill>
                </w14:textFill>
              </w:rPr>
              <w:t>6</w:t>
            </w:r>
            <w:r>
              <w:rPr>
                <w:b/>
                <w:bCs/>
                <w:snapToGrid/>
                <w:color w:val="000000" w:themeColor="text1"/>
                <w:spacing w:val="0"/>
                <w:kern w:val="0"/>
                <w:position w:val="0"/>
                <w:sz w:val="24"/>
                <w14:textFill>
                  <w14:solidFill>
                    <w14:schemeClr w14:val="tx1"/>
                  </w14:solidFill>
                </w14:textFill>
              </w:rPr>
              <w:t>、劳动定员及工作制度</w:t>
            </w:r>
          </w:p>
          <w:p w14:paraId="60BB05B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工作制度：年工作</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300</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天，采用</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班制，每班8小时工作制。</w:t>
            </w:r>
          </w:p>
          <w:p w14:paraId="497779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劳动定员：本项目劳动定员共计</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20</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人，均</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不</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在</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区食宿。</w:t>
            </w:r>
          </w:p>
          <w:p w14:paraId="17C74950">
            <w:pPr>
              <w:pStyle w:val="2"/>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p w14:paraId="127E868C">
            <w:pPr>
              <w:pStyle w:val="2"/>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p w14:paraId="0A15FB67">
            <w:pPr>
              <w:pStyle w:val="19"/>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p w14:paraId="783DB98B">
            <w:pPr>
              <w:pStyle w:val="19"/>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r>
      <w:tr w14:paraId="78A4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tcBorders>
              <w:tl2br w:val="nil"/>
              <w:tr2bl w:val="nil"/>
            </w:tcBorders>
            <w:noWrap w:val="0"/>
            <w:vAlign w:val="center"/>
          </w:tcPr>
          <w:p w14:paraId="0001AC38">
            <w:pPr>
              <w:pStyle w:val="23"/>
              <w:adjustRightInd w:val="0"/>
              <w:snapToGrid w:val="0"/>
              <w:spacing w:before="0" w:beforeAutospacing="0" w:after="0" w:afterAutospacing="0"/>
              <w:jc w:val="center"/>
              <w:rPr>
                <w:rFonts w:hint="eastAsia" w:cs="宋体"/>
                <w:snapToGrid/>
                <w:color w:val="000000" w:themeColor="text1"/>
                <w:spacing w:val="0"/>
                <w:kern w:val="0"/>
                <w:position w:val="0"/>
                <w:sz w:val="24"/>
                <w:szCs w:val="24"/>
                <w14:textFill>
                  <w14:solidFill>
                    <w14:schemeClr w14:val="tx1"/>
                  </w14:solidFill>
                </w14:textFill>
              </w:rPr>
            </w:pPr>
            <w:r>
              <w:rPr>
                <w:rFonts w:ascii="Times New Roman" w:hAnsi="Times New Roman"/>
                <w:snapToGrid/>
                <w:color w:val="000000" w:themeColor="text1"/>
                <w:spacing w:val="0"/>
                <w:kern w:val="0"/>
                <w:position w:val="0"/>
                <w:szCs w:val="24"/>
                <w14:textFill>
                  <w14:solidFill>
                    <w14:schemeClr w14:val="tx1"/>
                  </w14:solidFill>
                </w14:textFill>
              </w:rPr>
              <w:t>工艺流程和产排污环节</w:t>
            </w:r>
          </w:p>
        </w:tc>
        <w:tc>
          <w:tcPr>
            <w:tcW w:w="8338" w:type="dxa"/>
            <w:tcBorders>
              <w:tl2br w:val="nil"/>
              <w:tr2bl w:val="nil"/>
            </w:tcBorders>
            <w:noWrap w:val="0"/>
            <w:vAlign w:val="top"/>
          </w:tcPr>
          <w:p w14:paraId="17BE8441">
            <w:pPr>
              <w:pStyle w:val="23"/>
              <w:keepNext w:val="0"/>
              <w:keepLines w:val="0"/>
              <w:pageBreakBefore w:val="0"/>
              <w:widowControl/>
              <w:numPr>
                <w:ilvl w:val="0"/>
                <w:numId w:val="0"/>
              </w:numPr>
              <w:kinsoku/>
              <w:wordWrap/>
              <w:overflowPunct/>
              <w:topLinePunct w:val="0"/>
              <w:autoSpaceDE/>
              <w:autoSpaceDN/>
              <w:bidi w:val="0"/>
              <w:adjustRightInd/>
              <w:snapToGrid/>
              <w:spacing w:before="157" w:beforeLines="50" w:beforeAutospacing="0" w:after="0" w:afterAutospacing="0" w:line="360" w:lineRule="auto"/>
              <w:ind w:firstLine="482" w:firstLineChars="200"/>
              <w:jc w:val="both"/>
              <w:textAlignment w:val="auto"/>
              <w:rPr>
                <w:rFonts w:ascii="Times New Roman" w:hAnsi="Times New Roman"/>
                <w:b/>
                <w:bCs/>
                <w:snapToGrid/>
                <w:color w:val="000000" w:themeColor="text1"/>
                <w:spacing w:val="0"/>
                <w:kern w:val="0"/>
                <w:position w:val="0"/>
                <w:szCs w:val="24"/>
                <w14:textFill>
                  <w14:solidFill>
                    <w14:schemeClr w14:val="tx1"/>
                  </w14:solidFill>
                </w14:textFill>
              </w:rPr>
            </w:pPr>
            <w:r>
              <w:rPr>
                <w:rFonts w:ascii="Times New Roman" w:hAnsi="Times New Roman" w:eastAsia="宋体" w:cs="Times New Roman"/>
                <w:b/>
                <w:bCs/>
                <w:snapToGrid/>
                <w:color w:val="000000" w:themeColor="text1"/>
                <w:spacing w:val="0"/>
                <w:kern w:val="0"/>
                <w:position w:val="0"/>
                <w:sz w:val="24"/>
                <w:szCs w:val="24"/>
                <w:lang w:val="en-US" w:eastAsia="zh-CN" w:bidi="ar-SA"/>
                <w14:textFill>
                  <w14:solidFill>
                    <w14:schemeClr w14:val="tx1"/>
                  </w14:solidFill>
                </w14:textFill>
              </w:rPr>
              <w:t>1、</w:t>
            </w:r>
            <w:r>
              <w:rPr>
                <w:rFonts w:hint="eastAsia" w:ascii="Times New Roman" w:hAnsi="Times New Roman"/>
                <w:b/>
                <w:bCs/>
                <w:snapToGrid/>
                <w:color w:val="000000" w:themeColor="text1"/>
                <w:spacing w:val="0"/>
                <w:kern w:val="0"/>
                <w:position w:val="0"/>
                <w:szCs w:val="24"/>
                <w14:textFill>
                  <w14:solidFill>
                    <w14:schemeClr w14:val="tx1"/>
                  </w14:solidFill>
                </w14:textFill>
              </w:rPr>
              <w:t>施工期工艺流程及产污环节</w:t>
            </w:r>
          </w:p>
          <w:p w14:paraId="4DF9A7B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bookmarkStart w:id="6" w:name="_Toc16624"/>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本项目施工期工艺流程及产污环节见图</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 xml:space="preserve"> </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2。</w:t>
            </w:r>
          </w:p>
          <w:p w14:paraId="5C33CC0A">
            <w:pPr>
              <w:pStyle w:val="23"/>
              <w:keepNext w:val="0"/>
              <w:keepLines w:val="0"/>
              <w:pageBreakBefore w:val="0"/>
              <w:widowControl/>
              <w:kinsoku/>
              <w:wordWrap/>
              <w:overflowPunct/>
              <w:topLinePunct w:val="0"/>
              <w:autoSpaceDE/>
              <w:autoSpaceDN/>
              <w:bidi w:val="0"/>
              <w:adjustRightInd/>
              <w:snapToGrid/>
              <w:spacing w:before="0" w:beforeAutospacing="0" w:after="157" w:afterLines="50" w:afterAutospacing="0" w:line="240" w:lineRule="auto"/>
              <w:jc w:val="center"/>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snapToGrid/>
                <w:color w:val="000000" w:themeColor="text1"/>
                <w:spacing w:val="0"/>
                <w:kern w:val="0"/>
                <w:position w:val="0"/>
                <w14:textFill>
                  <w14:solidFill>
                    <w14:schemeClr w14:val="tx1"/>
                  </w14:solidFill>
                </w14:textFill>
              </w:rPr>
              <w:object>
                <v:shape id="_x0000_i1027" o:spt="75" type="#_x0000_t75" style="height:141.35pt;width:406.85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7" r:id="rId17">
                  <o:LockedField>false</o:LockedField>
                </o:OLEObject>
              </w:objec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图2-</w:t>
            </w:r>
            <w:r>
              <w:rPr>
                <w:rFonts w:hint="eastAsia" w:ascii="Times New Roman" w:hAnsi="Times New Roman" w:cs="Times New Roman"/>
                <w:b/>
                <w:bCs/>
                <w:snapToGrid/>
                <w:color w:val="000000" w:themeColor="text1"/>
                <w:spacing w:val="0"/>
                <w:kern w:val="0"/>
                <w:position w:val="0"/>
                <w:sz w:val="21"/>
                <w:szCs w:val="21"/>
                <w:lang w:val="en-US" w:eastAsia="zh-CN" w:bidi="ar-SA"/>
                <w14:textFill>
                  <w14:solidFill>
                    <w14:schemeClr w14:val="tx1"/>
                  </w14:solidFill>
                </w14:textFill>
              </w:rPr>
              <w:t xml:space="preserve">2  </w: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施工期工艺流程及产污环节图</w:t>
            </w:r>
          </w:p>
          <w:p w14:paraId="54224A7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工艺流程图简述</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377188E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三通一平</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基础工程主要为施工场地的“三通</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水、电、道路通”和地基开挖、填土夯实。施工过程中会利用到各类大型机械，例如挖土机、压路机、运输卡车等，因此会</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产</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生一定的噪声、废水、废气</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汽车尾气、扬尘</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、固体废物</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建筑垃圾等</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p>
          <w:p w14:paraId="78E62C4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主体工程</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主体工程包括钻孔灌注、现浇钢础、砌砖筑墙。利用钻孔设备钻孔，用钢筋混凝土浇灌。根据施工图纸，首先进行钢筋的配料和加工，钢筋加工主要包括调直、下料、剪切、接长、弯曲等物理过程，然后进行钢筋的绑扎，安装于架好模板之处。进行水泥砂浆的调配，用水泥砂浆抄平钢</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砼</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柱、梁的基面，利用经纬仪、垂球和龙门板放线并弹出纵横墙边线。然后在弹好线的基面上按选定的组砌方式进行摆脚，立好匹数杆，再据此挂线砌筑。一般采用铺灰挤砌法和铲灰挤砌法，砖墙砌筑完毕后，进行勾缝。此环节会产生一定的噪声、废气</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废水、固体废物。</w:t>
            </w:r>
          </w:p>
          <w:p w14:paraId="2EC657F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装饰工程</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对房屋进行装修。此环节会</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产生</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一定的噪声、废气、废水、固体废物。</w:t>
            </w:r>
          </w:p>
          <w:p w14:paraId="67C19DA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（4）</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设备安装</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包括道路、化粪池、污水雨水等管网铺设等施工。此环节会产生</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一</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定的噪声、废气</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废水、固体废物</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p>
          <w:p w14:paraId="1E18A24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w w:val="100"/>
                <w:position w:val="0"/>
                <w:sz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（5）</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工程验收</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工程完工后整体验收。</w:t>
            </w:r>
          </w:p>
          <w:bookmarkEnd w:id="6"/>
          <w:p w14:paraId="3ECACB39">
            <w:pPr>
              <w:pStyle w:val="2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ascii="Times New Roman" w:hAnsi="Times New Roman"/>
                <w:b/>
                <w:bCs/>
                <w:snapToGrid/>
                <w:color w:val="000000" w:themeColor="text1"/>
                <w:spacing w:val="0"/>
                <w:kern w:val="0"/>
                <w:position w:val="0"/>
                <w:szCs w:val="24"/>
                <w14:textFill>
                  <w14:solidFill>
                    <w14:schemeClr w14:val="tx1"/>
                  </w14:solidFill>
                </w14:textFill>
              </w:rPr>
            </w:pPr>
            <w:r>
              <w:rPr>
                <w:rFonts w:ascii="Times New Roman" w:hAnsi="Times New Roman" w:eastAsia="宋体" w:cs="Times New Roman"/>
                <w:b/>
                <w:bCs/>
                <w:snapToGrid/>
                <w:color w:val="000000" w:themeColor="text1"/>
                <w:spacing w:val="0"/>
                <w:kern w:val="0"/>
                <w:position w:val="0"/>
                <w:sz w:val="24"/>
                <w:szCs w:val="24"/>
                <w:lang w:val="en-US" w:eastAsia="zh-CN" w:bidi="ar-SA"/>
                <w14:textFill>
                  <w14:solidFill>
                    <w14:schemeClr w14:val="tx1"/>
                  </w14:solidFill>
                </w14:textFill>
              </w:rPr>
              <w:t>2、</w:t>
            </w:r>
            <w:r>
              <w:rPr>
                <w:rFonts w:hint="eastAsia" w:ascii="Times New Roman" w:hAnsi="Times New Roman"/>
                <w:b/>
                <w:bCs/>
                <w:snapToGrid/>
                <w:color w:val="000000" w:themeColor="text1"/>
                <w:spacing w:val="0"/>
                <w:kern w:val="0"/>
                <w:position w:val="0"/>
                <w:szCs w:val="24"/>
                <w:lang w:val="en-US" w:eastAsia="zh-CN"/>
                <w14:textFill>
                  <w14:solidFill>
                    <w14:schemeClr w14:val="tx1"/>
                  </w14:solidFill>
                </w14:textFill>
              </w:rPr>
              <w:t>运营</w:t>
            </w:r>
            <w:r>
              <w:rPr>
                <w:rFonts w:hint="eastAsia" w:ascii="Times New Roman" w:hAnsi="Times New Roman"/>
                <w:b/>
                <w:bCs/>
                <w:snapToGrid/>
                <w:color w:val="000000" w:themeColor="text1"/>
                <w:spacing w:val="0"/>
                <w:kern w:val="0"/>
                <w:position w:val="0"/>
                <w:szCs w:val="24"/>
                <w14:textFill>
                  <w14:solidFill>
                    <w14:schemeClr w14:val="tx1"/>
                  </w14:solidFill>
                </w14:textFill>
              </w:rPr>
              <w:t>期工艺流程及产污环节</w:t>
            </w:r>
          </w:p>
          <w:p w14:paraId="0FFABDC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（1）混凝土生产线</w:t>
            </w:r>
          </w:p>
          <w:p w14:paraId="1D0FE63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混凝土生产线工艺流程见图 2-3。</w:t>
            </w:r>
          </w:p>
          <w:p w14:paraId="1AE7EA3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snapToGrid/>
                <w:color w:val="000000" w:themeColor="text1"/>
                <w:spacing w:val="0"/>
                <w:kern w:val="0"/>
                <w:position w:val="0"/>
                <w14:textFill>
                  <w14:solidFill>
                    <w14:schemeClr w14:val="tx1"/>
                  </w14:solidFill>
                </w14:textFill>
              </w:rPr>
              <w:object>
                <v:shape id="_x0000_i1028" o:spt="75" type="#_x0000_t75" style="height:251pt;width:409.4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28" r:id="rId19">
                  <o:LockedField>false</o:LockedField>
                </o:OLEObject>
              </w:object>
            </w:r>
            <w:r>
              <w:rPr>
                <w:rFonts w:hint="default"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图2-3</w:t>
            </w:r>
            <w:r>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 xml:space="preserve">  混凝土生产线工艺流程及产污节点图</w:t>
            </w:r>
          </w:p>
          <w:p w14:paraId="7C18963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工艺流程图简述：</w:t>
            </w:r>
          </w:p>
          <w:p w14:paraId="5AA6CE3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1）进料</w:t>
            </w:r>
          </w:p>
          <w:p w14:paraId="1BAAFAC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本项目骨料运输至厂区后，在料仓分区储存于不同类别、标号的料仓；水泥、矿粉、煤灰、膨胀剂使用专用的散装罐车外运至本项目，通过泵抽入各自相应品号</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筒</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仓</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内</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，仓顶废气通过布袋除尘器除尘后排放。此工序产生筒仓进料粉尘、汽车运输扬尘及原料堆场扬尘。</w:t>
            </w:r>
          </w:p>
          <w:p w14:paraId="7C3C678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2）计量</w:t>
            </w:r>
          </w:p>
          <w:p w14:paraId="0FF2C69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骨料经铲车从仓将其推至进料斗，按配比重量称量，称好的骨料再由称量斗下的皮带输送机输送到搅拌机内；水泥、矿粉、煤灰及膨胀剂在筒仓内经螺杆空压机通过配料机按比例配好后送至搅拌机；水和外加剂通过配料机经过泵喷入搅拌机内。此工序产生噪声。</w:t>
            </w:r>
          </w:p>
          <w:p w14:paraId="38B51DA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3）搅拌</w:t>
            </w:r>
          </w:p>
          <w:p w14:paraId="1C77B1D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混凝土生产线搅拌过程将</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矿粉、煤灰、骨料（0~5mm）、骨料（</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5</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10</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mm）、水泥、外加剂、膨胀剂及水比例以（0.6：0.7：</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17</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18</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：6：0.1：0.3：3.6）计</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配比好后混入搅拌机内并连续搅拌的过程。</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混凝土生产线搅拌过程中</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本项目搅拌机顶部设置脉冲式布袋除尘器。产生的粉尘经脉冲式布袋除尘器（除尘效率达</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99%</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）处理后，在厂房内无组织排放。</w:t>
            </w:r>
          </w:p>
          <w:p w14:paraId="65A386C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4）成品外运</w:t>
            </w:r>
          </w:p>
          <w:p w14:paraId="2811086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拌合好的产品由卸料门落入运输车的储罐内由运输车外运。此工序产生运输扬尘。</w:t>
            </w:r>
          </w:p>
          <w:p w14:paraId="3904645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（2）预拌砂浆生产线</w:t>
            </w:r>
          </w:p>
          <w:p w14:paraId="680C51E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预拌砂浆工艺流程见图 2-4。</w:t>
            </w:r>
          </w:p>
          <w:p w14:paraId="5CD2CC9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snapToGrid/>
                <w:color w:val="000000" w:themeColor="text1"/>
                <w:spacing w:val="0"/>
                <w:kern w:val="0"/>
                <w:position w:val="0"/>
                <w14:textFill>
                  <w14:solidFill>
                    <w14:schemeClr w14:val="tx1"/>
                  </w14:solidFill>
                </w14:textFill>
              </w:rPr>
            </w:pPr>
            <w:r>
              <w:rPr>
                <w:snapToGrid/>
                <w:color w:val="000000" w:themeColor="text1"/>
                <w:spacing w:val="0"/>
                <w:kern w:val="0"/>
                <w:position w:val="0"/>
                <w14:textFill>
                  <w14:solidFill>
                    <w14:schemeClr w14:val="tx1"/>
                  </w14:solidFill>
                </w14:textFill>
              </w:rPr>
              <w:object>
                <v:shape id="_x0000_i1029" o:spt="75" type="#_x0000_t75" style="height:255.05pt;width:327.45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9" r:id="rId21">
                  <o:LockedField>false</o:LockedField>
                </o:OLEObject>
              </w:object>
            </w:r>
          </w:p>
          <w:p w14:paraId="3A9409A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default"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图2-</w:t>
            </w:r>
            <w:r>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4  预拌砂浆生产线工艺流程及产污节点图</w:t>
            </w:r>
          </w:p>
          <w:p w14:paraId="408434E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工艺流程图简述：</w:t>
            </w:r>
          </w:p>
          <w:p w14:paraId="1EFF86B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1）进料</w:t>
            </w:r>
          </w:p>
          <w:p w14:paraId="7B92298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本项目骨料运输至厂区后，在料仓分区储存于不同类别、标号的料仓；水泥使用专用的散装罐车外运至本项目，通过泵抽入</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水泥筒</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仓，仓顶废气通过布袋除尘器除尘后排放。此工序产生筒仓进料粉尘、汽车运输扬尘及原料堆场扬尘。</w:t>
            </w:r>
          </w:p>
          <w:p w14:paraId="2CE93CA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2）计量</w:t>
            </w:r>
          </w:p>
          <w:p w14:paraId="2543939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骨料经铲车从仓将其推至进料斗，按配比重量称量，称好的骨料再由称量斗下的皮带输送机输送到搅拌机内；水泥在筒仓内经螺杆空压机通过配料机按比例配好后送至搅拌机；水和外加剂通过配料机经过泵喷入搅拌机内。此工序产生噪声。</w:t>
            </w:r>
          </w:p>
          <w:p w14:paraId="51A275F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3）搅拌</w:t>
            </w:r>
          </w:p>
          <w:p w14:paraId="2F3145D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预拌砂浆</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生产线搅拌过程将</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骨料（0~5mm）、水泥、外加剂及水比例以（77.7：14.43：0.37：7.5）计</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配比好后混入搅拌机内并连续搅拌的过程。</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混凝土生产线搅拌过程中</w:t>
            </w:r>
            <w:r>
              <w:rPr>
                <w:rFonts w:hint="eastAsia" w:ascii="Times New Roman" w:hAnsi="Times New Roman" w:cs="Times New Roman"/>
                <w:snapToGrid/>
                <w:color w:val="000000" w:themeColor="text1"/>
                <w:spacing w:val="0"/>
                <w:kern w:val="0"/>
                <w:position w:val="0"/>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本项目搅拌机顶部设置脉冲式布袋除尘器。产生的粉尘经脉冲式布袋除尘器（除尘效率达</w:t>
            </w:r>
            <w:r>
              <w:rPr>
                <w:rFonts w:hint="default"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99%</w:t>
            </w: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）处理后，在厂房内无组织排放。</w:t>
            </w:r>
          </w:p>
          <w:p w14:paraId="28F8550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4）成品外运</w:t>
            </w:r>
          </w:p>
          <w:p w14:paraId="07F1912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Cs w:val="24"/>
                <w:lang w:val="en-US" w:eastAsia="zh-CN"/>
                <w14:textFill>
                  <w14:solidFill>
                    <w14:schemeClr w14:val="tx1"/>
                  </w14:solidFill>
                </w14:textFill>
              </w:rPr>
              <w:t>拌合好的产品由卸料门落入运输车的储罐内由运输车外运。此工序产生运输扬尘。</w:t>
            </w:r>
          </w:p>
          <w:p w14:paraId="2F9A4A3B">
            <w:pPr>
              <w:pStyle w:val="2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ascii="Times New Roman" w:hAnsi="Times New Roman"/>
                <w:b/>
                <w:bCs/>
                <w:snapToGrid/>
                <w:color w:val="000000" w:themeColor="text1"/>
                <w:spacing w:val="0"/>
                <w:kern w:val="0"/>
                <w:position w:val="0"/>
                <w:szCs w:val="24"/>
                <w14:textFill>
                  <w14:solidFill>
                    <w14:schemeClr w14:val="tx1"/>
                  </w14:solidFill>
                </w14:textFill>
              </w:rPr>
            </w:pPr>
            <w:r>
              <w:rPr>
                <w:rFonts w:ascii="Times New Roman" w:hAnsi="Times New Roman" w:eastAsia="宋体" w:cs="Times New Roman"/>
                <w:b/>
                <w:bCs/>
                <w:snapToGrid/>
                <w:color w:val="000000" w:themeColor="text1"/>
                <w:spacing w:val="0"/>
                <w:kern w:val="0"/>
                <w:position w:val="0"/>
                <w:sz w:val="24"/>
                <w:szCs w:val="24"/>
                <w:lang w:val="en-US" w:eastAsia="zh-CN" w:bidi="ar-SA"/>
                <w14:textFill>
                  <w14:solidFill>
                    <w14:schemeClr w14:val="tx1"/>
                  </w14:solidFill>
                </w14:textFill>
              </w:rPr>
              <w:t>3、</w:t>
            </w:r>
            <w:r>
              <w:rPr>
                <w:rFonts w:ascii="Times New Roman" w:hAnsi="Times New Roman"/>
                <w:b/>
                <w:bCs/>
                <w:snapToGrid/>
                <w:color w:val="000000" w:themeColor="text1"/>
                <w:spacing w:val="0"/>
                <w:kern w:val="0"/>
                <w:position w:val="0"/>
                <w:szCs w:val="24"/>
                <w14:textFill>
                  <w14:solidFill>
                    <w14:schemeClr w14:val="tx1"/>
                  </w14:solidFill>
                </w14:textFill>
              </w:rPr>
              <w:t>产污环节汇总</w:t>
            </w:r>
          </w:p>
          <w:p w14:paraId="2CB85D6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snapToGrid/>
                <w:color w:val="000000" w:themeColor="text1"/>
                <w:spacing w:val="0"/>
                <w:kern w:val="0"/>
                <w:position w:val="0"/>
                <w:szCs w:val="24"/>
                <w14:textFill>
                  <w14:solidFill>
                    <w14:schemeClr w14:val="tx1"/>
                  </w14:solidFill>
                </w14:textFill>
              </w:rPr>
            </w:pPr>
            <w:r>
              <w:rPr>
                <w:rFonts w:ascii="Times New Roman" w:hAnsi="Times New Roman"/>
                <w:snapToGrid/>
                <w:color w:val="000000" w:themeColor="text1"/>
                <w:spacing w:val="0"/>
                <w:kern w:val="0"/>
                <w:position w:val="0"/>
                <w:szCs w:val="24"/>
                <w14:textFill>
                  <w14:solidFill>
                    <w14:schemeClr w14:val="tx1"/>
                  </w14:solidFill>
                </w14:textFill>
              </w:rPr>
              <w:t>项目产污环节汇总如下：</w:t>
            </w:r>
          </w:p>
          <w:p w14:paraId="23AB9BAB">
            <w:pPr>
              <w:keepNext w:val="0"/>
              <w:keepLines w:val="0"/>
              <w:pageBreakBefore w:val="0"/>
              <w:widowControl w:val="0"/>
              <w:kinsoku/>
              <w:wordWrap/>
              <w:overflowPunct/>
              <w:topLinePunct w:val="0"/>
              <w:autoSpaceDE/>
              <w:autoSpaceDN/>
              <w:bidi w:val="0"/>
              <w:adjustRightInd/>
              <w:snapToGrid/>
              <w:jc w:val="center"/>
              <w:textAlignment w:val="auto"/>
              <w:rPr>
                <w:b/>
                <w:bCs/>
                <w:snapToGrid/>
                <w:color w:val="000000" w:themeColor="text1"/>
                <w:spacing w:val="0"/>
                <w:kern w:val="0"/>
                <w:position w:val="0"/>
                <w:sz w:val="21"/>
                <w:szCs w:val="21"/>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表2-</w:t>
            </w:r>
            <w:r>
              <w:rPr>
                <w:rFonts w:hint="eastAsia"/>
                <w:b/>
                <w:bCs/>
                <w:snapToGrid/>
                <w:color w:val="000000" w:themeColor="text1"/>
                <w:spacing w:val="0"/>
                <w:kern w:val="0"/>
                <w:position w:val="0"/>
                <w:sz w:val="21"/>
                <w:szCs w:val="21"/>
                <w:lang w:val="en-US" w:eastAsia="zh-CN"/>
                <w14:textFill>
                  <w14:solidFill>
                    <w14:schemeClr w14:val="tx1"/>
                  </w14:solidFill>
                </w14:textFill>
              </w:rPr>
              <w:t>8</w:t>
            </w:r>
            <w:r>
              <w:rPr>
                <w:b/>
                <w:bCs/>
                <w:snapToGrid/>
                <w:color w:val="000000" w:themeColor="text1"/>
                <w:spacing w:val="0"/>
                <w:kern w:val="0"/>
                <w:position w:val="0"/>
                <w:sz w:val="21"/>
                <w:szCs w:val="21"/>
                <w14:textFill>
                  <w14:solidFill>
                    <w14:schemeClr w14:val="tx1"/>
                  </w14:solidFill>
                </w14:textFill>
              </w:rPr>
              <w:t xml:space="preserve">  项目产污环节汇总表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31"/>
              <w:gridCol w:w="2041"/>
              <w:gridCol w:w="1734"/>
              <w:gridCol w:w="2948"/>
            </w:tblGrid>
            <w:tr w14:paraId="5D85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gridSpan w:val="2"/>
                  <w:tcBorders>
                    <w:tl2br w:val="nil"/>
                    <w:tr2bl w:val="nil"/>
                  </w:tcBorders>
                  <w:noWrap w:val="0"/>
                  <w:vAlign w:val="center"/>
                </w:tcPr>
                <w:p w14:paraId="6784C2A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污染类别</w:t>
                  </w:r>
                </w:p>
              </w:tc>
              <w:tc>
                <w:tcPr>
                  <w:tcW w:w="1258" w:type="pct"/>
                  <w:tcBorders>
                    <w:tl2br w:val="nil"/>
                    <w:tr2bl w:val="nil"/>
                  </w:tcBorders>
                  <w:noWrap w:val="0"/>
                  <w:vAlign w:val="center"/>
                </w:tcPr>
                <w:p w14:paraId="2095CA4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污染源名称</w:t>
                  </w:r>
                </w:p>
              </w:tc>
              <w:tc>
                <w:tcPr>
                  <w:tcW w:w="1069" w:type="pct"/>
                  <w:tcBorders>
                    <w:tl2br w:val="nil"/>
                    <w:tr2bl w:val="nil"/>
                  </w:tcBorders>
                  <w:noWrap w:val="0"/>
                  <w:vAlign w:val="center"/>
                </w:tcPr>
                <w:p w14:paraId="476DCCC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污染因子</w:t>
                  </w:r>
                </w:p>
              </w:tc>
              <w:tc>
                <w:tcPr>
                  <w:tcW w:w="1817" w:type="pct"/>
                  <w:tcBorders>
                    <w:tl2br w:val="nil"/>
                    <w:tr2bl w:val="nil"/>
                  </w:tcBorders>
                  <w:noWrap w:val="0"/>
                  <w:vAlign w:val="center"/>
                </w:tcPr>
                <w:p w14:paraId="62D0F55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治理措施及排放去向</w:t>
                  </w:r>
                </w:p>
              </w:tc>
            </w:tr>
            <w:tr w14:paraId="2A46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restart"/>
                  <w:tcBorders>
                    <w:tl2br w:val="nil"/>
                    <w:tr2bl w:val="nil"/>
                  </w:tcBorders>
                  <w:noWrap w:val="0"/>
                  <w:vAlign w:val="center"/>
                </w:tcPr>
                <w:p w14:paraId="3B3FC4A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施工期</w:t>
                  </w:r>
                </w:p>
              </w:tc>
              <w:tc>
                <w:tcPr>
                  <w:tcW w:w="512" w:type="pct"/>
                  <w:tcBorders>
                    <w:tl2br w:val="nil"/>
                    <w:tr2bl w:val="nil"/>
                  </w:tcBorders>
                  <w:noWrap w:val="0"/>
                  <w:vAlign w:val="center"/>
                </w:tcPr>
                <w:p w14:paraId="06A8321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废气</w:t>
                  </w:r>
                </w:p>
              </w:tc>
              <w:tc>
                <w:tcPr>
                  <w:tcW w:w="1258" w:type="pct"/>
                  <w:tcBorders>
                    <w:tl2br w:val="nil"/>
                    <w:tr2bl w:val="nil"/>
                  </w:tcBorders>
                  <w:noWrap w:val="0"/>
                  <w:vAlign w:val="center"/>
                </w:tcPr>
                <w:p w14:paraId="0DA023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施工场地扬尘</w:t>
                  </w:r>
                </w:p>
              </w:tc>
              <w:tc>
                <w:tcPr>
                  <w:tcW w:w="1069" w:type="pct"/>
                  <w:tcBorders>
                    <w:tl2br w:val="nil"/>
                    <w:tr2bl w:val="nil"/>
                  </w:tcBorders>
                  <w:noWrap w:val="0"/>
                  <w:vAlign w:val="center"/>
                </w:tcPr>
                <w:p w14:paraId="5EAE1F7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TSP等</w:t>
                  </w:r>
                </w:p>
              </w:tc>
              <w:tc>
                <w:tcPr>
                  <w:tcW w:w="1817" w:type="pct"/>
                  <w:tcBorders>
                    <w:tl2br w:val="nil"/>
                    <w:tr2bl w:val="nil"/>
                  </w:tcBorders>
                  <w:noWrap w:val="0"/>
                  <w:vAlign w:val="center"/>
                </w:tcPr>
                <w:p w14:paraId="39DC3056">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mallCaps w:val="0"/>
                      <w:snapToGrid/>
                      <w:color w:val="000000" w:themeColor="text1"/>
                      <w:spacing w:val="0"/>
                      <w:kern w:val="0"/>
                      <w:position w:val="0"/>
                      <w:sz w:val="21"/>
                      <w:szCs w:val="21"/>
                      <w:highlight w:val="none"/>
                      <w:lang w:val="en-US" w:eastAsia="zh-CN"/>
                      <w14:textFill>
                        <w14:solidFill>
                          <w14:schemeClr w14:val="tx1"/>
                        </w14:solidFill>
                      </w14:textFill>
                    </w:rPr>
                    <w:t>设置围挡，加盖防尘网，洒水抑尘</w:t>
                  </w:r>
                  <w:r>
                    <w:rPr>
                      <w:rFonts w:hint="eastAsia" w:eastAsia="宋体" w:cs="Times New Roman"/>
                      <w:smallCaps w:val="0"/>
                      <w:snapToGrid/>
                      <w:color w:val="000000" w:themeColor="text1"/>
                      <w:spacing w:val="0"/>
                      <w:kern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smallCaps w:val="0"/>
                      <w:snapToGrid/>
                      <w:color w:val="000000" w:themeColor="text1"/>
                      <w:spacing w:val="0"/>
                      <w:kern w:val="0"/>
                      <w:position w:val="0"/>
                      <w:sz w:val="21"/>
                      <w:szCs w:val="21"/>
                      <w:highlight w:val="none"/>
                      <w:lang w:val="en-US" w:eastAsia="zh-CN"/>
                      <w14:textFill>
                        <w14:solidFill>
                          <w14:schemeClr w14:val="tx1"/>
                        </w14:solidFill>
                      </w14:textFill>
                    </w:rPr>
                    <w:t>无组织排放</w:t>
                  </w:r>
                </w:p>
              </w:tc>
            </w:tr>
            <w:tr w14:paraId="24B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3E6CE16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512" w:type="pct"/>
                  <w:tcBorders>
                    <w:tl2br w:val="nil"/>
                    <w:tr2bl w:val="nil"/>
                  </w:tcBorders>
                  <w:noWrap w:val="0"/>
                  <w:vAlign w:val="center"/>
                </w:tcPr>
                <w:p w14:paraId="1724A20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废水</w:t>
                  </w:r>
                </w:p>
              </w:tc>
              <w:tc>
                <w:tcPr>
                  <w:tcW w:w="1258" w:type="pct"/>
                  <w:tcBorders>
                    <w:tl2br w:val="nil"/>
                    <w:tr2bl w:val="nil"/>
                  </w:tcBorders>
                  <w:noWrap w:val="0"/>
                  <w:vAlign w:val="center"/>
                </w:tcPr>
                <w:p w14:paraId="6D0ACB9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施工废水</w:t>
                  </w:r>
                </w:p>
              </w:tc>
              <w:tc>
                <w:tcPr>
                  <w:tcW w:w="1069" w:type="pct"/>
                  <w:tcBorders>
                    <w:tl2br w:val="nil"/>
                    <w:tr2bl w:val="nil"/>
                  </w:tcBorders>
                  <w:noWrap w:val="0"/>
                  <w:vAlign w:val="center"/>
                </w:tcPr>
                <w:p w14:paraId="65F9CF6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COD、SS等</w:t>
                  </w:r>
                </w:p>
              </w:tc>
              <w:tc>
                <w:tcPr>
                  <w:tcW w:w="1817" w:type="pct"/>
                  <w:tcBorders>
                    <w:tl2br w:val="nil"/>
                    <w:tr2bl w:val="nil"/>
                  </w:tcBorders>
                  <w:noWrap w:val="0"/>
                  <w:vAlign w:val="center"/>
                </w:tcPr>
                <w:p w14:paraId="3941E82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沉淀池沉淀后</w:t>
                  </w:r>
                  <w:r>
                    <w:rPr>
                      <w:rFonts w:hint="eastAsia" w:cs="Times New Roman"/>
                      <w:snapToGrid/>
                      <w:color w:val="000000" w:themeColor="text1"/>
                      <w:spacing w:val="0"/>
                      <w:kern w:val="0"/>
                      <w:position w:val="0"/>
                      <w:sz w:val="21"/>
                      <w:szCs w:val="21"/>
                      <w:lang w:val="en-US" w:eastAsia="zh-CN"/>
                      <w14:textFill>
                        <w14:solidFill>
                          <w14:schemeClr w14:val="tx1"/>
                        </w14:solidFill>
                      </w14:textFill>
                    </w:rPr>
                    <w:t>回</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用</w:t>
                  </w:r>
                </w:p>
              </w:tc>
            </w:tr>
            <w:tr w14:paraId="0E6F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632FF00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512" w:type="pct"/>
                  <w:vMerge w:val="restart"/>
                  <w:tcBorders>
                    <w:tl2br w:val="nil"/>
                    <w:tr2bl w:val="nil"/>
                  </w:tcBorders>
                  <w:noWrap w:val="0"/>
                  <w:vAlign w:val="center"/>
                </w:tcPr>
                <w:p w14:paraId="42573BD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噪声</w:t>
                  </w:r>
                </w:p>
              </w:tc>
              <w:tc>
                <w:tcPr>
                  <w:tcW w:w="1258" w:type="pct"/>
                  <w:tcBorders>
                    <w:tl2br w:val="nil"/>
                    <w:tr2bl w:val="nil"/>
                  </w:tcBorders>
                  <w:noWrap w:val="0"/>
                  <w:vAlign w:val="center"/>
                </w:tcPr>
                <w:p w14:paraId="60FB1C5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施工机械噪声</w:t>
                  </w:r>
                </w:p>
              </w:tc>
              <w:tc>
                <w:tcPr>
                  <w:tcW w:w="1069" w:type="pct"/>
                  <w:tcBorders>
                    <w:tl2br w:val="nil"/>
                    <w:tr2bl w:val="nil"/>
                  </w:tcBorders>
                  <w:noWrap w:val="0"/>
                  <w:vAlign w:val="center"/>
                </w:tcPr>
                <w:p w14:paraId="5AF4A1C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等级</w:t>
                  </w:r>
                  <w:r>
                    <w:rPr>
                      <w:rFonts w:hint="eastAsia" w:cs="Times New Roman"/>
                      <w:snapToGrid/>
                      <w:color w:val="000000" w:themeColor="text1"/>
                      <w:spacing w:val="0"/>
                      <w:kern w:val="0"/>
                      <w:position w:val="0"/>
                      <w:sz w:val="21"/>
                      <w:szCs w:val="21"/>
                      <w:lang w:val="en-US" w:eastAsia="zh-CN"/>
                      <w14:textFill>
                        <w14:solidFill>
                          <w14:schemeClr w14:val="tx1"/>
                        </w14:solidFill>
                      </w14:textFill>
                    </w:rPr>
                    <w:t>连续</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A声级</w:t>
                  </w:r>
                </w:p>
              </w:tc>
              <w:tc>
                <w:tcPr>
                  <w:tcW w:w="1817" w:type="pct"/>
                  <w:vMerge w:val="restart"/>
                  <w:tcBorders>
                    <w:tl2br w:val="nil"/>
                    <w:tr2bl w:val="nil"/>
                  </w:tcBorders>
                  <w:noWrap w:val="0"/>
                  <w:vAlign w:val="center"/>
                </w:tcPr>
                <w:p w14:paraId="7D8EE335">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mallCaps w:val="0"/>
                      <w:snapToGrid/>
                      <w:color w:val="000000" w:themeColor="text1"/>
                      <w:spacing w:val="0"/>
                      <w:kern w:val="0"/>
                      <w:position w:val="0"/>
                      <w:sz w:val="21"/>
                      <w:szCs w:val="21"/>
                      <w:highlight w:val="none"/>
                      <w:lang w:val="en-US" w:eastAsia="zh-CN"/>
                      <w14:textFill>
                        <w14:solidFill>
                          <w14:schemeClr w14:val="tx1"/>
                        </w14:solidFill>
                      </w14:textFill>
                    </w:rPr>
                    <w:t>设置围挡，合理安排施工时间</w:t>
                  </w:r>
                </w:p>
              </w:tc>
            </w:tr>
            <w:tr w14:paraId="7BEF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7C6CCA9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512" w:type="pct"/>
                  <w:vMerge w:val="continue"/>
                  <w:tcBorders>
                    <w:tl2br w:val="nil"/>
                    <w:tr2bl w:val="nil"/>
                  </w:tcBorders>
                  <w:noWrap w:val="0"/>
                  <w:vAlign w:val="center"/>
                </w:tcPr>
                <w:p w14:paraId="329146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p>
              </w:tc>
              <w:tc>
                <w:tcPr>
                  <w:tcW w:w="1258" w:type="pct"/>
                  <w:tcBorders>
                    <w:tl2br w:val="nil"/>
                    <w:tr2bl w:val="nil"/>
                  </w:tcBorders>
                  <w:noWrap w:val="0"/>
                  <w:vAlign w:val="center"/>
                </w:tcPr>
                <w:p w14:paraId="2809DAF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施工作业噪声</w:t>
                  </w:r>
                </w:p>
              </w:tc>
              <w:tc>
                <w:tcPr>
                  <w:tcW w:w="1069" w:type="pct"/>
                  <w:tcBorders>
                    <w:tl2br w:val="nil"/>
                    <w:tr2bl w:val="nil"/>
                  </w:tcBorders>
                  <w:noWrap w:val="0"/>
                  <w:vAlign w:val="center"/>
                </w:tcPr>
                <w:p w14:paraId="3732BF8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等级</w:t>
                  </w:r>
                  <w:r>
                    <w:rPr>
                      <w:rFonts w:hint="eastAsia" w:cs="Times New Roman"/>
                      <w:snapToGrid/>
                      <w:color w:val="000000" w:themeColor="text1"/>
                      <w:spacing w:val="0"/>
                      <w:kern w:val="0"/>
                      <w:position w:val="0"/>
                      <w:sz w:val="21"/>
                      <w:szCs w:val="21"/>
                      <w:lang w:val="en-US" w:eastAsia="zh-CN"/>
                      <w14:textFill>
                        <w14:solidFill>
                          <w14:schemeClr w14:val="tx1"/>
                        </w14:solidFill>
                      </w14:textFill>
                    </w:rPr>
                    <w:t>连续</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A声级</w:t>
                  </w:r>
                </w:p>
              </w:tc>
              <w:tc>
                <w:tcPr>
                  <w:tcW w:w="1817" w:type="pct"/>
                  <w:vMerge w:val="continue"/>
                  <w:tcBorders>
                    <w:tl2br w:val="nil"/>
                    <w:tr2bl w:val="nil"/>
                  </w:tcBorders>
                  <w:noWrap w:val="0"/>
                  <w:vAlign w:val="center"/>
                </w:tcPr>
                <w:p w14:paraId="091EF3C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p>
              </w:tc>
            </w:tr>
            <w:tr w14:paraId="65A2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759036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512" w:type="pct"/>
                  <w:tcBorders>
                    <w:tl2br w:val="nil"/>
                    <w:tr2bl w:val="nil"/>
                  </w:tcBorders>
                  <w:noWrap w:val="0"/>
                  <w:vAlign w:val="center"/>
                </w:tcPr>
                <w:p w14:paraId="7529C05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固废</w:t>
                  </w:r>
                </w:p>
              </w:tc>
              <w:tc>
                <w:tcPr>
                  <w:tcW w:w="1258" w:type="pct"/>
                  <w:tcBorders>
                    <w:tl2br w:val="nil"/>
                    <w:tr2bl w:val="nil"/>
                  </w:tcBorders>
                  <w:noWrap w:val="0"/>
                  <w:vAlign w:val="center"/>
                </w:tcPr>
                <w:p w14:paraId="51F3497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施工活动</w:t>
                  </w:r>
                </w:p>
              </w:tc>
              <w:tc>
                <w:tcPr>
                  <w:tcW w:w="1069" w:type="pct"/>
                  <w:tcBorders>
                    <w:tl2br w:val="nil"/>
                    <w:tr2bl w:val="nil"/>
                  </w:tcBorders>
                  <w:noWrap w:val="0"/>
                  <w:vAlign w:val="center"/>
                </w:tcPr>
                <w:p w14:paraId="4B0679C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建筑垃圾</w:t>
                  </w:r>
                </w:p>
              </w:tc>
              <w:tc>
                <w:tcPr>
                  <w:tcW w:w="1817" w:type="pct"/>
                  <w:tcBorders>
                    <w:tl2br w:val="nil"/>
                    <w:tr2bl w:val="nil"/>
                  </w:tcBorders>
                  <w:noWrap w:val="0"/>
                  <w:vAlign w:val="center"/>
                </w:tcPr>
                <w:p w14:paraId="46FB15B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及时清运</w:t>
                  </w:r>
                </w:p>
              </w:tc>
            </w:tr>
            <w:tr w14:paraId="5AFB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restart"/>
                  <w:tcBorders>
                    <w:tl2br w:val="nil"/>
                    <w:tr2bl w:val="nil"/>
                  </w:tcBorders>
                  <w:noWrap w:val="0"/>
                  <w:vAlign w:val="center"/>
                </w:tcPr>
                <w:p w14:paraId="578405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eastAsia="zh-CN"/>
                      <w14:textFill>
                        <w14:solidFill>
                          <w14:schemeClr w14:val="tx1"/>
                        </w14:solidFill>
                      </w14:textFill>
                    </w:rPr>
                    <w:t>运营</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期</w:t>
                  </w:r>
                </w:p>
              </w:tc>
              <w:tc>
                <w:tcPr>
                  <w:tcW w:w="512" w:type="pct"/>
                  <w:vMerge w:val="restart"/>
                  <w:tcBorders>
                    <w:tl2br w:val="nil"/>
                    <w:tr2bl w:val="nil"/>
                  </w:tcBorders>
                  <w:noWrap w:val="0"/>
                  <w:vAlign w:val="center"/>
                </w:tcPr>
                <w:p w14:paraId="2E37FE7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废气</w:t>
                  </w:r>
                </w:p>
              </w:tc>
              <w:tc>
                <w:tcPr>
                  <w:tcW w:w="1258" w:type="pct"/>
                  <w:tcBorders>
                    <w:tl2br w:val="nil"/>
                    <w:tr2bl w:val="nil"/>
                  </w:tcBorders>
                  <w:noWrap w:val="0"/>
                  <w:vAlign w:val="center"/>
                </w:tcPr>
                <w:p w14:paraId="5723180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原料堆场粉尘</w:t>
                  </w:r>
                </w:p>
              </w:tc>
              <w:tc>
                <w:tcPr>
                  <w:tcW w:w="1069" w:type="pct"/>
                  <w:tcBorders>
                    <w:tl2br w:val="nil"/>
                    <w:tr2bl w:val="nil"/>
                  </w:tcBorders>
                  <w:noWrap w:val="0"/>
                  <w:vAlign w:val="center"/>
                </w:tcPr>
                <w:p w14:paraId="505C2C6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颗粒物</w:t>
                  </w:r>
                </w:p>
              </w:tc>
              <w:tc>
                <w:tcPr>
                  <w:tcW w:w="1817" w:type="pct"/>
                  <w:tcBorders>
                    <w:tl2br w:val="nil"/>
                    <w:tr2bl w:val="nil"/>
                  </w:tcBorders>
                  <w:noWrap w:val="0"/>
                  <w:vAlign w:val="center"/>
                </w:tcPr>
                <w:p w14:paraId="45C23F44">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地面进行硬化处理，来往运输车辆用篷布覆盖</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原料堆场位于厂房内，仅留车辆进出口通道，堆料区、下料区和进出口通道安装喷雾装置进行喷淋作业。</w:t>
                  </w:r>
                </w:p>
              </w:tc>
            </w:tr>
            <w:tr w14:paraId="561E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051696D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eastAsia="zh-CN"/>
                      <w14:textFill>
                        <w14:solidFill>
                          <w14:schemeClr w14:val="tx1"/>
                        </w14:solidFill>
                      </w14:textFill>
                    </w:rPr>
                  </w:pPr>
                </w:p>
              </w:tc>
              <w:tc>
                <w:tcPr>
                  <w:tcW w:w="512" w:type="pct"/>
                  <w:vMerge w:val="continue"/>
                  <w:tcBorders>
                    <w:tl2br w:val="nil"/>
                    <w:tr2bl w:val="nil"/>
                  </w:tcBorders>
                  <w:noWrap w:val="0"/>
                  <w:vAlign w:val="center"/>
                </w:tcPr>
                <w:p w14:paraId="00BA3D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258" w:type="pct"/>
                  <w:tcBorders>
                    <w:tl2br w:val="nil"/>
                    <w:tr2bl w:val="nil"/>
                  </w:tcBorders>
                  <w:noWrap w:val="0"/>
                  <w:vAlign w:val="center"/>
                </w:tcPr>
                <w:p w14:paraId="247945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筒仓进料粉尘</w:t>
                  </w:r>
                </w:p>
              </w:tc>
              <w:tc>
                <w:tcPr>
                  <w:tcW w:w="1069" w:type="pct"/>
                  <w:tcBorders>
                    <w:tl2br w:val="nil"/>
                    <w:tr2bl w:val="nil"/>
                  </w:tcBorders>
                  <w:noWrap w:val="0"/>
                  <w:vAlign w:val="center"/>
                </w:tcPr>
                <w:p w14:paraId="2739677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颗粒物</w:t>
                  </w:r>
                </w:p>
              </w:tc>
              <w:tc>
                <w:tcPr>
                  <w:tcW w:w="1817" w:type="pct"/>
                  <w:tcBorders>
                    <w:tl2br w:val="nil"/>
                    <w:tr2bl w:val="nil"/>
                  </w:tcBorders>
                  <w:noWrap w:val="0"/>
                  <w:vAlign w:val="center"/>
                </w:tcPr>
                <w:p w14:paraId="004BF1BC">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筒仓顶部均设置脉冲式布袋除尘器，筒仓进料粉尘经脉冲式布袋除尘器收集处理后在厂房中自然沉降，以无组织方式排放。</w:t>
                  </w:r>
                </w:p>
              </w:tc>
            </w:tr>
            <w:tr w14:paraId="2C4F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7EC7774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eastAsia="zh-CN"/>
                      <w14:textFill>
                        <w14:solidFill>
                          <w14:schemeClr w14:val="tx1"/>
                        </w14:solidFill>
                      </w14:textFill>
                    </w:rPr>
                  </w:pPr>
                </w:p>
              </w:tc>
              <w:tc>
                <w:tcPr>
                  <w:tcW w:w="512" w:type="pct"/>
                  <w:vMerge w:val="continue"/>
                  <w:tcBorders>
                    <w:tl2br w:val="nil"/>
                    <w:tr2bl w:val="nil"/>
                  </w:tcBorders>
                  <w:noWrap w:val="0"/>
                  <w:vAlign w:val="center"/>
                </w:tcPr>
                <w:p w14:paraId="4E3BEB2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258" w:type="pct"/>
                  <w:tcBorders>
                    <w:tl2br w:val="nil"/>
                    <w:tr2bl w:val="nil"/>
                  </w:tcBorders>
                  <w:noWrap w:val="0"/>
                  <w:vAlign w:val="center"/>
                </w:tcPr>
                <w:p w14:paraId="6F8A73F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搅拌粉尘</w:t>
                  </w:r>
                </w:p>
              </w:tc>
              <w:tc>
                <w:tcPr>
                  <w:tcW w:w="1069" w:type="pct"/>
                  <w:tcBorders>
                    <w:tl2br w:val="nil"/>
                    <w:tr2bl w:val="nil"/>
                  </w:tcBorders>
                  <w:noWrap w:val="0"/>
                  <w:vAlign w:val="center"/>
                </w:tcPr>
                <w:p w14:paraId="7BE0AE0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颗粒物</w:t>
                  </w:r>
                </w:p>
              </w:tc>
              <w:tc>
                <w:tcPr>
                  <w:tcW w:w="1817" w:type="pct"/>
                  <w:tcBorders>
                    <w:tl2br w:val="nil"/>
                    <w:tr2bl w:val="nil"/>
                  </w:tcBorders>
                  <w:noWrap w:val="0"/>
                  <w:vAlign w:val="center"/>
                </w:tcPr>
                <w:p w14:paraId="0A76C347">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搅拌机顶部设置布袋除尘器。产生的粉尘经脉冲式布袋除尘器处理后，在厂房内无组织排放。同时，厂房内设置喷雾装置控制皮带输送时产生的原料输送扬尘。在下料斗设置三面围挡，顶部设置喷雾装置进行降尘</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r>
            <w:tr w14:paraId="39A2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6CF1DB5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eastAsia="zh-CN"/>
                      <w14:textFill>
                        <w14:solidFill>
                          <w14:schemeClr w14:val="tx1"/>
                        </w14:solidFill>
                      </w14:textFill>
                    </w:rPr>
                  </w:pPr>
                </w:p>
              </w:tc>
              <w:tc>
                <w:tcPr>
                  <w:tcW w:w="512" w:type="pct"/>
                  <w:vMerge w:val="continue"/>
                  <w:tcBorders>
                    <w:tl2br w:val="nil"/>
                    <w:tr2bl w:val="nil"/>
                  </w:tcBorders>
                  <w:noWrap w:val="0"/>
                  <w:vAlign w:val="center"/>
                </w:tcPr>
                <w:p w14:paraId="64EE0FA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1258" w:type="pct"/>
                  <w:tcBorders>
                    <w:tl2br w:val="nil"/>
                    <w:tr2bl w:val="nil"/>
                  </w:tcBorders>
                  <w:noWrap w:val="0"/>
                  <w:vAlign w:val="center"/>
                </w:tcPr>
                <w:p w14:paraId="7CC7FEF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运输车辆扬尘</w:t>
                  </w:r>
                </w:p>
              </w:tc>
              <w:tc>
                <w:tcPr>
                  <w:tcW w:w="1069" w:type="pct"/>
                  <w:tcBorders>
                    <w:tl2br w:val="nil"/>
                    <w:tr2bl w:val="nil"/>
                  </w:tcBorders>
                  <w:noWrap w:val="0"/>
                  <w:vAlign w:val="center"/>
                </w:tcPr>
                <w:p w14:paraId="561D073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snapToGrid/>
                      <w:color w:val="000000" w:themeColor="text1"/>
                      <w:spacing w:val="0"/>
                      <w:kern w:val="0"/>
                      <w:position w:val="0"/>
                      <w:sz w:val="21"/>
                      <w:szCs w:val="21"/>
                      <w:vertAlign w:val="baseline"/>
                      <w:lang w:val="en-US" w:eastAsia="zh-CN"/>
                      <w14:textFill>
                        <w14:solidFill>
                          <w14:schemeClr w14:val="tx1"/>
                        </w14:solidFill>
                      </w14:textFill>
                    </w:rPr>
                    <w:t>颗粒物</w:t>
                  </w:r>
                </w:p>
              </w:tc>
              <w:tc>
                <w:tcPr>
                  <w:tcW w:w="1817" w:type="pct"/>
                  <w:tcBorders>
                    <w:tl2br w:val="nil"/>
                    <w:tr2bl w:val="nil"/>
                  </w:tcBorders>
                  <w:noWrap w:val="0"/>
                  <w:vAlign w:val="center"/>
                </w:tcPr>
                <w:p w14:paraId="6835DE57">
                  <w:pPr>
                    <w:keepNext w:val="0"/>
                    <w:keepLines w:val="0"/>
                    <w:widowControl/>
                    <w:suppressLineNumbers w:val="0"/>
                    <w:jc w:val="both"/>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地面固化，每日进行地面清洁。运输车辆加盖篷布，严禁超载，杜绝汽车抛洒，保持车体整洁，净车上路。道路两侧设置固定喷雾降尘或移动式雾炮降尘。</w:t>
                  </w:r>
                </w:p>
              </w:tc>
            </w:tr>
            <w:tr w14:paraId="2283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6CA773B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restart"/>
                  <w:tcBorders>
                    <w:tl2br w:val="nil"/>
                    <w:tr2bl w:val="nil"/>
                  </w:tcBorders>
                  <w:noWrap w:val="0"/>
                  <w:vAlign w:val="center"/>
                </w:tcPr>
                <w:p w14:paraId="7051D5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t>废水</w:t>
                  </w:r>
                </w:p>
              </w:tc>
              <w:tc>
                <w:tcPr>
                  <w:tcW w:w="1258" w:type="pct"/>
                  <w:tcBorders>
                    <w:tl2br w:val="nil"/>
                    <w:tr2bl w:val="nil"/>
                  </w:tcBorders>
                  <w:noWrap w:val="0"/>
                  <w:vAlign w:val="center"/>
                </w:tcPr>
                <w:p w14:paraId="5F9EAF0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车辆冲洗废水</w:t>
                  </w:r>
                </w:p>
              </w:tc>
              <w:tc>
                <w:tcPr>
                  <w:tcW w:w="1069" w:type="pct"/>
                  <w:vMerge w:val="restart"/>
                  <w:tcBorders>
                    <w:tl2br w:val="nil"/>
                    <w:tr2bl w:val="nil"/>
                  </w:tcBorders>
                  <w:noWrap w:val="0"/>
                  <w:vAlign w:val="center"/>
                </w:tcPr>
                <w:p w14:paraId="3D2C0B38">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pH、COD、NH</w:t>
                  </w:r>
                  <w:r>
                    <w:rPr>
                      <w:rFonts w:hint="eastAsia" w:cs="Times New Roman"/>
                      <w:snapToGrid/>
                      <w:color w:val="000000" w:themeColor="text1"/>
                      <w:spacing w:val="0"/>
                      <w:kern w:val="0"/>
                      <w:position w:val="0"/>
                      <w:sz w:val="21"/>
                      <w:szCs w:val="21"/>
                      <w:vertAlign w:val="sub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lang w:val="en-US" w:eastAsia="zh-CN"/>
                      <w14:textFill>
                        <w14:solidFill>
                          <w14:schemeClr w14:val="tx1"/>
                        </w14:solidFill>
                      </w14:textFill>
                    </w:rPr>
                    <w:t>-H、SS</w:t>
                  </w:r>
                </w:p>
              </w:tc>
              <w:tc>
                <w:tcPr>
                  <w:tcW w:w="1817" w:type="pct"/>
                  <w:tcBorders>
                    <w:tl2br w:val="nil"/>
                    <w:tr2bl w:val="nil"/>
                  </w:tcBorders>
                  <w:noWrap w:val="0"/>
                  <w:vAlign w:val="center"/>
                </w:tcPr>
                <w:p w14:paraId="3C8A64FE">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经洗车平台沉淀池沉淀后回用于车辆冲洗，不外排。</w:t>
                  </w:r>
                </w:p>
              </w:tc>
            </w:tr>
            <w:tr w14:paraId="4EED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0F2415C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5529AA1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1258" w:type="pct"/>
                  <w:tcBorders>
                    <w:tl2br w:val="nil"/>
                    <w:tr2bl w:val="nil"/>
                  </w:tcBorders>
                  <w:noWrap w:val="0"/>
                  <w:vAlign w:val="center"/>
                </w:tcPr>
                <w:p w14:paraId="5C45223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地面冲洗废水</w:t>
                  </w:r>
                </w:p>
              </w:tc>
              <w:tc>
                <w:tcPr>
                  <w:tcW w:w="1069" w:type="pct"/>
                  <w:vMerge w:val="continue"/>
                  <w:tcBorders>
                    <w:tl2br w:val="nil"/>
                    <w:tr2bl w:val="nil"/>
                  </w:tcBorders>
                  <w:noWrap w:val="0"/>
                  <w:vAlign w:val="center"/>
                </w:tcPr>
                <w:p w14:paraId="66DCF3F0">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p>
              </w:tc>
              <w:tc>
                <w:tcPr>
                  <w:tcW w:w="1817" w:type="pct"/>
                  <w:vMerge w:val="restart"/>
                  <w:tcBorders>
                    <w:tl2br w:val="nil"/>
                    <w:tr2bl w:val="nil"/>
                  </w:tcBorders>
                  <w:noWrap w:val="0"/>
                  <w:vAlign w:val="center"/>
                </w:tcPr>
                <w:p w14:paraId="49AF71E3">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经车间沉淀池+砂水分离机+压滤设施回用于生产，不外排。</w:t>
                  </w:r>
                </w:p>
              </w:tc>
            </w:tr>
            <w:tr w14:paraId="4E28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3186A2B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598A4E7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1258" w:type="pct"/>
                  <w:tcBorders>
                    <w:tl2br w:val="nil"/>
                    <w:tr2bl w:val="nil"/>
                  </w:tcBorders>
                  <w:noWrap w:val="0"/>
                  <w:vAlign w:val="center"/>
                </w:tcPr>
                <w:p w14:paraId="71E21ED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搅拌机清洗废水</w:t>
                  </w:r>
                </w:p>
              </w:tc>
              <w:tc>
                <w:tcPr>
                  <w:tcW w:w="1069" w:type="pct"/>
                  <w:vMerge w:val="continue"/>
                  <w:tcBorders>
                    <w:tl2br w:val="nil"/>
                    <w:tr2bl w:val="nil"/>
                  </w:tcBorders>
                  <w:noWrap w:val="0"/>
                  <w:vAlign w:val="center"/>
                </w:tcPr>
                <w:p w14:paraId="52883A62">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p>
              </w:tc>
              <w:tc>
                <w:tcPr>
                  <w:tcW w:w="1817" w:type="pct"/>
                  <w:vMerge w:val="continue"/>
                  <w:tcBorders>
                    <w:tl2br w:val="nil"/>
                    <w:tr2bl w:val="nil"/>
                  </w:tcBorders>
                  <w:noWrap w:val="0"/>
                  <w:vAlign w:val="center"/>
                </w:tcPr>
                <w:p w14:paraId="20A4D6A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p>
              </w:tc>
            </w:tr>
            <w:tr w14:paraId="6EF8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5C3349B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53074D2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p>
              </w:tc>
              <w:tc>
                <w:tcPr>
                  <w:tcW w:w="1258" w:type="pct"/>
                  <w:tcBorders>
                    <w:tl2br w:val="nil"/>
                    <w:tr2bl w:val="nil"/>
                  </w:tcBorders>
                  <w:noWrap w:val="0"/>
                  <w:vAlign w:val="center"/>
                </w:tcPr>
                <w:p w14:paraId="21C5C69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生活污水</w:t>
                  </w:r>
                </w:p>
              </w:tc>
              <w:tc>
                <w:tcPr>
                  <w:tcW w:w="1069" w:type="pct"/>
                  <w:tcBorders>
                    <w:tl2br w:val="nil"/>
                    <w:tr2bl w:val="nil"/>
                  </w:tcBorders>
                  <w:noWrap w:val="0"/>
                  <w:vAlign w:val="center"/>
                </w:tcPr>
                <w:p w14:paraId="65014981">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pH、COD、NH</w:t>
                  </w:r>
                  <w:r>
                    <w:rPr>
                      <w:rFonts w:hint="eastAsia" w:cs="Times New Roman"/>
                      <w:snapToGrid/>
                      <w:color w:val="000000" w:themeColor="text1"/>
                      <w:spacing w:val="0"/>
                      <w:kern w:val="0"/>
                      <w:position w:val="0"/>
                      <w:sz w:val="21"/>
                      <w:szCs w:val="21"/>
                      <w:vertAlign w:val="subscript"/>
                      <w:lang w:val="en-US" w:eastAsia="zh-CN"/>
                      <w14:textFill>
                        <w14:solidFill>
                          <w14:schemeClr w14:val="tx1"/>
                        </w14:solidFill>
                      </w14:textFill>
                    </w:rPr>
                    <w:t>3</w:t>
                  </w:r>
                  <w:r>
                    <w:rPr>
                      <w:rFonts w:hint="eastAsia" w:cs="Times New Roman"/>
                      <w:snapToGrid/>
                      <w:color w:val="000000" w:themeColor="text1"/>
                      <w:spacing w:val="0"/>
                      <w:kern w:val="0"/>
                      <w:position w:val="0"/>
                      <w:sz w:val="21"/>
                      <w:szCs w:val="21"/>
                      <w:lang w:val="en-US" w:eastAsia="zh-CN"/>
                      <w14:textFill>
                        <w14:solidFill>
                          <w14:schemeClr w14:val="tx1"/>
                        </w14:solidFill>
                      </w14:textFill>
                    </w:rPr>
                    <w:t>-H、SS、BOD</w:t>
                  </w:r>
                  <w:r>
                    <w:rPr>
                      <w:rFonts w:hint="eastAsia" w:cs="Times New Roman"/>
                      <w:snapToGrid/>
                      <w:color w:val="000000" w:themeColor="text1"/>
                      <w:spacing w:val="0"/>
                      <w:kern w:val="0"/>
                      <w:position w:val="0"/>
                      <w:sz w:val="21"/>
                      <w:szCs w:val="21"/>
                      <w:vertAlign w:val="subscript"/>
                      <w:lang w:val="en-US" w:eastAsia="zh-CN"/>
                      <w14:textFill>
                        <w14:solidFill>
                          <w14:schemeClr w14:val="tx1"/>
                        </w14:solidFill>
                      </w14:textFill>
                    </w:rPr>
                    <w:t>5</w:t>
                  </w:r>
                </w:p>
              </w:tc>
              <w:tc>
                <w:tcPr>
                  <w:tcW w:w="1817" w:type="pct"/>
                  <w:tcBorders>
                    <w:tl2br w:val="nil"/>
                    <w:tr2bl w:val="nil"/>
                  </w:tcBorders>
                  <w:noWrap w:val="0"/>
                  <w:vAlign w:val="center"/>
                </w:tcPr>
                <w:p w14:paraId="7D013255">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经化粪池处理后用于厂区绿化，不外排。</w:t>
                  </w:r>
                </w:p>
              </w:tc>
            </w:tr>
            <w:tr w14:paraId="38A8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68C87F5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tcBorders>
                    <w:tl2br w:val="nil"/>
                    <w:tr2bl w:val="nil"/>
                  </w:tcBorders>
                  <w:noWrap w:val="0"/>
                  <w:vAlign w:val="center"/>
                </w:tcPr>
                <w:p w14:paraId="2767914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噪声</w:t>
                  </w:r>
                </w:p>
              </w:tc>
              <w:tc>
                <w:tcPr>
                  <w:tcW w:w="1258" w:type="pct"/>
                  <w:tcBorders>
                    <w:tl2br w:val="nil"/>
                    <w:tr2bl w:val="nil"/>
                  </w:tcBorders>
                  <w:noWrap w:val="0"/>
                  <w:vAlign w:val="center"/>
                </w:tcPr>
                <w:p w14:paraId="7417EEF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生产</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设备</w:t>
                  </w:r>
                </w:p>
              </w:tc>
              <w:tc>
                <w:tcPr>
                  <w:tcW w:w="1069" w:type="pct"/>
                  <w:tcBorders>
                    <w:tl2br w:val="nil"/>
                    <w:tr2bl w:val="nil"/>
                  </w:tcBorders>
                  <w:noWrap w:val="0"/>
                  <w:vAlign w:val="center"/>
                </w:tcPr>
                <w:p w14:paraId="09D4B2B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等级</w:t>
                  </w:r>
                  <w:r>
                    <w:rPr>
                      <w:rFonts w:hint="eastAsia" w:cs="Times New Roman"/>
                      <w:snapToGrid/>
                      <w:color w:val="000000" w:themeColor="text1"/>
                      <w:spacing w:val="0"/>
                      <w:kern w:val="0"/>
                      <w:position w:val="0"/>
                      <w:sz w:val="21"/>
                      <w:szCs w:val="21"/>
                      <w:lang w:val="en-US" w:eastAsia="zh-CN"/>
                      <w14:textFill>
                        <w14:solidFill>
                          <w14:schemeClr w14:val="tx1"/>
                        </w14:solidFill>
                      </w14:textFill>
                    </w:rPr>
                    <w:t>连续</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A声级</w:t>
                  </w:r>
                </w:p>
              </w:tc>
              <w:tc>
                <w:tcPr>
                  <w:tcW w:w="1817" w:type="pct"/>
                  <w:tcBorders>
                    <w:tl2br w:val="nil"/>
                    <w:tr2bl w:val="nil"/>
                  </w:tcBorders>
                  <w:noWrap w:val="0"/>
                  <w:vAlign w:val="center"/>
                </w:tcPr>
                <w:p w14:paraId="32FCAFE1">
                  <w:pPr>
                    <w:keepNext w:val="0"/>
                    <w:keepLines w:val="0"/>
                    <w:pageBreakBefore w:val="0"/>
                    <w:widowControl/>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选用低噪声设备</w:t>
                  </w:r>
                  <w:r>
                    <w:rPr>
                      <w:rFonts w:hint="eastAsia"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mallCaps w:val="0"/>
                      <w:snapToGrid/>
                      <w:color w:val="000000" w:themeColor="text1"/>
                      <w:spacing w:val="0"/>
                      <w:w w:val="100"/>
                      <w:kern w:val="0"/>
                      <w:position w:val="0"/>
                      <w:sz w:val="21"/>
                      <w:szCs w:val="21"/>
                      <w:lang w:val="en-US" w:eastAsia="zh-CN" w:bidi="ar-SA"/>
                      <w14:textFill>
                        <w14:solidFill>
                          <w14:schemeClr w14:val="tx1"/>
                        </w14:solidFill>
                      </w14:textFill>
                    </w:rPr>
                    <w:t>采取设备减震、隔声等措施</w:t>
                  </w:r>
                </w:p>
              </w:tc>
            </w:tr>
            <w:tr w14:paraId="0D67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531255B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restart"/>
                  <w:tcBorders>
                    <w:tl2br w:val="nil"/>
                    <w:tr2bl w:val="nil"/>
                  </w:tcBorders>
                  <w:noWrap w:val="0"/>
                  <w:vAlign w:val="center"/>
                </w:tcPr>
                <w:p w14:paraId="4B55F4E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固废</w:t>
                  </w:r>
                </w:p>
              </w:tc>
              <w:tc>
                <w:tcPr>
                  <w:tcW w:w="2327" w:type="pct"/>
                  <w:gridSpan w:val="2"/>
                  <w:tcBorders>
                    <w:tl2br w:val="nil"/>
                    <w:tr2bl w:val="nil"/>
                  </w:tcBorders>
                  <w:noWrap w:val="0"/>
                  <w:vAlign w:val="center"/>
                </w:tcPr>
                <w:p w14:paraId="16C28E2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布袋除尘器收集的粉尘</w:t>
                  </w:r>
                </w:p>
              </w:tc>
              <w:tc>
                <w:tcPr>
                  <w:tcW w:w="1817" w:type="pct"/>
                  <w:tcBorders>
                    <w:tl2br w:val="nil"/>
                    <w:tr2bl w:val="nil"/>
                  </w:tcBorders>
                  <w:noWrap w:val="0"/>
                  <w:vAlign w:val="center"/>
                </w:tcPr>
                <w:p w14:paraId="68832E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回用于生产</w:t>
                  </w:r>
                </w:p>
              </w:tc>
            </w:tr>
            <w:tr w14:paraId="52DC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3F9CE51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3235861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6C14E3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生活垃圾</w:t>
                  </w:r>
                </w:p>
              </w:tc>
              <w:tc>
                <w:tcPr>
                  <w:tcW w:w="1817" w:type="pct"/>
                  <w:tcBorders>
                    <w:tl2br w:val="nil"/>
                    <w:tr2bl w:val="nil"/>
                  </w:tcBorders>
                  <w:noWrap w:val="0"/>
                  <w:vAlign w:val="center"/>
                </w:tcPr>
                <w:p w14:paraId="6C419E8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委托环卫部门清运</w:t>
                  </w:r>
                </w:p>
              </w:tc>
            </w:tr>
            <w:tr w14:paraId="559E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26B9560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563AE7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4922409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废实验样品</w:t>
                  </w:r>
                </w:p>
              </w:tc>
              <w:tc>
                <w:tcPr>
                  <w:tcW w:w="1817" w:type="pct"/>
                  <w:tcBorders>
                    <w:tl2br w:val="nil"/>
                    <w:tr2bl w:val="nil"/>
                  </w:tcBorders>
                  <w:noWrap w:val="0"/>
                  <w:vAlign w:val="center"/>
                </w:tcPr>
                <w:p w14:paraId="0333548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委托环卫部门清运</w:t>
                  </w:r>
                </w:p>
              </w:tc>
            </w:tr>
            <w:tr w14:paraId="1CD7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69288E9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248312D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5EBB0FA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废除尘布袋</w:t>
                  </w:r>
                </w:p>
              </w:tc>
              <w:tc>
                <w:tcPr>
                  <w:tcW w:w="1817" w:type="pct"/>
                  <w:tcBorders>
                    <w:tl2br w:val="nil"/>
                    <w:tr2bl w:val="nil"/>
                  </w:tcBorders>
                  <w:noWrap w:val="0"/>
                  <w:vAlign w:val="center"/>
                </w:tcPr>
                <w:p w14:paraId="17525AD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定期交由环卫部门处置</w:t>
                  </w:r>
                </w:p>
              </w:tc>
            </w:tr>
            <w:tr w14:paraId="76BA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2E270C3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4B7938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0B11A4D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沉渣</w:t>
                  </w:r>
                </w:p>
              </w:tc>
              <w:tc>
                <w:tcPr>
                  <w:tcW w:w="1817" w:type="pct"/>
                  <w:tcBorders>
                    <w:tl2br w:val="nil"/>
                    <w:tr2bl w:val="nil"/>
                  </w:tcBorders>
                  <w:noWrap w:val="0"/>
                  <w:vAlign w:val="center"/>
                </w:tcPr>
                <w:p w14:paraId="2BD0E97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回用于生产</w:t>
                  </w:r>
                </w:p>
              </w:tc>
            </w:tr>
            <w:tr w14:paraId="5DEE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7442CC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3E3C358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332CB2C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废机油</w:t>
                  </w:r>
                </w:p>
              </w:tc>
              <w:tc>
                <w:tcPr>
                  <w:tcW w:w="1817" w:type="pct"/>
                  <w:vMerge w:val="restart"/>
                  <w:tcBorders>
                    <w:tl2br w:val="nil"/>
                    <w:tr2bl w:val="nil"/>
                  </w:tcBorders>
                  <w:noWrap w:val="0"/>
                  <w:vAlign w:val="center"/>
                </w:tcPr>
                <w:p w14:paraId="1F95412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委托有资质的单位处置</w:t>
                  </w:r>
                </w:p>
              </w:tc>
            </w:tr>
            <w:tr w14:paraId="346F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32D638E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52932CF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478E607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废机油桶</w:t>
                  </w:r>
                </w:p>
              </w:tc>
              <w:tc>
                <w:tcPr>
                  <w:tcW w:w="1817" w:type="pct"/>
                  <w:vMerge w:val="continue"/>
                  <w:tcBorders>
                    <w:tl2br w:val="nil"/>
                    <w:tr2bl w:val="nil"/>
                  </w:tcBorders>
                  <w:noWrap w:val="0"/>
                  <w:vAlign w:val="center"/>
                </w:tcPr>
                <w:p w14:paraId="40C992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r>
            <w:tr w14:paraId="1C86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Merge w:val="continue"/>
                  <w:tcBorders>
                    <w:tl2br w:val="nil"/>
                    <w:tr2bl w:val="nil"/>
                  </w:tcBorders>
                  <w:noWrap w:val="0"/>
                  <w:vAlign w:val="center"/>
                </w:tcPr>
                <w:p w14:paraId="0B048C4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512" w:type="pct"/>
                  <w:vMerge w:val="continue"/>
                  <w:tcBorders>
                    <w:tl2br w:val="nil"/>
                    <w:tr2bl w:val="nil"/>
                  </w:tcBorders>
                  <w:noWrap w:val="0"/>
                  <w:vAlign w:val="center"/>
                </w:tcPr>
                <w:p w14:paraId="21FD68B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2327" w:type="pct"/>
                  <w:gridSpan w:val="2"/>
                  <w:tcBorders>
                    <w:tl2br w:val="nil"/>
                    <w:tr2bl w:val="nil"/>
                  </w:tcBorders>
                  <w:noWrap w:val="0"/>
                  <w:vAlign w:val="center"/>
                </w:tcPr>
                <w:p w14:paraId="41C3347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含油抹布、废手套</w:t>
                  </w:r>
                </w:p>
              </w:tc>
              <w:tc>
                <w:tcPr>
                  <w:tcW w:w="1817" w:type="pct"/>
                  <w:vMerge w:val="continue"/>
                  <w:tcBorders>
                    <w:tl2br w:val="nil"/>
                    <w:tr2bl w:val="nil"/>
                  </w:tcBorders>
                  <w:noWrap w:val="0"/>
                  <w:vAlign w:val="center"/>
                </w:tcPr>
                <w:p w14:paraId="076DCBE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r>
          </w:tbl>
          <w:p w14:paraId="3BEE3A82">
            <w:pPr>
              <w:pStyle w:val="23"/>
              <w:keepNext w:val="0"/>
              <w:keepLines w:val="0"/>
              <w:pageBreakBefore w:val="0"/>
              <w:widowControl/>
              <w:numPr>
                <w:ilvl w:val="0"/>
                <w:numId w:val="0"/>
              </w:numPr>
              <w:kinsoku/>
              <w:wordWrap/>
              <w:overflowPunct/>
              <w:topLinePunct w:val="0"/>
              <w:autoSpaceDE/>
              <w:autoSpaceDN/>
              <w:bidi w:val="0"/>
              <w:adjustRightInd/>
              <w:snapToGrid/>
              <w:spacing w:before="157" w:beforeLines="50" w:beforeAutospacing="0" w:after="0" w:afterAutospacing="0" w:line="360" w:lineRule="auto"/>
              <w:ind w:firstLine="482" w:firstLineChars="200"/>
              <w:jc w:val="both"/>
              <w:textAlignment w:val="auto"/>
              <w:rPr>
                <w:rFonts w:hint="default" w:ascii="Times New Roman" w:hAnsi="Times New Roman" w:eastAsia="宋体"/>
                <w:b/>
                <w:bCs/>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cs="Times New Roman"/>
                <w:b/>
                <w:bCs/>
                <w:snapToGrid/>
                <w:color w:val="000000" w:themeColor="text1"/>
                <w:spacing w:val="0"/>
                <w:kern w:val="0"/>
                <w:position w:val="0"/>
                <w:sz w:val="24"/>
                <w:szCs w:val="24"/>
                <w:lang w:val="en-US" w:eastAsia="zh-CN" w:bidi="ar-SA"/>
                <w14:textFill>
                  <w14:solidFill>
                    <w14:schemeClr w14:val="tx1"/>
                  </w14:solidFill>
                </w14:textFill>
              </w:rPr>
              <w:t>4</w:t>
            </w:r>
            <w:r>
              <w:rPr>
                <w:rFonts w:ascii="Times New Roman" w:hAnsi="Times New Roman" w:eastAsia="宋体" w:cs="Times New Roman"/>
                <w:b/>
                <w:bCs/>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b/>
                <w:bCs/>
                <w:snapToGrid/>
                <w:color w:val="000000" w:themeColor="text1"/>
                <w:spacing w:val="0"/>
                <w:kern w:val="0"/>
                <w:position w:val="0"/>
                <w:szCs w:val="24"/>
                <w:lang w:val="en-US" w:eastAsia="zh-CN"/>
                <w14:textFill>
                  <w14:solidFill>
                    <w14:schemeClr w14:val="tx1"/>
                  </w14:solidFill>
                </w14:textFill>
              </w:rPr>
              <w:t>物料平衡</w:t>
            </w:r>
          </w:p>
          <w:p w14:paraId="78D0F64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snapToGrid/>
                <w:color w:val="000000" w:themeColor="text1"/>
                <w:spacing w:val="0"/>
                <w:kern w:val="0"/>
                <w:position w:val="0"/>
                <w:szCs w:val="24"/>
                <w:lang w:eastAsia="zh-CN"/>
                <w14:textFill>
                  <w14:solidFill>
                    <w14:schemeClr w14:val="tx1"/>
                  </w14:solidFill>
                </w14:textFill>
              </w:rPr>
              <w:t>（</w:t>
            </w:r>
            <w:r>
              <w:rPr>
                <w:rFonts w:hint="eastAsia" w:ascii="Times New Roman" w:hAnsi="Times New Roman"/>
                <w:snapToGrid/>
                <w:color w:val="000000" w:themeColor="text1"/>
                <w:spacing w:val="0"/>
                <w:kern w:val="0"/>
                <w:position w:val="0"/>
                <w:szCs w:val="24"/>
                <w:lang w:val="en-US" w:eastAsia="zh-CN"/>
                <w14:textFill>
                  <w14:solidFill>
                    <w14:schemeClr w14:val="tx1"/>
                  </w14:solidFill>
                </w14:textFill>
              </w:rPr>
              <w:t>1</w:t>
            </w:r>
            <w:r>
              <w:rPr>
                <w:rFonts w:hint="eastAsia" w:ascii="Times New Roman" w:hAnsi="Times New Roman"/>
                <w:snapToGrid/>
                <w:color w:val="000000" w:themeColor="text1"/>
                <w:spacing w:val="0"/>
                <w:kern w:val="0"/>
                <w:position w:val="0"/>
                <w:szCs w:val="24"/>
                <w:lang w:eastAsia="zh-CN"/>
                <w14:textFill>
                  <w14:solidFill>
                    <w14:schemeClr w14:val="tx1"/>
                  </w14:solidFill>
                </w14:textFill>
              </w:rPr>
              <w:t>）</w:t>
            </w:r>
            <w:r>
              <w:rPr>
                <w:rFonts w:hint="eastAsia" w:ascii="Times New Roman" w:hAnsi="Times New Roman"/>
                <w:snapToGrid/>
                <w:color w:val="000000" w:themeColor="text1"/>
                <w:spacing w:val="0"/>
                <w:kern w:val="0"/>
                <w:position w:val="0"/>
                <w:szCs w:val="24"/>
                <w:lang w:val="en-US" w:eastAsia="zh-CN"/>
                <w14:textFill>
                  <w14:solidFill>
                    <w14:schemeClr w14:val="tx1"/>
                  </w14:solidFill>
                </w14:textFill>
              </w:rPr>
              <w:t>混凝土生产线物料平衡</w:t>
            </w:r>
          </w:p>
          <w:p w14:paraId="5D369E1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表2-</w:t>
            </w:r>
            <w:r>
              <w:rPr>
                <w:rFonts w:hint="eastAsia"/>
                <w:b/>
                <w:bCs/>
                <w:snapToGrid/>
                <w:color w:val="000000" w:themeColor="text1"/>
                <w:spacing w:val="0"/>
                <w:kern w:val="0"/>
                <w:position w:val="0"/>
                <w:sz w:val="21"/>
                <w:szCs w:val="21"/>
                <w:lang w:val="en-US" w:eastAsia="zh-CN"/>
                <w14:textFill>
                  <w14:solidFill>
                    <w14:schemeClr w14:val="tx1"/>
                  </w14:solidFill>
                </w14:textFill>
              </w:rPr>
              <w:t>9</w:t>
            </w:r>
            <w:r>
              <w:rPr>
                <w:b/>
                <w:bCs/>
                <w:snapToGrid/>
                <w:color w:val="000000" w:themeColor="text1"/>
                <w:spacing w:val="0"/>
                <w:kern w:val="0"/>
                <w:position w:val="0"/>
                <w:sz w:val="21"/>
                <w:szCs w:val="21"/>
                <w14:textFill>
                  <w14:solidFill>
                    <w14:schemeClr w14:val="tx1"/>
                  </w14:solidFill>
                </w14:textFill>
              </w:rPr>
              <w:t xml:space="preserve">  </w:t>
            </w:r>
            <w:r>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混凝土生产线物料平衡表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456"/>
              <w:gridCol w:w="2592"/>
              <w:gridCol w:w="2024"/>
            </w:tblGrid>
            <w:tr w14:paraId="1225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0" w:type="dxa"/>
                  <w:gridSpan w:val="2"/>
                  <w:vAlign w:val="center"/>
                </w:tcPr>
                <w:p w14:paraId="1A21457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输入</w:t>
                  </w:r>
                </w:p>
              </w:tc>
              <w:tc>
                <w:tcPr>
                  <w:tcW w:w="4616" w:type="dxa"/>
                  <w:gridSpan w:val="2"/>
                  <w:vAlign w:val="center"/>
                </w:tcPr>
                <w:p w14:paraId="3BE52A1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输出</w:t>
                  </w:r>
                </w:p>
              </w:tc>
            </w:tr>
            <w:tr w14:paraId="24D1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19FC64B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1456" w:type="dxa"/>
                  <w:vAlign w:val="center"/>
                </w:tcPr>
                <w:p w14:paraId="2466DB6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数量（t/a）</w:t>
                  </w:r>
                </w:p>
              </w:tc>
              <w:tc>
                <w:tcPr>
                  <w:tcW w:w="2592" w:type="dxa"/>
                  <w:vAlign w:val="center"/>
                </w:tcPr>
                <w:p w14:paraId="09AEB2A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2024" w:type="dxa"/>
                  <w:vAlign w:val="center"/>
                </w:tcPr>
                <w:p w14:paraId="4690C64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数量（t/a）</w:t>
                  </w:r>
                </w:p>
              </w:tc>
            </w:tr>
            <w:tr w14:paraId="256A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4CAD40B1">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水泥</w:t>
                  </w:r>
                </w:p>
              </w:tc>
              <w:tc>
                <w:tcPr>
                  <w:tcW w:w="1456" w:type="dxa"/>
                  <w:vAlign w:val="center"/>
                </w:tcPr>
                <w:p w14:paraId="661A31BF">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145314</w:t>
                  </w:r>
                </w:p>
              </w:tc>
              <w:tc>
                <w:tcPr>
                  <w:tcW w:w="2592" w:type="dxa"/>
                  <w:vAlign w:val="center"/>
                </w:tcPr>
                <w:p w14:paraId="61A3B00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商品混凝土</w:t>
                  </w:r>
                </w:p>
              </w:tc>
              <w:tc>
                <w:tcPr>
                  <w:tcW w:w="2024" w:type="dxa"/>
                  <w:vAlign w:val="center"/>
                </w:tcPr>
                <w:p w14:paraId="210A1DC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1193999.814</w:t>
                  </w:r>
                </w:p>
              </w:tc>
            </w:tr>
            <w:tr w14:paraId="1D74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1D0EC9C1">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骨料（</w:t>
                  </w:r>
                  <w:r>
                    <w:rPr>
                      <w:rFonts w:hint="default" w:ascii="Times New Roman" w:hAnsi="Times New Roman" w:eastAsia="宋体" w:cs="Times New Roman"/>
                      <w:i w:val="0"/>
                      <w:iCs w:val="0"/>
                      <w:color w:val="000000"/>
                      <w:kern w:val="0"/>
                      <w:sz w:val="21"/>
                      <w:szCs w:val="21"/>
                      <w:u w:val="none"/>
                      <w:lang w:val="en-US" w:eastAsia="zh-CN" w:bidi="ar"/>
                    </w:rPr>
                    <w:t>0~5mm</w:t>
                  </w:r>
                  <w:r>
                    <w:rPr>
                      <w:rFonts w:hint="eastAsia" w:ascii="宋体" w:hAnsi="宋体" w:eastAsia="宋体" w:cs="宋体"/>
                      <w:i w:val="0"/>
                      <w:iCs w:val="0"/>
                      <w:color w:val="000000"/>
                      <w:kern w:val="0"/>
                      <w:sz w:val="21"/>
                      <w:szCs w:val="21"/>
                      <w:u w:val="none"/>
                      <w:lang w:val="en-US" w:eastAsia="zh-CN" w:bidi="ar"/>
                    </w:rPr>
                    <w:t>）</w:t>
                  </w:r>
                </w:p>
              </w:tc>
              <w:tc>
                <w:tcPr>
                  <w:tcW w:w="1456" w:type="dxa"/>
                  <w:vAlign w:val="center"/>
                </w:tcPr>
                <w:p w14:paraId="238AC751">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411724</w:t>
                  </w:r>
                </w:p>
              </w:tc>
              <w:tc>
                <w:tcPr>
                  <w:tcW w:w="2592" w:type="dxa"/>
                  <w:vAlign w:val="center"/>
                </w:tcPr>
                <w:p w14:paraId="35B8B8D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搅拌粉尘</w:t>
                  </w:r>
                </w:p>
              </w:tc>
              <w:tc>
                <w:tcPr>
                  <w:tcW w:w="2024" w:type="dxa"/>
                  <w:vAlign w:val="center"/>
                </w:tcPr>
                <w:p w14:paraId="14CE19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0.186</w:t>
                  </w:r>
                </w:p>
              </w:tc>
            </w:tr>
            <w:tr w14:paraId="187D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56209B14">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骨料（</w:t>
                  </w: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10mm</w:t>
                  </w:r>
                  <w:r>
                    <w:rPr>
                      <w:rFonts w:hint="eastAsia" w:ascii="宋体" w:hAnsi="宋体" w:eastAsia="宋体" w:cs="宋体"/>
                      <w:i w:val="0"/>
                      <w:iCs w:val="0"/>
                      <w:color w:val="000000"/>
                      <w:kern w:val="0"/>
                      <w:sz w:val="21"/>
                      <w:szCs w:val="21"/>
                      <w:u w:val="none"/>
                      <w:lang w:val="en-US" w:eastAsia="zh-CN" w:bidi="ar"/>
                    </w:rPr>
                    <w:t>）</w:t>
                  </w:r>
                </w:p>
              </w:tc>
              <w:tc>
                <w:tcPr>
                  <w:tcW w:w="1456" w:type="dxa"/>
                  <w:vAlign w:val="center"/>
                </w:tcPr>
                <w:p w14:paraId="62D72B51">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508600</w:t>
                  </w:r>
                </w:p>
              </w:tc>
              <w:tc>
                <w:tcPr>
                  <w:tcW w:w="2592" w:type="dxa"/>
                  <w:vAlign w:val="center"/>
                </w:tcPr>
                <w:p w14:paraId="5688B6B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324DE1D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4785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05B0DA14">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煤灰</w:t>
                  </w:r>
                </w:p>
              </w:tc>
              <w:tc>
                <w:tcPr>
                  <w:tcW w:w="1456" w:type="dxa"/>
                  <w:vAlign w:val="center"/>
                </w:tcPr>
                <w:p w14:paraId="19CF4129">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16593</w:t>
                  </w:r>
                </w:p>
              </w:tc>
              <w:tc>
                <w:tcPr>
                  <w:tcW w:w="2592" w:type="dxa"/>
                  <w:vAlign w:val="center"/>
                </w:tcPr>
                <w:p w14:paraId="36BA25B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7EE6735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2F1B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711CD1D4">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矿粉</w:t>
                  </w:r>
                </w:p>
              </w:tc>
              <w:tc>
                <w:tcPr>
                  <w:tcW w:w="1456" w:type="dxa"/>
                  <w:vAlign w:val="center"/>
                </w:tcPr>
                <w:p w14:paraId="4C3E736B">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14531</w:t>
                  </w:r>
                </w:p>
              </w:tc>
              <w:tc>
                <w:tcPr>
                  <w:tcW w:w="2592" w:type="dxa"/>
                  <w:vAlign w:val="center"/>
                </w:tcPr>
                <w:p w14:paraId="51C4F38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42EFCBF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16DF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746B8865">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膨胀剂</w:t>
                  </w:r>
                </w:p>
              </w:tc>
              <w:tc>
                <w:tcPr>
                  <w:tcW w:w="1456" w:type="dxa"/>
                  <w:vAlign w:val="center"/>
                </w:tcPr>
                <w:p w14:paraId="6370461C">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7266</w:t>
                  </w:r>
                </w:p>
              </w:tc>
              <w:tc>
                <w:tcPr>
                  <w:tcW w:w="2592" w:type="dxa"/>
                  <w:vAlign w:val="center"/>
                </w:tcPr>
                <w:p w14:paraId="77E106B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656DD86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4A4F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63977DE6">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外加剂</w:t>
                  </w:r>
                </w:p>
              </w:tc>
              <w:tc>
                <w:tcPr>
                  <w:tcW w:w="1456" w:type="dxa"/>
                  <w:vAlign w:val="center"/>
                </w:tcPr>
                <w:p w14:paraId="2629D67A">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2372</w:t>
                  </w:r>
                </w:p>
              </w:tc>
              <w:tc>
                <w:tcPr>
                  <w:tcW w:w="2592" w:type="dxa"/>
                  <w:vAlign w:val="center"/>
                </w:tcPr>
                <w:p w14:paraId="5755E51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7CBD0CF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2652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635EDC1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水</w:t>
                  </w:r>
                </w:p>
              </w:tc>
              <w:tc>
                <w:tcPr>
                  <w:tcW w:w="1456" w:type="dxa"/>
                  <w:vAlign w:val="center"/>
                </w:tcPr>
                <w:p w14:paraId="3AD44B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87600</w:t>
                  </w:r>
                </w:p>
              </w:tc>
              <w:tc>
                <w:tcPr>
                  <w:tcW w:w="2592" w:type="dxa"/>
                  <w:vAlign w:val="center"/>
                </w:tcPr>
                <w:p w14:paraId="2724882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5E82D5A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7375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61E598B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合计</w:t>
                  </w:r>
                </w:p>
              </w:tc>
              <w:tc>
                <w:tcPr>
                  <w:tcW w:w="1456" w:type="dxa"/>
                  <w:vAlign w:val="center"/>
                </w:tcPr>
                <w:p w14:paraId="2B6D240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1194000</w:t>
                  </w:r>
                </w:p>
              </w:tc>
              <w:tc>
                <w:tcPr>
                  <w:tcW w:w="2592" w:type="dxa"/>
                  <w:vAlign w:val="center"/>
                </w:tcPr>
                <w:p w14:paraId="6BC1FC7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合计</w:t>
                  </w:r>
                </w:p>
              </w:tc>
              <w:tc>
                <w:tcPr>
                  <w:tcW w:w="2024" w:type="dxa"/>
                  <w:vAlign w:val="center"/>
                </w:tcPr>
                <w:p w14:paraId="1A1F6A3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1194000</w:t>
                  </w:r>
                </w:p>
              </w:tc>
            </w:tr>
          </w:tbl>
          <w:p w14:paraId="51876023">
            <w:pPr>
              <w:pStyle w:val="23"/>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ind w:firstLine="480" w:firstLineChars="200"/>
              <w:jc w:val="both"/>
              <w:textAlignment w:val="auto"/>
              <w:rPr>
                <w:rFonts w:hint="default" w:ascii="Times New Roman" w:hAnsi="Times New Roman" w:eastAsia="宋体"/>
                <w:snapToGrid/>
                <w:color w:val="000000" w:themeColor="text1"/>
                <w:spacing w:val="0"/>
                <w:kern w:val="0"/>
                <w:position w:val="0"/>
                <w:szCs w:val="24"/>
                <w:lang w:val="en-US" w:eastAsia="zh-CN"/>
                <w14:textFill>
                  <w14:solidFill>
                    <w14:schemeClr w14:val="tx1"/>
                  </w14:solidFill>
                </w14:textFill>
              </w:rPr>
            </w:pPr>
            <w:r>
              <w:rPr>
                <w:rFonts w:hint="eastAsia" w:ascii="Times New Roman" w:hAnsi="Times New Roman"/>
                <w:snapToGrid/>
                <w:color w:val="000000" w:themeColor="text1"/>
                <w:spacing w:val="0"/>
                <w:kern w:val="0"/>
                <w:position w:val="0"/>
                <w:szCs w:val="24"/>
                <w:lang w:eastAsia="zh-CN"/>
                <w14:textFill>
                  <w14:solidFill>
                    <w14:schemeClr w14:val="tx1"/>
                  </w14:solidFill>
                </w14:textFill>
              </w:rPr>
              <w:t>（</w:t>
            </w:r>
            <w:r>
              <w:rPr>
                <w:rFonts w:hint="eastAsia" w:ascii="Times New Roman" w:hAnsi="Times New Roman"/>
                <w:snapToGrid/>
                <w:color w:val="000000" w:themeColor="text1"/>
                <w:spacing w:val="0"/>
                <w:kern w:val="0"/>
                <w:position w:val="0"/>
                <w:szCs w:val="24"/>
                <w:lang w:val="en-US" w:eastAsia="zh-CN"/>
                <w14:textFill>
                  <w14:solidFill>
                    <w14:schemeClr w14:val="tx1"/>
                  </w14:solidFill>
                </w14:textFill>
              </w:rPr>
              <w:t>2</w:t>
            </w:r>
            <w:r>
              <w:rPr>
                <w:rFonts w:hint="eastAsia" w:ascii="Times New Roman" w:hAnsi="Times New Roman"/>
                <w:snapToGrid/>
                <w:color w:val="000000" w:themeColor="text1"/>
                <w:spacing w:val="0"/>
                <w:kern w:val="0"/>
                <w:position w:val="0"/>
                <w:szCs w:val="24"/>
                <w:lang w:eastAsia="zh-CN"/>
                <w14:textFill>
                  <w14:solidFill>
                    <w14:schemeClr w14:val="tx1"/>
                  </w14:solidFill>
                </w14:textFill>
              </w:rPr>
              <w:t>）</w:t>
            </w:r>
            <w:r>
              <w:rPr>
                <w:rFonts w:hint="eastAsia" w:ascii="Times New Roman" w:hAnsi="Times New Roman"/>
                <w:snapToGrid/>
                <w:color w:val="000000" w:themeColor="text1"/>
                <w:spacing w:val="0"/>
                <w:kern w:val="0"/>
                <w:position w:val="0"/>
                <w:szCs w:val="24"/>
                <w:lang w:val="en-US" w:eastAsia="zh-CN"/>
                <w14:textFill>
                  <w14:solidFill>
                    <w14:schemeClr w14:val="tx1"/>
                  </w14:solidFill>
                </w14:textFill>
              </w:rPr>
              <w:t>预拌砂浆生产线物料平衡</w:t>
            </w:r>
          </w:p>
          <w:p w14:paraId="0AF404A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表2-</w:t>
            </w:r>
            <w:r>
              <w:rPr>
                <w:rFonts w:hint="eastAsia"/>
                <w:b/>
                <w:bCs/>
                <w:snapToGrid/>
                <w:color w:val="000000" w:themeColor="text1"/>
                <w:spacing w:val="0"/>
                <w:kern w:val="0"/>
                <w:position w:val="0"/>
                <w:sz w:val="21"/>
                <w:szCs w:val="21"/>
                <w:lang w:val="en-US" w:eastAsia="zh-CN"/>
                <w14:textFill>
                  <w14:solidFill>
                    <w14:schemeClr w14:val="tx1"/>
                  </w14:solidFill>
                </w14:textFill>
              </w:rPr>
              <w:t>10</w:t>
            </w:r>
            <w:r>
              <w:rPr>
                <w:b/>
                <w:bCs/>
                <w:snapToGrid/>
                <w:color w:val="000000" w:themeColor="text1"/>
                <w:spacing w:val="0"/>
                <w:kern w:val="0"/>
                <w:position w:val="0"/>
                <w:sz w:val="21"/>
                <w:szCs w:val="21"/>
                <w14:textFill>
                  <w14:solidFill>
                    <w14:schemeClr w14:val="tx1"/>
                  </w14:solidFill>
                </w14:textFill>
              </w:rPr>
              <w:t xml:space="preserve">  </w:t>
            </w:r>
            <w:r>
              <w:rPr>
                <w:rFonts w:hint="eastAsia"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预拌砂浆生产线物料平衡表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2024"/>
              <w:gridCol w:w="2024"/>
              <w:gridCol w:w="2024"/>
            </w:tblGrid>
            <w:tr w14:paraId="575D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8" w:type="dxa"/>
                  <w:gridSpan w:val="2"/>
                  <w:vAlign w:val="center"/>
                </w:tcPr>
                <w:p w14:paraId="157EE5A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输入</w:t>
                  </w:r>
                </w:p>
              </w:tc>
              <w:tc>
                <w:tcPr>
                  <w:tcW w:w="4048" w:type="dxa"/>
                  <w:gridSpan w:val="2"/>
                  <w:vAlign w:val="center"/>
                </w:tcPr>
                <w:p w14:paraId="03BDB40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输出</w:t>
                  </w:r>
                </w:p>
              </w:tc>
            </w:tr>
            <w:tr w14:paraId="7AC8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7F86A1D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2024" w:type="dxa"/>
                  <w:vAlign w:val="center"/>
                </w:tcPr>
                <w:p w14:paraId="4223173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数量（t/a）</w:t>
                  </w:r>
                </w:p>
              </w:tc>
              <w:tc>
                <w:tcPr>
                  <w:tcW w:w="2024" w:type="dxa"/>
                  <w:vAlign w:val="center"/>
                </w:tcPr>
                <w:p w14:paraId="20CCADF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名称</w:t>
                  </w:r>
                </w:p>
              </w:tc>
              <w:tc>
                <w:tcPr>
                  <w:tcW w:w="2024" w:type="dxa"/>
                  <w:vAlign w:val="center"/>
                </w:tcPr>
                <w:p w14:paraId="7DC971B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数量（t/a）</w:t>
                  </w:r>
                </w:p>
              </w:tc>
            </w:tr>
            <w:tr w14:paraId="0B8A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5017EB05">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水泥</w:t>
                  </w:r>
                </w:p>
              </w:tc>
              <w:tc>
                <w:tcPr>
                  <w:tcW w:w="2024" w:type="dxa"/>
                  <w:vAlign w:val="center"/>
                </w:tcPr>
                <w:p w14:paraId="085804B1">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29437</w:t>
                  </w:r>
                </w:p>
              </w:tc>
              <w:tc>
                <w:tcPr>
                  <w:tcW w:w="2024" w:type="dxa"/>
                  <w:vAlign w:val="center"/>
                </w:tcPr>
                <w:p w14:paraId="06493A0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预拌砂浆</w:t>
                  </w:r>
                </w:p>
              </w:tc>
              <w:tc>
                <w:tcPr>
                  <w:tcW w:w="2024" w:type="dxa"/>
                  <w:vAlign w:val="center"/>
                </w:tcPr>
                <w:p w14:paraId="5E4B037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203999.968</w:t>
                  </w:r>
                </w:p>
              </w:tc>
            </w:tr>
            <w:tr w14:paraId="12A9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43C95040">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骨料（</w:t>
                  </w:r>
                  <w:r>
                    <w:rPr>
                      <w:rFonts w:hint="default" w:ascii="Times New Roman" w:hAnsi="Times New Roman" w:eastAsia="宋体" w:cs="Times New Roman"/>
                      <w:i w:val="0"/>
                      <w:iCs w:val="0"/>
                      <w:color w:val="000000"/>
                      <w:kern w:val="0"/>
                      <w:sz w:val="21"/>
                      <w:szCs w:val="21"/>
                      <w:u w:val="none"/>
                      <w:lang w:val="en-US" w:eastAsia="zh-CN" w:bidi="ar"/>
                    </w:rPr>
                    <w:t>0~5mm</w:t>
                  </w:r>
                  <w:r>
                    <w:rPr>
                      <w:rFonts w:hint="eastAsia" w:ascii="宋体" w:hAnsi="宋体" w:eastAsia="宋体" w:cs="宋体"/>
                      <w:i w:val="0"/>
                      <w:iCs w:val="0"/>
                      <w:color w:val="000000"/>
                      <w:kern w:val="0"/>
                      <w:sz w:val="21"/>
                      <w:szCs w:val="21"/>
                      <w:u w:val="none"/>
                      <w:lang w:val="en-US" w:eastAsia="zh-CN" w:bidi="ar"/>
                    </w:rPr>
                    <w:t>）</w:t>
                  </w:r>
                </w:p>
              </w:tc>
              <w:tc>
                <w:tcPr>
                  <w:tcW w:w="2024" w:type="dxa"/>
                  <w:vAlign w:val="center"/>
                </w:tcPr>
                <w:p w14:paraId="4C7E172E">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158508</w:t>
                  </w:r>
                </w:p>
              </w:tc>
              <w:tc>
                <w:tcPr>
                  <w:tcW w:w="2024" w:type="dxa"/>
                  <w:vAlign w:val="center"/>
                </w:tcPr>
                <w:p w14:paraId="334CF7B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搅拌粉尘</w:t>
                  </w:r>
                </w:p>
              </w:tc>
              <w:tc>
                <w:tcPr>
                  <w:tcW w:w="2024" w:type="dxa"/>
                  <w:vAlign w:val="center"/>
                </w:tcPr>
                <w:p w14:paraId="2131B90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0.032</w:t>
                  </w:r>
                </w:p>
              </w:tc>
            </w:tr>
            <w:tr w14:paraId="09A2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32810F07">
                  <w:pPr>
                    <w:keepNext w:val="0"/>
                    <w:keepLines w:val="0"/>
                    <w:widowControl/>
                    <w:suppressLineNumbers w:val="0"/>
                    <w:jc w:val="center"/>
                    <w:textAlignment w:val="cente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外加剂</w:t>
                  </w:r>
                </w:p>
              </w:tc>
              <w:tc>
                <w:tcPr>
                  <w:tcW w:w="2024" w:type="dxa"/>
                  <w:vAlign w:val="center"/>
                </w:tcPr>
                <w:p w14:paraId="554DB634">
                  <w:pPr>
                    <w:keepNext w:val="0"/>
                    <w:keepLines w:val="0"/>
                    <w:widowControl/>
                    <w:suppressLineNumbers w:val="0"/>
                    <w:jc w:val="center"/>
                    <w:textAlignment w:val="cente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755</w:t>
                  </w:r>
                </w:p>
              </w:tc>
              <w:tc>
                <w:tcPr>
                  <w:tcW w:w="2024" w:type="dxa"/>
                  <w:vAlign w:val="center"/>
                </w:tcPr>
                <w:p w14:paraId="46A2BA1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034DEB4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6283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00ACE0AC">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搅拌用水</w:t>
                  </w:r>
                </w:p>
              </w:tc>
              <w:tc>
                <w:tcPr>
                  <w:tcW w:w="2024" w:type="dxa"/>
                  <w:vAlign w:val="center"/>
                </w:tcPr>
                <w:p w14:paraId="1D03CC37">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15300</w:t>
                  </w:r>
                </w:p>
              </w:tc>
              <w:tc>
                <w:tcPr>
                  <w:tcW w:w="2024" w:type="dxa"/>
                  <w:vAlign w:val="center"/>
                </w:tcPr>
                <w:p w14:paraId="6F18E28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2024" w:type="dxa"/>
                  <w:vAlign w:val="center"/>
                </w:tcPr>
                <w:p w14:paraId="635397F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r>
            <w:tr w14:paraId="33F2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4" w:type="dxa"/>
                  <w:vAlign w:val="center"/>
                </w:tcPr>
                <w:p w14:paraId="322130C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合计</w:t>
                  </w:r>
                </w:p>
              </w:tc>
              <w:tc>
                <w:tcPr>
                  <w:tcW w:w="2024" w:type="dxa"/>
                  <w:vAlign w:val="center"/>
                </w:tcPr>
                <w:p w14:paraId="6F6C7EC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204000</w:t>
                  </w:r>
                </w:p>
              </w:tc>
              <w:tc>
                <w:tcPr>
                  <w:tcW w:w="2024" w:type="dxa"/>
                  <w:vAlign w:val="center"/>
                </w:tcPr>
                <w:p w14:paraId="4760BAC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合计</w:t>
                  </w:r>
                </w:p>
              </w:tc>
              <w:tc>
                <w:tcPr>
                  <w:tcW w:w="2024" w:type="dxa"/>
                  <w:vAlign w:val="center"/>
                </w:tcPr>
                <w:p w14:paraId="0DED2C9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204000</w:t>
                  </w:r>
                </w:p>
              </w:tc>
            </w:tr>
          </w:tbl>
          <w:p w14:paraId="74210D6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p>
        </w:tc>
      </w:tr>
      <w:tr w14:paraId="600E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tcBorders>
              <w:tl2br w:val="nil"/>
              <w:tr2bl w:val="nil"/>
            </w:tcBorders>
            <w:noWrap w:val="0"/>
            <w:vAlign w:val="center"/>
          </w:tcPr>
          <w:p w14:paraId="674DBBE1">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snapToGrid/>
                <w:color w:val="000000" w:themeColor="text1"/>
                <w:spacing w:val="0"/>
                <w:kern w:val="0"/>
                <w:position w:val="0"/>
                <w:szCs w:val="24"/>
                <w14:textFill>
                  <w14:solidFill>
                    <w14:schemeClr w14:val="tx1"/>
                  </w14:solidFill>
                </w14:textFill>
              </w:rPr>
            </w:pPr>
            <w:r>
              <w:rPr>
                <w:rFonts w:ascii="Times New Roman" w:hAnsi="Times New Roman"/>
                <w:bCs/>
                <w:snapToGrid/>
                <w:color w:val="000000" w:themeColor="text1"/>
                <w:spacing w:val="0"/>
                <w:kern w:val="0"/>
                <w:position w:val="0"/>
                <w:szCs w:val="24"/>
                <w14:textFill>
                  <w14:solidFill>
                    <w14:schemeClr w14:val="tx1"/>
                  </w14:solidFill>
                </w14:textFill>
              </w:rPr>
              <w:t>与项目有关的原有环境污染问题</w:t>
            </w:r>
          </w:p>
        </w:tc>
        <w:tc>
          <w:tcPr>
            <w:tcW w:w="8338" w:type="dxa"/>
            <w:tcBorders>
              <w:tl2br w:val="nil"/>
              <w:tr2bl w:val="nil"/>
            </w:tcBorders>
            <w:noWrap w:val="0"/>
            <w:vAlign w:val="center"/>
          </w:tcPr>
          <w:p w14:paraId="6DF2F5AC">
            <w:pPr>
              <w:pStyle w:val="23"/>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r>
              <w:rPr>
                <w:rFonts w:ascii="宋体" w:hAnsi="宋体" w:eastAsia="宋体" w:cs="宋体"/>
                <w:snapToGrid/>
                <w:color w:val="000000" w:themeColor="text1"/>
                <w:spacing w:val="0"/>
                <w:kern w:val="0"/>
                <w:position w:val="0"/>
                <w:sz w:val="24"/>
                <w:szCs w:val="24"/>
                <w:highlight w:val="none"/>
                <w14:textFill>
                  <w14:solidFill>
                    <w14:schemeClr w14:val="tx1"/>
                  </w14:solidFill>
                </w14:textFill>
              </w:rPr>
              <w:t>本项目</w:t>
            </w:r>
            <w:r>
              <w:rPr>
                <w:rFonts w:hint="eastAsia" w:ascii="宋体" w:hAnsi="宋体" w:eastAsia="宋体" w:cs="宋体"/>
                <w:snapToGrid/>
                <w:color w:val="000000" w:themeColor="text1"/>
                <w:spacing w:val="0"/>
                <w:kern w:val="0"/>
                <w:position w:val="0"/>
                <w:sz w:val="24"/>
                <w:szCs w:val="24"/>
                <w:highlight w:val="none"/>
                <w:lang w:val="en-US" w:eastAsia="zh-CN"/>
                <w14:textFill>
                  <w14:solidFill>
                    <w14:schemeClr w14:val="tx1"/>
                  </w14:solidFill>
                </w14:textFill>
              </w:rPr>
              <w:t>为新建项目</w:t>
            </w:r>
            <w:r>
              <w:rPr>
                <w:rFonts w:ascii="宋体" w:hAnsi="宋体" w:eastAsia="宋体" w:cs="宋体"/>
                <w:snapToGrid/>
                <w:color w:val="000000" w:themeColor="text1"/>
                <w:spacing w:val="0"/>
                <w:kern w:val="0"/>
                <w:position w:val="0"/>
                <w:sz w:val="24"/>
                <w:szCs w:val="24"/>
                <w:highlight w:val="none"/>
                <w14:textFill>
                  <w14:solidFill>
                    <w14:schemeClr w14:val="tx1"/>
                  </w14:solidFill>
                </w14:textFill>
              </w:rPr>
              <w:t>，无与本项目有关的</w:t>
            </w:r>
            <w:r>
              <w:rPr>
                <w:rFonts w:hint="eastAsia" w:ascii="宋体" w:hAnsi="宋体" w:eastAsia="宋体" w:cs="宋体"/>
                <w:snapToGrid/>
                <w:color w:val="000000" w:themeColor="text1"/>
                <w:spacing w:val="0"/>
                <w:kern w:val="0"/>
                <w:position w:val="0"/>
                <w:sz w:val="24"/>
                <w:szCs w:val="24"/>
                <w:highlight w:val="none"/>
                <w:lang w:val="en-US" w:eastAsia="zh-CN"/>
                <w14:textFill>
                  <w14:solidFill>
                    <w14:schemeClr w14:val="tx1"/>
                  </w14:solidFill>
                </w14:textFill>
              </w:rPr>
              <w:t>原</w:t>
            </w:r>
            <w:r>
              <w:rPr>
                <w:rFonts w:ascii="Times New Roman" w:hAnsi="Times New Roman"/>
                <w:bCs/>
                <w:snapToGrid/>
                <w:color w:val="000000" w:themeColor="text1"/>
                <w:spacing w:val="0"/>
                <w:kern w:val="0"/>
                <w:position w:val="0"/>
                <w:szCs w:val="24"/>
                <w:highlight w:val="none"/>
                <w14:textFill>
                  <w14:solidFill>
                    <w14:schemeClr w14:val="tx1"/>
                  </w14:solidFill>
                </w14:textFill>
              </w:rPr>
              <w:t>有环境污染问题</w:t>
            </w:r>
            <w:r>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t>。</w:t>
            </w:r>
          </w:p>
          <w:p w14:paraId="730DED0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1F4F008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065B8E0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48AFBFF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09B49A5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30B1207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147E2B5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5E1E0EF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2F23D59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5B9BC7B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25FD38C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0D4AFCF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2664158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2B3A4E7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1248919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5C2BD73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68BDD00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7C7B5BCE">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7B029BF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46D1B0F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759FCDB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48F1037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290C1FC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6C75A15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5D25268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160CD14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4F8EB3B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5C205E7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highlight w:val="none"/>
                <w:lang w:eastAsia="zh-CN"/>
                <w14:textFill>
                  <w14:solidFill>
                    <w14:schemeClr w14:val="tx1"/>
                  </w14:solidFill>
                </w14:textFill>
              </w:rPr>
            </w:pPr>
          </w:p>
          <w:p w14:paraId="4E40BD3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Cs/>
                <w:snapToGrid/>
                <w:color w:val="000000" w:themeColor="text1"/>
                <w:spacing w:val="0"/>
                <w:kern w:val="0"/>
                <w:position w:val="0"/>
                <w:szCs w:val="24"/>
                <w:lang w:eastAsia="zh-CN"/>
                <w14:textFill>
                  <w14:solidFill>
                    <w14:schemeClr w14:val="tx1"/>
                  </w14:solidFill>
                </w14:textFill>
              </w:rPr>
            </w:pPr>
          </w:p>
          <w:p w14:paraId="56D7B09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p>
        </w:tc>
      </w:tr>
    </w:tbl>
    <w:p w14:paraId="60298472">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rFonts w:ascii="黑体" w:hAnsi="黑体" w:eastAsia="黑体"/>
          <w:snapToGrid/>
          <w:color w:val="000000" w:themeColor="text1"/>
          <w:spacing w:val="0"/>
          <w:kern w:val="0"/>
          <w:position w:val="0"/>
          <w:sz w:val="36"/>
          <w:szCs w:val="36"/>
          <w14:textFill>
            <w14:solidFill>
              <w14:schemeClr w14:val="tx1"/>
            </w14:solidFill>
          </w14:textFill>
        </w:rPr>
        <w:sectPr>
          <w:headerReference r:id="rId7" w:type="default"/>
          <w:pgSz w:w="11906" w:h="16838"/>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p>
    <w:p w14:paraId="1F0069D5">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pPr>
      <w:bookmarkStart w:id="7" w:name="_Toc20790"/>
      <w:r>
        <w:rPr>
          <w:rFonts w:hint="eastAsia" w:ascii="黑体" w:hAnsi="黑体" w:eastAsia="黑体"/>
          <w:snapToGrid/>
          <w:color w:val="000000" w:themeColor="text1"/>
          <w:spacing w:val="0"/>
          <w:kern w:val="0"/>
          <w:position w:val="0"/>
          <w:sz w:val="30"/>
          <w:szCs w:val="30"/>
          <w14:textFill>
            <w14:solidFill>
              <w14:schemeClr w14:val="tx1"/>
            </w14:solidFill>
          </w14:textFill>
        </w:rPr>
        <w:t>三、区域环境质量现状、环境保护目标及评价标准</w:t>
      </w:r>
      <w:bookmarkEnd w:id="7"/>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327"/>
      </w:tblGrid>
      <w:tr w14:paraId="5F93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0" w:type="pct"/>
            <w:tcBorders>
              <w:tl2br w:val="nil"/>
              <w:tr2bl w:val="nil"/>
            </w:tcBorders>
            <w:noWrap w:val="0"/>
            <w:vAlign w:val="center"/>
          </w:tcPr>
          <w:p w14:paraId="3788184F">
            <w:pPr>
              <w:adjustRightInd w:val="0"/>
              <w:snapToGrid w:val="0"/>
              <w:jc w:val="center"/>
              <w:rPr>
                <w:rFonts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区域环境质量现状</w:t>
            </w:r>
          </w:p>
        </w:tc>
        <w:tc>
          <w:tcPr>
            <w:tcW w:w="4589" w:type="pct"/>
            <w:tcBorders>
              <w:tl2br w:val="nil"/>
              <w:tr2bl w:val="nil"/>
            </w:tcBorders>
            <w:noWrap w:val="0"/>
            <w:vAlign w:val="center"/>
          </w:tcPr>
          <w:p w14:paraId="654E1AD2">
            <w:pPr>
              <w:pStyle w:val="67"/>
              <w:keepNext w:val="0"/>
              <w:keepLines w:val="0"/>
              <w:pageBreakBefore w:val="0"/>
              <w:widowControl/>
              <w:kinsoku/>
              <w:wordWrap/>
              <w:overflowPunct/>
              <w:topLinePunct w:val="0"/>
              <w:autoSpaceDE/>
              <w:autoSpaceDN/>
              <w:bidi w:val="0"/>
              <w:adjustRightInd/>
              <w:snapToGrid/>
              <w:spacing w:before="157" w:beforeLines="50"/>
              <w:jc w:val="both"/>
              <w:textAlignment w:val="auto"/>
              <w:rPr>
                <w:rFonts w:hint="default" w:ascii="Times New Roman" w:hAnsi="Times New Roman" w:eastAsia="宋体" w:cs="Times New Roman"/>
                <w:snapToGrid/>
                <w:color w:val="000000" w:themeColor="text1"/>
                <w:spacing w:val="0"/>
                <w:kern w:val="0"/>
                <w:position w:val="0"/>
                <w:szCs w:val="22"/>
                <w:shd w:val="clear" w:color="auto" w:fill="FFFFFF"/>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2"/>
                <w:shd w:val="clear" w:color="auto" w:fill="FFFFFF"/>
                <w14:textFill>
                  <w14:solidFill>
                    <w14:schemeClr w14:val="tx1"/>
                  </w14:solidFill>
                </w14:textFill>
              </w:rPr>
              <w:t>1</w:t>
            </w:r>
            <w:r>
              <w:rPr>
                <w:rFonts w:hint="default" w:ascii="Times New Roman" w:hAnsi="Times New Roman" w:eastAsia="宋体" w:cs="Times New Roman"/>
                <w:snapToGrid/>
                <w:color w:val="000000" w:themeColor="text1"/>
                <w:spacing w:val="0"/>
                <w:kern w:val="0"/>
                <w:position w:val="0"/>
                <w:szCs w:val="22"/>
                <w:shd w:val="clear" w:color="auto" w:fill="FFFFFF"/>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Cs w:val="22"/>
                <w:shd w:val="clear" w:color="auto" w:fill="FFFFFF"/>
                <w:lang w:eastAsia="zh-CN"/>
                <w14:textFill>
                  <w14:solidFill>
                    <w14:schemeClr w14:val="tx1"/>
                  </w14:solidFill>
                </w14:textFill>
              </w:rPr>
              <w:t>大气</w:t>
            </w:r>
            <w:r>
              <w:rPr>
                <w:rFonts w:hint="default" w:ascii="Times New Roman" w:hAnsi="Times New Roman" w:eastAsia="宋体" w:cs="Times New Roman"/>
                <w:snapToGrid/>
                <w:color w:val="000000" w:themeColor="text1"/>
                <w:spacing w:val="0"/>
                <w:kern w:val="0"/>
                <w:position w:val="0"/>
                <w:szCs w:val="22"/>
                <w:shd w:val="clear" w:color="auto" w:fill="FFFFFF"/>
                <w14:textFill>
                  <w14:solidFill>
                    <w14:schemeClr w14:val="tx1"/>
                  </w14:solidFill>
                </w14:textFill>
              </w:rPr>
              <w:t>环境</w:t>
            </w:r>
          </w:p>
          <w:p w14:paraId="41569389">
            <w:pPr>
              <w:adjustRightInd/>
              <w:spacing w:line="360" w:lineRule="auto"/>
              <w:ind w:firstLine="480" w:firstLineChars="200"/>
              <w:jc w:val="both"/>
              <w:textAlignment w:val="baseline"/>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kern w:val="0"/>
                <w:sz w:val="24"/>
                <w:szCs w:val="24"/>
                <w:highlight w:val="none"/>
                <w14:textFill>
                  <w14:solidFill>
                    <w14:schemeClr w14:val="tx1"/>
                  </w14:solidFill>
                </w14:textFill>
              </w:rPr>
              <w:t>项目所在区域达标判断</w:t>
            </w:r>
          </w:p>
          <w:p w14:paraId="7B1234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caps w:val="0"/>
                <w:snapToGrid/>
                <w:color w:val="000000" w:themeColor="text1"/>
                <w:spacing w:val="0"/>
                <w:w w:val="100"/>
                <w:kern w:val="0"/>
                <w:position w:val="0"/>
                <w:sz w:val="24"/>
                <w:szCs w:val="24"/>
                <w:highlight w:val="none"/>
                <w14:textFill>
                  <w14:solidFill>
                    <w14:schemeClr w14:val="tx1"/>
                  </w14:solidFill>
                </w14:textFill>
              </w:rPr>
              <w:t>根据江西省生态环境厅网站公布的《20</w:t>
            </w:r>
            <w:r>
              <w:rPr>
                <w:rFonts w:hint="eastAsia" w:ascii="Times New Roman" w:hAnsi="Times New Roman" w:eastAsia="宋体"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2</w:t>
            </w:r>
            <w:r>
              <w:rPr>
                <w:rFonts w:hint="eastAsia"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caps w:val="0"/>
                <w:snapToGrid/>
                <w:color w:val="000000" w:themeColor="text1"/>
                <w:spacing w:val="0"/>
                <w:w w:val="100"/>
                <w:kern w:val="0"/>
                <w:position w:val="0"/>
                <w:sz w:val="24"/>
                <w:szCs w:val="24"/>
                <w:highlight w:val="none"/>
                <w14:textFill>
                  <w14:solidFill>
                    <w14:schemeClr w14:val="tx1"/>
                  </w14:solidFill>
                </w14:textFill>
              </w:rPr>
              <w:t>年江西省各县（市、区）六项污染物浓度平均值》</w:t>
            </w:r>
            <w:r>
              <w:rPr>
                <w:rFonts w:hint="default" w:ascii="Times New Roman" w:hAnsi="Times New Roman" w:eastAsia="宋体"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宁都县空气质量现状</w:t>
            </w:r>
            <w:r>
              <w:rPr>
                <w:rFonts w:hint="eastAsia" w:cs="Times New Roman"/>
                <w:snapToGrid/>
                <w:color w:val="000000" w:themeColor="text1"/>
                <w:spacing w:val="0"/>
                <w:kern w:val="0"/>
                <w:position w:val="0"/>
                <w:sz w:val="24"/>
                <w:szCs w:val="24"/>
                <w:lang w:val="en-US" w:eastAsia="zh-CN"/>
                <w14:textFill>
                  <w14:solidFill>
                    <w14:schemeClr w14:val="tx1"/>
                  </w14:solidFill>
                </w14:textFill>
              </w:rPr>
              <w:t>见表3-1</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p>
          <w:p w14:paraId="03D4E2AE">
            <w:pPr>
              <w:pStyle w:val="19"/>
              <w:spacing w:line="240" w:lineRule="auto"/>
              <w:ind w:firstLine="0" w:firstLineChars="0"/>
              <w:jc w:val="cente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3</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 xml:space="preserve">-1  </w:t>
            </w:r>
            <w:r>
              <w:rPr>
                <w:rFonts w:hint="eastAsia" w:cs="Times New Roman"/>
                <w:b/>
                <w:bCs/>
                <w:snapToGrid/>
                <w:color w:val="000000" w:themeColor="text1"/>
                <w:spacing w:val="0"/>
                <w:kern w:val="0"/>
                <w:position w:val="0"/>
                <w:sz w:val="21"/>
                <w:szCs w:val="21"/>
                <w:lang w:eastAsia="zh-CN"/>
                <w14:textFill>
                  <w14:solidFill>
                    <w14:schemeClr w14:val="tx1"/>
                  </w14:solidFill>
                </w14:textFill>
              </w:rPr>
              <w:t>宁都县</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空气质量现状评价表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单位：</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μg/m</w:t>
            </w:r>
            <w:r>
              <w:rPr>
                <w:rFonts w:hint="default" w:ascii="Times New Roman" w:hAnsi="Times New Roman" w:eastAsia="宋体" w:cs="Times New Roman"/>
                <w:b/>
                <w:bCs/>
                <w:snapToGrid/>
                <w:color w:val="000000" w:themeColor="text1"/>
                <w:spacing w:val="0"/>
                <w:kern w:val="0"/>
                <w:position w:val="0"/>
                <w:sz w:val="21"/>
                <w:szCs w:val="21"/>
                <w:vertAlign w:val="superscript"/>
                <w14:textFill>
                  <w14:solidFill>
                    <w14:schemeClr w14:val="tx1"/>
                  </w14:solidFill>
                </w14:textFill>
              </w:rPr>
              <w:t>3</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365"/>
              <w:gridCol w:w="1755"/>
              <w:gridCol w:w="1630"/>
              <w:gridCol w:w="1271"/>
            </w:tblGrid>
            <w:tr w14:paraId="7C9F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73FC3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污染物</w:t>
                  </w:r>
                </w:p>
              </w:tc>
              <w:tc>
                <w:tcPr>
                  <w:tcW w:w="1460" w:type="pct"/>
                  <w:tcBorders>
                    <w:tl2br w:val="nil"/>
                    <w:tr2bl w:val="nil"/>
                  </w:tcBorders>
                  <w:noWrap w:val="0"/>
                  <w:vAlign w:val="center"/>
                </w:tcPr>
                <w:p w14:paraId="116F3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年评价指标</w:t>
                  </w:r>
                </w:p>
              </w:tc>
              <w:tc>
                <w:tcPr>
                  <w:tcW w:w="1083" w:type="pct"/>
                  <w:tcBorders>
                    <w:tl2br w:val="nil"/>
                    <w:tr2bl w:val="nil"/>
                  </w:tcBorders>
                  <w:noWrap w:val="0"/>
                  <w:vAlign w:val="center"/>
                </w:tcPr>
                <w:p w14:paraId="76569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现状浓度</w:t>
                  </w:r>
                </w:p>
              </w:tc>
              <w:tc>
                <w:tcPr>
                  <w:tcW w:w="1006" w:type="pct"/>
                  <w:tcBorders>
                    <w:tl2br w:val="nil"/>
                    <w:tr2bl w:val="nil"/>
                  </w:tcBorders>
                  <w:noWrap w:val="0"/>
                  <w:vAlign w:val="center"/>
                </w:tcPr>
                <w:p w14:paraId="4BAD24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标准限值</w:t>
                  </w:r>
                </w:p>
              </w:tc>
              <w:tc>
                <w:tcPr>
                  <w:tcW w:w="784" w:type="pct"/>
                  <w:tcBorders>
                    <w:tl2br w:val="nil"/>
                    <w:tr2bl w:val="nil"/>
                  </w:tcBorders>
                  <w:noWrap w:val="0"/>
                  <w:vAlign w:val="center"/>
                </w:tcPr>
                <w:p w14:paraId="1F85B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达标情况</w:t>
                  </w:r>
                </w:p>
              </w:tc>
            </w:tr>
            <w:tr w14:paraId="4596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0DAB0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SO</w:t>
                  </w:r>
                  <w:r>
                    <w:rPr>
                      <w:rFonts w:hint="default" w:ascii="Times New Roman" w:hAnsi="Times New Roman" w:eastAsia="宋体" w:cs="Times New Roman"/>
                      <w:snapToGrid/>
                      <w:color w:val="000000" w:themeColor="text1"/>
                      <w:spacing w:val="0"/>
                      <w:kern w:val="0"/>
                      <w:position w:val="0"/>
                      <w:sz w:val="21"/>
                      <w:szCs w:val="21"/>
                      <w:vertAlign w:val="subscript"/>
                      <w14:textFill>
                        <w14:solidFill>
                          <w14:schemeClr w14:val="tx1"/>
                        </w14:solidFill>
                      </w14:textFill>
                    </w:rPr>
                    <w:t>2</w:t>
                  </w:r>
                </w:p>
              </w:tc>
              <w:tc>
                <w:tcPr>
                  <w:tcW w:w="1460" w:type="pct"/>
                  <w:tcBorders>
                    <w:tl2br w:val="nil"/>
                    <w:tr2bl w:val="nil"/>
                  </w:tcBorders>
                  <w:noWrap w:val="0"/>
                  <w:vAlign w:val="center"/>
                </w:tcPr>
                <w:p w14:paraId="4F6D6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年平均浓度</w:t>
                  </w:r>
                </w:p>
              </w:tc>
              <w:tc>
                <w:tcPr>
                  <w:tcW w:w="1083" w:type="pct"/>
                  <w:tcBorders>
                    <w:tl2br w:val="nil"/>
                    <w:tr2bl w:val="nil"/>
                  </w:tcBorders>
                  <w:noWrap w:val="0"/>
                  <w:vAlign w:val="center"/>
                </w:tcPr>
                <w:p w14:paraId="0DBBB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w:t>
                  </w:r>
                </w:p>
              </w:tc>
              <w:tc>
                <w:tcPr>
                  <w:tcW w:w="1006" w:type="pct"/>
                  <w:tcBorders>
                    <w:tl2br w:val="nil"/>
                    <w:tr2bl w:val="nil"/>
                  </w:tcBorders>
                  <w:noWrap w:val="0"/>
                  <w:vAlign w:val="center"/>
                </w:tcPr>
                <w:p w14:paraId="50760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60</w:t>
                  </w:r>
                </w:p>
              </w:tc>
              <w:tc>
                <w:tcPr>
                  <w:tcW w:w="784" w:type="pct"/>
                  <w:tcBorders>
                    <w:tl2br w:val="nil"/>
                    <w:tr2bl w:val="nil"/>
                  </w:tcBorders>
                  <w:noWrap w:val="0"/>
                  <w:vAlign w:val="center"/>
                </w:tcPr>
                <w:p w14:paraId="7729B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3755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441A2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NO</w:t>
                  </w:r>
                  <w:r>
                    <w:rPr>
                      <w:rFonts w:hint="default" w:ascii="Times New Roman" w:hAnsi="Times New Roman" w:eastAsia="宋体" w:cs="Times New Roman"/>
                      <w:snapToGrid/>
                      <w:color w:val="000000" w:themeColor="text1"/>
                      <w:spacing w:val="0"/>
                      <w:kern w:val="0"/>
                      <w:position w:val="0"/>
                      <w:sz w:val="21"/>
                      <w:szCs w:val="21"/>
                      <w:vertAlign w:val="subscript"/>
                      <w14:textFill>
                        <w14:solidFill>
                          <w14:schemeClr w14:val="tx1"/>
                        </w14:solidFill>
                      </w14:textFill>
                    </w:rPr>
                    <w:t>2</w:t>
                  </w:r>
                </w:p>
              </w:tc>
              <w:tc>
                <w:tcPr>
                  <w:tcW w:w="1460" w:type="pct"/>
                  <w:tcBorders>
                    <w:tl2br w:val="nil"/>
                    <w:tr2bl w:val="nil"/>
                  </w:tcBorders>
                  <w:noWrap w:val="0"/>
                  <w:vAlign w:val="center"/>
                </w:tcPr>
                <w:p w14:paraId="6AB1D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年平均浓度</w:t>
                  </w:r>
                </w:p>
              </w:tc>
              <w:tc>
                <w:tcPr>
                  <w:tcW w:w="1083" w:type="pct"/>
                  <w:tcBorders>
                    <w:tl2br w:val="nil"/>
                    <w:tr2bl w:val="nil"/>
                  </w:tcBorders>
                  <w:noWrap w:val="0"/>
                  <w:vAlign w:val="center"/>
                </w:tcPr>
                <w:p w14:paraId="2C508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13</w:t>
                  </w:r>
                </w:p>
              </w:tc>
              <w:tc>
                <w:tcPr>
                  <w:tcW w:w="1006" w:type="pct"/>
                  <w:tcBorders>
                    <w:tl2br w:val="nil"/>
                    <w:tr2bl w:val="nil"/>
                  </w:tcBorders>
                  <w:noWrap w:val="0"/>
                  <w:vAlign w:val="center"/>
                </w:tcPr>
                <w:p w14:paraId="131DD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40</w:t>
                  </w:r>
                </w:p>
              </w:tc>
              <w:tc>
                <w:tcPr>
                  <w:tcW w:w="784" w:type="pct"/>
                  <w:tcBorders>
                    <w:tl2br w:val="nil"/>
                    <w:tr2bl w:val="nil"/>
                  </w:tcBorders>
                  <w:noWrap w:val="0"/>
                  <w:vAlign w:val="center"/>
                </w:tcPr>
                <w:p w14:paraId="7C4D9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7C9E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18882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PM</w:t>
                  </w:r>
                  <w:r>
                    <w:rPr>
                      <w:rFonts w:hint="default" w:ascii="Times New Roman" w:hAnsi="Times New Roman" w:eastAsia="宋体" w:cs="Times New Roman"/>
                      <w:snapToGrid/>
                      <w:color w:val="000000" w:themeColor="text1"/>
                      <w:spacing w:val="0"/>
                      <w:kern w:val="0"/>
                      <w:position w:val="0"/>
                      <w:sz w:val="21"/>
                      <w:szCs w:val="21"/>
                      <w:vertAlign w:val="subscript"/>
                      <w:lang w:val="en-US" w:eastAsia="zh-CN"/>
                      <w14:textFill>
                        <w14:solidFill>
                          <w14:schemeClr w14:val="tx1"/>
                        </w14:solidFill>
                      </w14:textFill>
                    </w:rPr>
                    <w:t>10</w:t>
                  </w:r>
                </w:p>
              </w:tc>
              <w:tc>
                <w:tcPr>
                  <w:tcW w:w="1460" w:type="pct"/>
                  <w:tcBorders>
                    <w:tl2br w:val="nil"/>
                    <w:tr2bl w:val="nil"/>
                  </w:tcBorders>
                  <w:noWrap w:val="0"/>
                  <w:vAlign w:val="center"/>
                </w:tcPr>
                <w:p w14:paraId="3F44D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年平均浓度</w:t>
                  </w:r>
                </w:p>
              </w:tc>
              <w:tc>
                <w:tcPr>
                  <w:tcW w:w="1083" w:type="pct"/>
                  <w:tcBorders>
                    <w:tl2br w:val="nil"/>
                    <w:tr2bl w:val="nil"/>
                  </w:tcBorders>
                  <w:noWrap w:val="0"/>
                  <w:vAlign w:val="center"/>
                </w:tcPr>
                <w:p w14:paraId="703AF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37</w:t>
                  </w:r>
                </w:p>
              </w:tc>
              <w:tc>
                <w:tcPr>
                  <w:tcW w:w="1006" w:type="pct"/>
                  <w:tcBorders>
                    <w:tl2br w:val="nil"/>
                    <w:tr2bl w:val="nil"/>
                  </w:tcBorders>
                  <w:noWrap w:val="0"/>
                  <w:vAlign w:val="center"/>
                </w:tcPr>
                <w:p w14:paraId="5FA90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70</w:t>
                  </w:r>
                </w:p>
              </w:tc>
              <w:tc>
                <w:tcPr>
                  <w:tcW w:w="784" w:type="pct"/>
                  <w:tcBorders>
                    <w:tl2br w:val="nil"/>
                    <w:tr2bl w:val="nil"/>
                  </w:tcBorders>
                  <w:noWrap w:val="0"/>
                  <w:vAlign w:val="center"/>
                </w:tcPr>
                <w:p w14:paraId="7490F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226D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5EC43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PM</w:t>
                  </w:r>
                  <w:r>
                    <w:rPr>
                      <w:rFonts w:hint="default" w:ascii="Times New Roman" w:hAnsi="Times New Roman" w:eastAsia="宋体" w:cs="Times New Roman"/>
                      <w:snapToGrid/>
                      <w:color w:val="000000" w:themeColor="text1"/>
                      <w:spacing w:val="0"/>
                      <w:kern w:val="0"/>
                      <w:position w:val="0"/>
                      <w:sz w:val="21"/>
                      <w:szCs w:val="21"/>
                      <w:vertAlign w:val="subscript"/>
                      <w:lang w:val="en-US" w:eastAsia="zh-CN"/>
                      <w14:textFill>
                        <w14:solidFill>
                          <w14:schemeClr w14:val="tx1"/>
                        </w14:solidFill>
                      </w14:textFill>
                    </w:rPr>
                    <w:t>2.5</w:t>
                  </w:r>
                </w:p>
              </w:tc>
              <w:tc>
                <w:tcPr>
                  <w:tcW w:w="1460" w:type="pct"/>
                  <w:tcBorders>
                    <w:tl2br w:val="nil"/>
                    <w:tr2bl w:val="nil"/>
                  </w:tcBorders>
                  <w:noWrap w:val="0"/>
                  <w:vAlign w:val="center"/>
                </w:tcPr>
                <w:p w14:paraId="72EFC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年平均浓度</w:t>
                  </w:r>
                </w:p>
              </w:tc>
              <w:tc>
                <w:tcPr>
                  <w:tcW w:w="1083" w:type="pct"/>
                  <w:tcBorders>
                    <w:tl2br w:val="nil"/>
                    <w:tr2bl w:val="nil"/>
                  </w:tcBorders>
                  <w:noWrap w:val="0"/>
                  <w:vAlign w:val="center"/>
                </w:tcPr>
                <w:p w14:paraId="1EC463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16</w:t>
                  </w:r>
                </w:p>
              </w:tc>
              <w:tc>
                <w:tcPr>
                  <w:tcW w:w="1006" w:type="pct"/>
                  <w:tcBorders>
                    <w:tl2br w:val="nil"/>
                    <w:tr2bl w:val="nil"/>
                  </w:tcBorders>
                  <w:noWrap w:val="0"/>
                  <w:vAlign w:val="center"/>
                </w:tcPr>
                <w:p w14:paraId="117CB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35</w:t>
                  </w:r>
                </w:p>
              </w:tc>
              <w:tc>
                <w:tcPr>
                  <w:tcW w:w="784" w:type="pct"/>
                  <w:tcBorders>
                    <w:tl2br w:val="nil"/>
                    <w:tr2bl w:val="nil"/>
                  </w:tcBorders>
                  <w:noWrap w:val="0"/>
                  <w:vAlign w:val="center"/>
                </w:tcPr>
                <w:p w14:paraId="18CAA5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7E71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6F8CBD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CO</w:t>
                  </w:r>
                </w:p>
              </w:tc>
              <w:tc>
                <w:tcPr>
                  <w:tcW w:w="1460" w:type="pct"/>
                  <w:tcBorders>
                    <w:tl2br w:val="nil"/>
                    <w:tr2bl w:val="nil"/>
                  </w:tcBorders>
                  <w:noWrap w:val="0"/>
                  <w:vAlign w:val="center"/>
                </w:tcPr>
                <w:p w14:paraId="5405D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日平均第95百分位数</w:t>
                  </w:r>
                </w:p>
              </w:tc>
              <w:tc>
                <w:tcPr>
                  <w:tcW w:w="1083" w:type="pct"/>
                  <w:tcBorders>
                    <w:tl2br w:val="nil"/>
                    <w:tr2bl w:val="nil"/>
                  </w:tcBorders>
                  <w:noWrap w:val="0"/>
                  <w:vAlign w:val="center"/>
                </w:tcPr>
                <w:p w14:paraId="364B0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1200</w:t>
                  </w:r>
                </w:p>
              </w:tc>
              <w:tc>
                <w:tcPr>
                  <w:tcW w:w="1006" w:type="pct"/>
                  <w:tcBorders>
                    <w:tl2br w:val="nil"/>
                    <w:tr2bl w:val="nil"/>
                  </w:tcBorders>
                  <w:noWrap w:val="0"/>
                  <w:vAlign w:val="center"/>
                </w:tcPr>
                <w:p w14:paraId="529E1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4000</w:t>
                  </w:r>
                </w:p>
              </w:tc>
              <w:tc>
                <w:tcPr>
                  <w:tcW w:w="784" w:type="pct"/>
                  <w:tcBorders>
                    <w:tl2br w:val="nil"/>
                    <w:tr2bl w:val="nil"/>
                  </w:tcBorders>
                  <w:noWrap w:val="0"/>
                  <w:vAlign w:val="center"/>
                </w:tcPr>
                <w:p w14:paraId="4C8AE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r w14:paraId="7F21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56A3B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O</w:t>
                  </w:r>
                  <w:r>
                    <w:rPr>
                      <w:rFonts w:hint="default" w:ascii="Times New Roman" w:hAnsi="Times New Roman" w:eastAsia="宋体" w:cs="Times New Roman"/>
                      <w:snapToGrid/>
                      <w:color w:val="000000" w:themeColor="text1"/>
                      <w:spacing w:val="0"/>
                      <w:kern w:val="0"/>
                      <w:position w:val="0"/>
                      <w:sz w:val="21"/>
                      <w:szCs w:val="21"/>
                      <w:vertAlign w:val="subscript"/>
                      <w14:textFill>
                        <w14:solidFill>
                          <w14:schemeClr w14:val="tx1"/>
                        </w14:solidFill>
                      </w14:textFill>
                    </w:rPr>
                    <w:t>3</w:t>
                  </w:r>
                </w:p>
              </w:tc>
              <w:tc>
                <w:tcPr>
                  <w:tcW w:w="1460" w:type="pct"/>
                  <w:tcBorders>
                    <w:tl2br w:val="nil"/>
                    <w:tr2bl w:val="nil"/>
                  </w:tcBorders>
                  <w:noWrap w:val="0"/>
                  <w:vAlign w:val="center"/>
                </w:tcPr>
                <w:p w14:paraId="08FF7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8h平均第90百分位数</w:t>
                  </w:r>
                </w:p>
              </w:tc>
              <w:tc>
                <w:tcPr>
                  <w:tcW w:w="1083" w:type="pct"/>
                  <w:tcBorders>
                    <w:tl2br w:val="nil"/>
                    <w:tr2bl w:val="nil"/>
                  </w:tcBorders>
                  <w:noWrap w:val="0"/>
                  <w:vAlign w:val="center"/>
                </w:tcPr>
                <w:p w14:paraId="7C77D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1</w:t>
                  </w:r>
                  <w:r>
                    <w:rPr>
                      <w:rFonts w:hint="eastAsia" w:cs="Times New Roman"/>
                      <w:snapToGrid/>
                      <w:color w:val="000000" w:themeColor="text1"/>
                      <w:spacing w:val="0"/>
                      <w:kern w:val="0"/>
                      <w:position w:val="0"/>
                      <w:sz w:val="21"/>
                      <w:szCs w:val="21"/>
                      <w:lang w:val="en-US" w:eastAsia="zh-CN"/>
                      <w14:textFill>
                        <w14:solidFill>
                          <w14:schemeClr w14:val="tx1"/>
                        </w14:solidFill>
                      </w14:textFill>
                    </w:rPr>
                    <w:t>10</w:t>
                  </w:r>
                </w:p>
              </w:tc>
              <w:tc>
                <w:tcPr>
                  <w:tcW w:w="1006" w:type="pct"/>
                  <w:tcBorders>
                    <w:tl2br w:val="nil"/>
                    <w:tr2bl w:val="nil"/>
                  </w:tcBorders>
                  <w:noWrap w:val="0"/>
                  <w:vAlign w:val="center"/>
                </w:tcPr>
                <w:p w14:paraId="64D5F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160</w:t>
                  </w:r>
                </w:p>
              </w:tc>
              <w:tc>
                <w:tcPr>
                  <w:tcW w:w="784" w:type="pct"/>
                  <w:tcBorders>
                    <w:tl2br w:val="nil"/>
                    <w:tr2bl w:val="nil"/>
                  </w:tcBorders>
                  <w:noWrap w:val="0"/>
                  <w:vAlign w:val="center"/>
                </w:tcPr>
                <w:p w14:paraId="16181A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达标</w:t>
                  </w:r>
                </w:p>
              </w:tc>
            </w:tr>
          </w:tbl>
          <w:p w14:paraId="2151E150">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snapToGrid/>
                <w:color w:val="000000" w:themeColor="text1"/>
                <w:spacing w:val="0"/>
                <w:kern w:val="0"/>
                <w:position w:val="0"/>
                <w:sz w:val="24"/>
                <w14:textFill>
                  <w14:solidFill>
                    <w14:schemeClr w14:val="tx1"/>
                  </w14:solidFill>
                </w14:textFill>
              </w:rPr>
            </w:pP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由表3-1可知</w:t>
            </w:r>
            <w:r>
              <w:rPr>
                <w:rFonts w:hint="default" w:ascii="Times New Roman" w:hAnsi="Times New Roman" w:cs="Times New Roman"/>
                <w:snapToGrid/>
                <w:color w:val="000000" w:themeColor="text1"/>
                <w:spacing w:val="0"/>
                <w:kern w:val="0"/>
                <w:position w:val="0"/>
                <w:sz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202</w:t>
            </w: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年</w:t>
            </w:r>
            <w:r>
              <w:rPr>
                <w:rFonts w:hint="eastAsia" w:cs="Times New Roman"/>
                <w:snapToGrid/>
                <w:color w:val="000000" w:themeColor="text1"/>
                <w:spacing w:val="0"/>
                <w:kern w:val="0"/>
                <w:position w:val="0"/>
                <w:sz w:val="24"/>
                <w:szCs w:val="24"/>
                <w:lang w:eastAsia="zh-CN"/>
                <w14:textFill>
                  <w14:solidFill>
                    <w14:schemeClr w14:val="tx1"/>
                  </w14:solidFill>
                </w14:textFill>
              </w:rPr>
              <w:t>宁都县</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全年主要空气污染物SO</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、NO</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、PM</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2.5</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、PM</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10</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、CO、O</w:t>
            </w:r>
            <w:r>
              <w:rPr>
                <w:rFonts w:hint="default" w:ascii="Times New Roman" w:hAnsi="Times New Roman" w:eastAsia="宋体" w:cs="Times New Roman"/>
                <w:snapToGrid/>
                <w:color w:val="000000" w:themeColor="text1"/>
                <w:spacing w:val="0"/>
                <w:kern w:val="0"/>
                <w:position w:val="0"/>
                <w:sz w:val="24"/>
                <w:szCs w:val="24"/>
                <w:vertAlign w:val="subscript"/>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均能达到《环境空气质量标准》（GB3095-2012）中二级标准，表明项目所在区域属于达标区域</w:t>
            </w:r>
            <w:r>
              <w:rPr>
                <w:rFonts w:hint="eastAsia" w:cs="Times New Roman"/>
                <w:snapToGrid/>
                <w:color w:val="000000" w:themeColor="text1"/>
                <w:spacing w:val="0"/>
                <w:kern w:val="0"/>
                <w:position w:val="0"/>
                <w:sz w:val="24"/>
                <w:szCs w:val="24"/>
                <w:lang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评价区域环境空气良好。</w:t>
            </w:r>
          </w:p>
          <w:p w14:paraId="3C9753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pPr>
            <w:r>
              <w:rPr>
                <w:rFonts w:hint="eastAsia" w:cs="Times New Roman"/>
                <w:caps w:val="0"/>
                <w:snapToGrid/>
                <w:color w:val="000000" w:themeColor="text1"/>
                <w:spacing w:val="0"/>
                <w:w w:val="100"/>
                <w:kern w:val="0"/>
                <w:position w:val="0"/>
                <w:sz w:val="24"/>
                <w:szCs w:val="24"/>
                <w:highlight w:val="none"/>
                <w:lang w:eastAsia="zh-CN"/>
                <w14:textFill>
                  <w14:solidFill>
                    <w14:schemeClr w14:val="tx1"/>
                  </w14:solidFill>
                </w14:textFill>
              </w:rPr>
              <w:t>（</w:t>
            </w:r>
            <w:r>
              <w:rPr>
                <w:rFonts w:hint="eastAsia"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2</w:t>
            </w:r>
            <w:r>
              <w:rPr>
                <w:rFonts w:hint="eastAsia" w:cs="Times New Roman"/>
                <w:caps w:val="0"/>
                <w:snapToGrid/>
                <w:color w:val="000000" w:themeColor="text1"/>
                <w:spacing w:val="0"/>
                <w:w w:val="100"/>
                <w:kern w:val="0"/>
                <w:position w:val="0"/>
                <w:sz w:val="24"/>
                <w:szCs w:val="24"/>
                <w:highlight w:val="none"/>
                <w:lang w:eastAsia="zh-CN"/>
                <w14:textFill>
                  <w14:solidFill>
                    <w14:schemeClr w14:val="tx1"/>
                  </w14:solidFill>
                </w14:textFill>
              </w:rPr>
              <w:t>）</w:t>
            </w:r>
            <w:r>
              <w:rPr>
                <w:rFonts w:hint="eastAsia" w:cs="Times New Roman"/>
                <w:caps w:val="0"/>
                <w:snapToGrid/>
                <w:color w:val="000000" w:themeColor="text1"/>
                <w:spacing w:val="0"/>
                <w:w w:val="100"/>
                <w:kern w:val="0"/>
                <w:position w:val="0"/>
                <w:sz w:val="24"/>
                <w:szCs w:val="24"/>
                <w:highlight w:val="none"/>
                <w:lang w:val="en-US" w:eastAsia="zh-CN"/>
                <w14:textFill>
                  <w14:solidFill>
                    <w14:schemeClr w14:val="tx1"/>
                  </w14:solidFill>
                </w14:textFill>
              </w:rPr>
              <w:t>特征污染物</w:t>
            </w:r>
          </w:p>
          <w:p w14:paraId="782FCC1F">
            <w:pPr>
              <w:adjustRightInd w:val="0"/>
              <w:snapToGrid w:val="0"/>
              <w:spacing w:line="360" w:lineRule="auto"/>
              <w:ind w:firstLine="480" w:firstLineChars="200"/>
              <w:jc w:val="both"/>
              <w:rPr>
                <w:rFonts w:hint="default" w:ascii="Times New Roman" w:hAnsi="Times New Roman" w:eastAsia="宋体" w:cs="宋体"/>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1）监测点位、频次</w:t>
            </w:r>
          </w:p>
          <w:p w14:paraId="231B4EBC">
            <w:pPr>
              <w:adjustRightInd w:val="0"/>
              <w:snapToGrid w:val="0"/>
              <w:spacing w:line="360" w:lineRule="auto"/>
              <w:ind w:firstLine="480" w:firstLineChars="200"/>
              <w:jc w:val="both"/>
              <w:rPr>
                <w:rFonts w:hint="eastAsia"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为了解项目所在区域TSP质量状况，本次评价引用《赣州丽华彩印包装有限公司年产3600万平方米纸箱建设项目检测报告》（江西博华环境检测科有限公司，报告编号：BH24041036），监测时间为</w:t>
            </w:r>
            <w:r>
              <w:rPr>
                <w:rFonts w:hint="eastAsia" w:ascii="Times New Roman" w:hAnsi="Times New Roman" w:eastAsia="宋体" w:cs="宋体"/>
                <w:bCs/>
                <w:color w:val="000000" w:themeColor="text1"/>
                <w:kern w:val="0"/>
                <w:sz w:val="24"/>
                <w:szCs w:val="24"/>
                <w14:textFill>
                  <w14:solidFill>
                    <w14:schemeClr w14:val="tx1"/>
                  </w14:solidFill>
                </w14:textFill>
              </w:rPr>
              <w:t>202</w:t>
            </w: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4</w:t>
            </w:r>
            <w:r>
              <w:rPr>
                <w:rFonts w:hint="eastAsia" w:ascii="Times New Roman" w:hAnsi="Times New Roman" w:eastAsia="宋体" w:cs="宋体"/>
                <w:bCs/>
                <w:color w:val="000000" w:themeColor="text1"/>
                <w:kern w:val="0"/>
                <w:sz w:val="24"/>
                <w:szCs w:val="24"/>
                <w14:textFill>
                  <w14:solidFill>
                    <w14:schemeClr w14:val="tx1"/>
                  </w14:solidFill>
                </w14:textFill>
              </w:rPr>
              <w:t>年</w:t>
            </w: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3</w:t>
            </w:r>
            <w:r>
              <w:rPr>
                <w:rFonts w:hint="eastAsia" w:ascii="Times New Roman" w:hAnsi="Times New Roman" w:eastAsia="宋体" w:cs="宋体"/>
                <w:bCs/>
                <w:color w:val="000000" w:themeColor="text1"/>
                <w:kern w:val="0"/>
                <w:sz w:val="24"/>
                <w:szCs w:val="24"/>
                <w14:textFill>
                  <w14:solidFill>
                    <w14:schemeClr w14:val="tx1"/>
                  </w14:solidFill>
                </w14:textFill>
              </w:rPr>
              <w:t>月</w:t>
            </w: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29</w:t>
            </w:r>
            <w:r>
              <w:rPr>
                <w:rFonts w:hint="eastAsia" w:ascii="Times New Roman" w:hAnsi="Times New Roman" w:eastAsia="宋体" w:cs="宋体"/>
                <w:bCs/>
                <w:color w:val="000000" w:themeColor="text1"/>
                <w:kern w:val="0"/>
                <w:sz w:val="24"/>
                <w:szCs w:val="24"/>
                <w14:textFill>
                  <w14:solidFill>
                    <w14:schemeClr w14:val="tx1"/>
                  </w14:solidFill>
                </w14:textFill>
              </w:rPr>
              <w:t>日</w:t>
            </w:r>
            <w:r>
              <w:rPr>
                <w:rFonts w:hint="eastAsia" w:cs="宋体"/>
                <w:bCs/>
                <w:color w:val="000000" w:themeColor="text1"/>
                <w:kern w:val="0"/>
                <w:sz w:val="24"/>
                <w:szCs w:val="24"/>
                <w:lang w:eastAsia="zh-CN"/>
                <w14:textFill>
                  <w14:solidFill>
                    <w14:schemeClr w14:val="tx1"/>
                  </w14:solidFill>
                </w14:textFill>
              </w:rPr>
              <w:t>—</w:t>
            </w: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3</w:t>
            </w:r>
            <w:r>
              <w:rPr>
                <w:rFonts w:hint="eastAsia" w:ascii="Times New Roman" w:hAnsi="Times New Roman" w:eastAsia="宋体" w:cs="宋体"/>
                <w:bCs/>
                <w:color w:val="000000" w:themeColor="text1"/>
                <w:kern w:val="0"/>
                <w:sz w:val="24"/>
                <w:szCs w:val="24"/>
                <w14:textFill>
                  <w14:solidFill>
                    <w14:schemeClr w14:val="tx1"/>
                  </w14:solidFill>
                </w14:textFill>
              </w:rPr>
              <w:t>月</w:t>
            </w:r>
            <w:r>
              <w:rPr>
                <w:rFonts w:hint="eastAsia" w:ascii="Times New Roman" w:hAnsi="Times New Roman" w:eastAsia="宋体" w:cs="宋体"/>
                <w:bCs/>
                <w:color w:val="000000" w:themeColor="text1"/>
                <w:kern w:val="0"/>
                <w:sz w:val="24"/>
                <w:szCs w:val="24"/>
                <w:lang w:val="en-US" w:eastAsia="zh-CN"/>
                <w14:textFill>
                  <w14:solidFill>
                    <w14:schemeClr w14:val="tx1"/>
                  </w14:solidFill>
                </w14:textFill>
              </w:rPr>
              <w:t>31</w:t>
            </w:r>
            <w:r>
              <w:rPr>
                <w:rFonts w:hint="eastAsia" w:ascii="Times New Roman" w:hAnsi="Times New Roman" w:eastAsia="宋体" w:cs="宋体"/>
                <w:bCs/>
                <w:color w:val="000000" w:themeColor="text1"/>
                <w:kern w:val="0"/>
                <w:sz w:val="24"/>
                <w:szCs w:val="24"/>
                <w14:textFill>
                  <w14:solidFill>
                    <w14:schemeClr w14:val="tx1"/>
                  </w14:solidFill>
                </w14:textFill>
              </w:rPr>
              <w:t>日</w:t>
            </w:r>
            <w:r>
              <w:rPr>
                <w:rFonts w:hint="eastAsia" w:ascii="Times New Roman" w:hAnsi="Times New Roman" w:eastAsia="宋体" w:cs="宋体"/>
                <w:bCs/>
                <w:color w:val="000000" w:themeColor="text1"/>
                <w:kern w:val="0"/>
                <w:sz w:val="24"/>
                <w:szCs w:val="24"/>
                <w:lang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监测</w:t>
            </w:r>
            <w:r>
              <w:rPr>
                <w:rFonts w:hint="eastAsia" w:ascii="Times New Roman" w:hAnsi="Times New Roman" w:eastAsia="宋体" w:cs="宋体"/>
                <w:color w:val="000000" w:themeColor="text1"/>
                <w:kern w:val="0"/>
                <w:sz w:val="24"/>
                <w:szCs w:val="24"/>
                <w14:textFill>
                  <w14:solidFill>
                    <w14:schemeClr w14:val="tx1"/>
                  </w14:solidFill>
                </w14:textFill>
              </w:rPr>
              <w:t>点与本项目相对位置见</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图</w:t>
            </w:r>
            <w:r>
              <w:rPr>
                <w:rFonts w:hint="eastAsia" w:cs="宋体"/>
                <w:color w:val="000000" w:themeColor="text1"/>
                <w:kern w:val="0"/>
                <w:sz w:val="24"/>
                <w:szCs w:val="24"/>
                <w:highlight w:val="none"/>
                <w:lang w:val="en-US" w:eastAsia="zh-CN"/>
                <w14:textFill>
                  <w14:solidFill>
                    <w14:schemeClr w14:val="tx1"/>
                  </w14:solidFill>
                </w14:textFill>
              </w:rPr>
              <w:t>3-1</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监测</w:t>
            </w:r>
            <w:r>
              <w:rPr>
                <w:rFonts w:hint="eastAsia" w:ascii="Times New Roman" w:hAnsi="Times New Roman" w:eastAsia="宋体" w:cs="宋体"/>
                <w:color w:val="000000" w:themeColor="text1"/>
                <w:kern w:val="0"/>
                <w:sz w:val="24"/>
                <w:szCs w:val="24"/>
                <w14:textFill>
                  <w14:solidFill>
                    <w14:schemeClr w14:val="tx1"/>
                  </w14:solidFill>
                </w14:textFill>
              </w:rPr>
              <w:t>点位基本信息详见表3-2。</w:t>
            </w:r>
          </w:p>
          <w:p w14:paraId="08775240">
            <w:pPr>
              <w:pStyle w:val="19"/>
              <w:spacing w:line="240" w:lineRule="auto"/>
              <w:ind w:firstLine="0" w:firstLineChars="0"/>
              <w:jc w:val="cente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表3-</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2</w:t>
            </w: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 xml:space="preserve"> </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w:t>
            </w: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监测点位基本信息表</w:t>
            </w:r>
          </w:p>
          <w:tbl>
            <w:tblPr>
              <w:tblStyle w:val="27"/>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91"/>
              <w:gridCol w:w="1449"/>
              <w:gridCol w:w="668"/>
              <w:gridCol w:w="804"/>
              <w:gridCol w:w="751"/>
              <w:gridCol w:w="1307"/>
              <w:gridCol w:w="1613"/>
            </w:tblGrid>
            <w:tr w14:paraId="4AEEE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8" w:type="pct"/>
                  <w:gridSpan w:val="2"/>
                  <w:tcBorders>
                    <w:tl2br w:val="nil"/>
                    <w:tr2bl w:val="nil"/>
                  </w:tcBorders>
                  <w:noWrap w:val="0"/>
                  <w:vAlign w:val="center"/>
                </w:tcPr>
                <w:p w14:paraId="724BBBE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监测点坐标</w:t>
                  </w:r>
                </w:p>
              </w:tc>
              <w:tc>
                <w:tcPr>
                  <w:tcW w:w="413" w:type="pct"/>
                  <w:vMerge w:val="restart"/>
                  <w:tcBorders>
                    <w:tl2br w:val="nil"/>
                    <w:tr2bl w:val="nil"/>
                  </w:tcBorders>
                  <w:noWrap w:val="0"/>
                  <w:vAlign w:val="center"/>
                </w:tcPr>
                <w:p w14:paraId="196B36D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宋体"/>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14:textFill>
                        <w14:solidFill>
                          <w14:schemeClr w14:val="tx1"/>
                        </w14:solidFill>
                      </w14:textFill>
                    </w:rPr>
                    <w:t>点位编号</w:t>
                  </w:r>
                </w:p>
              </w:tc>
              <w:tc>
                <w:tcPr>
                  <w:tcW w:w="497" w:type="pct"/>
                  <w:vMerge w:val="restart"/>
                  <w:tcBorders>
                    <w:tl2br w:val="nil"/>
                    <w:tr2bl w:val="nil"/>
                  </w:tcBorders>
                  <w:noWrap w:val="0"/>
                  <w:vAlign w:val="center"/>
                </w:tcPr>
                <w:p w14:paraId="3EFC9A5A">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宋体"/>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14:textFill>
                        <w14:solidFill>
                          <w14:schemeClr w14:val="tx1"/>
                        </w14:solidFill>
                      </w14:textFill>
                    </w:rPr>
                    <w:t>点位名称</w:t>
                  </w:r>
                </w:p>
              </w:tc>
              <w:tc>
                <w:tcPr>
                  <w:tcW w:w="464" w:type="pct"/>
                  <w:vMerge w:val="restart"/>
                  <w:tcBorders>
                    <w:tl2br w:val="nil"/>
                    <w:tr2bl w:val="nil"/>
                  </w:tcBorders>
                  <w:noWrap w:val="0"/>
                  <w:vAlign w:val="center"/>
                </w:tcPr>
                <w:p w14:paraId="12E86C8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eastAsia"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监测因子</w:t>
                  </w:r>
                </w:p>
              </w:tc>
              <w:tc>
                <w:tcPr>
                  <w:tcW w:w="808" w:type="pct"/>
                  <w:vMerge w:val="restart"/>
                  <w:tcBorders>
                    <w:tl2br w:val="nil"/>
                    <w:tr2bl w:val="nil"/>
                  </w:tcBorders>
                  <w:noWrap w:val="0"/>
                  <w:vAlign w:val="center"/>
                </w:tcPr>
                <w:p w14:paraId="4929D27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相对本项目厂址方位</w:t>
                  </w:r>
                </w:p>
              </w:tc>
              <w:tc>
                <w:tcPr>
                  <w:tcW w:w="997" w:type="pct"/>
                  <w:vMerge w:val="restart"/>
                  <w:tcBorders>
                    <w:tl2br w:val="nil"/>
                    <w:tr2bl w:val="nil"/>
                  </w:tcBorders>
                  <w:noWrap w:val="0"/>
                  <w:vAlign w:val="center"/>
                </w:tcPr>
                <w:p w14:paraId="6BAD55E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相对本项目厂址距离（m）</w:t>
                  </w:r>
                </w:p>
              </w:tc>
            </w:tr>
            <w:tr w14:paraId="33FC7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2" w:type="pct"/>
                  <w:tcBorders>
                    <w:tl2br w:val="nil"/>
                    <w:tr2bl w:val="nil"/>
                  </w:tcBorders>
                  <w:noWrap w:val="0"/>
                  <w:vAlign w:val="center"/>
                </w:tcPr>
                <w:p w14:paraId="08F76C0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东经</w:t>
                  </w:r>
                </w:p>
              </w:tc>
              <w:tc>
                <w:tcPr>
                  <w:tcW w:w="896" w:type="pct"/>
                  <w:tcBorders>
                    <w:tl2br w:val="nil"/>
                    <w:tr2bl w:val="nil"/>
                  </w:tcBorders>
                  <w:noWrap w:val="0"/>
                  <w:vAlign w:val="center"/>
                </w:tcPr>
                <w:p w14:paraId="35D26DA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北纬</w:t>
                  </w:r>
                </w:p>
              </w:tc>
              <w:tc>
                <w:tcPr>
                  <w:tcW w:w="413" w:type="pct"/>
                  <w:vMerge w:val="continue"/>
                  <w:tcBorders>
                    <w:tl2br w:val="nil"/>
                    <w:tr2bl w:val="nil"/>
                  </w:tcBorders>
                  <w:noWrap w:val="0"/>
                  <w:vAlign w:val="center"/>
                </w:tcPr>
                <w:p w14:paraId="0CCEEAB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497" w:type="pct"/>
                  <w:vMerge w:val="continue"/>
                  <w:tcBorders>
                    <w:tl2br w:val="nil"/>
                    <w:tr2bl w:val="nil"/>
                  </w:tcBorders>
                  <w:noWrap w:val="0"/>
                  <w:vAlign w:val="center"/>
                </w:tcPr>
                <w:p w14:paraId="793BF53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464" w:type="pct"/>
                  <w:vMerge w:val="continue"/>
                  <w:tcBorders>
                    <w:tl2br w:val="nil"/>
                    <w:tr2bl w:val="nil"/>
                  </w:tcBorders>
                  <w:noWrap w:val="0"/>
                  <w:vAlign w:val="center"/>
                </w:tcPr>
                <w:p w14:paraId="2E81841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808" w:type="pct"/>
                  <w:vMerge w:val="continue"/>
                  <w:tcBorders>
                    <w:tl2br w:val="nil"/>
                    <w:tr2bl w:val="nil"/>
                  </w:tcBorders>
                  <w:noWrap w:val="0"/>
                  <w:vAlign w:val="center"/>
                </w:tcPr>
                <w:p w14:paraId="761F3AE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97" w:type="pct"/>
                  <w:vMerge w:val="continue"/>
                  <w:tcBorders>
                    <w:tl2br w:val="nil"/>
                    <w:tr2bl w:val="nil"/>
                  </w:tcBorders>
                  <w:noWrap w:val="0"/>
                  <w:vAlign w:val="center"/>
                </w:tcPr>
                <w:p w14:paraId="3332AC9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r>
            <w:tr w14:paraId="7C05B5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2" w:type="pct"/>
                  <w:tcBorders>
                    <w:tl2br w:val="nil"/>
                    <w:tr2bl w:val="nil"/>
                  </w:tcBorders>
                  <w:noWrap w:val="0"/>
                  <w:vAlign w:val="center"/>
                </w:tcPr>
                <w:p w14:paraId="3CEA97C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116°0′28.20</w:t>
                  </w:r>
                  <w:r>
                    <w:rPr>
                      <w:rFonts w:hint="eastAsia" w:ascii="Times New Roman" w:hAnsi="Times New Roman"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896" w:type="pct"/>
                  <w:tcBorders>
                    <w:tl2br w:val="nil"/>
                    <w:tr2bl w:val="nil"/>
                  </w:tcBorders>
                  <w:noWrap w:val="0"/>
                  <w:vAlign w:val="center"/>
                </w:tcPr>
                <w:p w14:paraId="0F4514A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26°25′41.813″</w:t>
                  </w:r>
                </w:p>
              </w:tc>
              <w:tc>
                <w:tcPr>
                  <w:tcW w:w="413" w:type="pct"/>
                  <w:tcBorders>
                    <w:tl2br w:val="nil"/>
                    <w:tr2bl w:val="nil"/>
                  </w:tcBorders>
                  <w:noWrap w:val="0"/>
                  <w:vAlign w:val="center"/>
                </w:tcPr>
                <w:p w14:paraId="1B2022C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A1</w:t>
                  </w:r>
                </w:p>
              </w:tc>
              <w:tc>
                <w:tcPr>
                  <w:tcW w:w="497" w:type="pct"/>
                  <w:tcBorders>
                    <w:tl2br w:val="nil"/>
                    <w:tr2bl w:val="nil"/>
                  </w:tcBorders>
                  <w:noWrap w:val="0"/>
                  <w:vAlign w:val="center"/>
                </w:tcPr>
                <w:p w14:paraId="16E34A7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彭屋</w:t>
                  </w:r>
                </w:p>
              </w:tc>
              <w:tc>
                <w:tcPr>
                  <w:tcW w:w="464" w:type="pct"/>
                  <w:tcBorders>
                    <w:tl2br w:val="nil"/>
                    <w:tr2bl w:val="nil"/>
                  </w:tcBorders>
                  <w:noWrap w:val="0"/>
                  <w:vAlign w:val="center"/>
                </w:tcPr>
                <w:p w14:paraId="6C1F06F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TSP</w:t>
                  </w:r>
                </w:p>
              </w:tc>
              <w:tc>
                <w:tcPr>
                  <w:tcW w:w="808" w:type="pct"/>
                  <w:tcBorders>
                    <w:tl2br w:val="nil"/>
                    <w:tr2bl w:val="nil"/>
                  </w:tcBorders>
                  <w:noWrap w:val="0"/>
                  <w:vAlign w:val="center"/>
                </w:tcPr>
                <w:p w14:paraId="76EB01B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东南</w:t>
                  </w:r>
                </w:p>
              </w:tc>
              <w:tc>
                <w:tcPr>
                  <w:tcW w:w="997" w:type="pct"/>
                  <w:tcBorders>
                    <w:tl2br w:val="nil"/>
                    <w:tr2bl w:val="nil"/>
                  </w:tcBorders>
                  <w:noWrap w:val="0"/>
                  <w:vAlign w:val="center"/>
                </w:tcPr>
                <w:p w14:paraId="11C0C92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tLeast"/>
                    <w:jc w:val="center"/>
                    <w:textAlignment w:val="auto"/>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36</w:t>
                  </w:r>
                  <w:r>
                    <w:rPr>
                      <w:rFonts w:hint="eastAsia" w:cs="宋体"/>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0</w:t>
                  </w:r>
                </w:p>
              </w:tc>
            </w:tr>
          </w:tbl>
          <w:p w14:paraId="492924B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进行一期监测，连续监测</w:t>
            </w:r>
            <w:r>
              <w:rPr>
                <w:rFonts w:hint="eastAsia"/>
                <w:snapToGrid/>
                <w:color w:val="000000" w:themeColor="text1"/>
                <w:spacing w:val="0"/>
                <w:kern w:val="0"/>
                <w:position w:val="0"/>
                <w:sz w:val="24"/>
                <w:highlight w:val="none"/>
                <w:lang w:val="en-US" w:eastAsia="zh-CN"/>
                <w14:textFill>
                  <w14:solidFill>
                    <w14:schemeClr w14:val="tx1"/>
                  </w14:solidFill>
                </w14:textFill>
              </w:rPr>
              <w:t>3</w:t>
            </w:r>
            <w:r>
              <w:rPr>
                <w:snapToGrid/>
                <w:color w:val="000000" w:themeColor="text1"/>
                <w:spacing w:val="0"/>
                <w:kern w:val="0"/>
                <w:position w:val="0"/>
                <w:sz w:val="24"/>
                <w:highlight w:val="none"/>
                <w14:textFill>
                  <w14:solidFill>
                    <w14:schemeClr w14:val="tx1"/>
                  </w14:solidFill>
                </w14:textFill>
              </w:rPr>
              <w:t>天</w:t>
            </w:r>
            <w:r>
              <w:rPr>
                <w:rFonts w:hint="default" w:ascii="Times New Roman" w:hAnsi="Times New Roman" w:eastAsia="宋体" w:cs="Times New Roman"/>
                <w:snapToGrid/>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TSP监测日均值</w:t>
            </w:r>
            <w:r>
              <w:rPr>
                <w:rFonts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w:t>
            </w:r>
          </w:p>
          <w:p w14:paraId="5A9AF4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napToGrid/>
                <w:color w:val="000000" w:themeColor="text1"/>
                <w:spacing w:val="0"/>
                <w:kern w:val="0"/>
                <w:position w:val="0"/>
                <w:sz w:val="24"/>
                <w:highlight w:val="none"/>
                <w14:textFill>
                  <w14:solidFill>
                    <w14:schemeClr w14:val="tx1"/>
                  </w14:solidFill>
                </w14:textFill>
              </w:rPr>
            </w:pPr>
            <w:r>
              <w:rPr>
                <w:rFonts w:hint="eastAsia"/>
                <w:snapToGrid/>
                <w:color w:val="000000" w:themeColor="text1"/>
                <w:spacing w:val="0"/>
                <w:kern w:val="0"/>
                <w:position w:val="0"/>
                <w:sz w:val="24"/>
                <w:highlight w:val="none"/>
                <w:lang w:val="en-US" w:eastAsia="zh-CN"/>
                <w14:textFill>
                  <w14:solidFill>
                    <w14:schemeClr w14:val="tx1"/>
                  </w14:solidFill>
                </w14:textFill>
              </w:rPr>
              <w:t>2）</w:t>
            </w:r>
            <w:r>
              <w:rPr>
                <w:snapToGrid/>
                <w:color w:val="000000" w:themeColor="text1"/>
                <w:spacing w:val="0"/>
                <w:kern w:val="0"/>
                <w:position w:val="0"/>
                <w:sz w:val="24"/>
                <w:highlight w:val="none"/>
                <w14:textFill>
                  <w14:solidFill>
                    <w14:schemeClr w14:val="tx1"/>
                  </w14:solidFill>
                </w14:textFill>
              </w:rPr>
              <w:t>评价方法及评价标准</w:t>
            </w:r>
          </w:p>
          <w:p w14:paraId="5E83CC1D">
            <w:pPr>
              <w:adjustRightInd w:val="0"/>
              <w:snapToGrid w:val="0"/>
              <w:spacing w:line="360" w:lineRule="auto"/>
              <w:ind w:firstLine="480" w:firstLineChars="200"/>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现状评价采用最大浓度占标率P</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的方法对该区域的大气环境质量现状进行评价。P</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的定义如下：P</w:t>
            </w:r>
            <w:r>
              <w:rPr>
                <w:snapToGrid/>
                <w:color w:val="000000" w:themeColor="text1"/>
                <w:spacing w:val="0"/>
                <w:kern w:val="0"/>
                <w:position w:val="0"/>
                <w:sz w:val="24"/>
                <w:highlight w:val="none"/>
                <w:vertAlign w:val="subscript"/>
                <w14:textFill>
                  <w14:solidFill>
                    <w14:schemeClr w14:val="tx1"/>
                  </w14:solidFill>
                </w14:textFill>
              </w:rPr>
              <w:t>i</w:t>
            </w:r>
            <w:r>
              <w:rPr>
                <w:rFonts w:hint="default" w:ascii="Times New Roman" w:hAnsi="Times New Roman" w:cs="Times New Roman"/>
                <w:snapToGrid/>
                <w:color w:val="000000" w:themeColor="text1"/>
                <w:spacing w:val="0"/>
                <w:kern w:val="0"/>
                <w:position w:val="0"/>
                <w:sz w:val="24"/>
                <w:highlight w:val="none"/>
                <w:lang w:val="en-US" w:eastAsia="zh-CN"/>
                <w14:textFill>
                  <w14:solidFill>
                    <w14:schemeClr w14:val="tx1"/>
                  </w14:solidFill>
                </w14:textFill>
              </w:rPr>
              <w:t>≥</w:t>
            </w:r>
            <w:r>
              <w:rPr>
                <w:snapToGrid/>
                <w:color w:val="000000" w:themeColor="text1"/>
                <w:spacing w:val="0"/>
                <w:kern w:val="0"/>
                <w:position w:val="0"/>
                <w:sz w:val="24"/>
                <w:highlight w:val="none"/>
                <w14:textFill>
                  <w14:solidFill>
                    <w14:schemeClr w14:val="tx1"/>
                  </w14:solidFill>
                </w14:textFill>
              </w:rPr>
              <w:t>100%为超标，否则为未超标。</w:t>
            </w:r>
          </w:p>
          <w:p w14:paraId="0A49B896">
            <w:pPr>
              <w:adjustRightInd w:val="0"/>
              <w:snapToGrid w:val="0"/>
              <w:spacing w:line="360" w:lineRule="auto"/>
              <w:jc w:val="center"/>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P</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=C</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/C</w:t>
            </w:r>
            <w:r>
              <w:rPr>
                <w:snapToGrid/>
                <w:color w:val="000000" w:themeColor="text1"/>
                <w:spacing w:val="0"/>
                <w:kern w:val="0"/>
                <w:position w:val="0"/>
                <w:sz w:val="24"/>
                <w:highlight w:val="none"/>
                <w:vertAlign w:val="subscript"/>
                <w14:textFill>
                  <w14:solidFill>
                    <w14:schemeClr w14:val="tx1"/>
                  </w14:solidFill>
                </w14:textFill>
              </w:rPr>
              <w:t>0i</w:t>
            </w:r>
            <w:r>
              <w:rPr>
                <w:snapToGrid/>
                <w:color w:val="000000" w:themeColor="text1"/>
                <w:spacing w:val="0"/>
                <w:kern w:val="0"/>
                <w:position w:val="0"/>
                <w:sz w:val="24"/>
                <w:highlight w:val="none"/>
                <w14:textFill>
                  <w14:solidFill>
                    <w14:schemeClr w14:val="tx1"/>
                  </w14:solidFill>
                </w14:textFill>
              </w:rPr>
              <w:t>×100%</w:t>
            </w:r>
          </w:p>
          <w:p w14:paraId="4DC10D66">
            <w:pPr>
              <w:adjustRightInd w:val="0"/>
              <w:snapToGrid w:val="0"/>
              <w:spacing w:line="360" w:lineRule="auto"/>
              <w:ind w:firstLine="480" w:firstLineChars="200"/>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式中：P</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--第i个污染物的最大浓度占标率，%；</w:t>
            </w:r>
          </w:p>
          <w:p w14:paraId="02ABD05C">
            <w:pPr>
              <w:adjustRightInd w:val="0"/>
              <w:snapToGrid w:val="0"/>
              <w:spacing w:line="360" w:lineRule="auto"/>
              <w:ind w:firstLine="480" w:firstLineChars="200"/>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 xml:space="preserve">      C</w:t>
            </w:r>
            <w:r>
              <w:rPr>
                <w:snapToGrid/>
                <w:color w:val="000000" w:themeColor="text1"/>
                <w:spacing w:val="0"/>
                <w:kern w:val="0"/>
                <w:position w:val="0"/>
                <w:sz w:val="24"/>
                <w:highlight w:val="none"/>
                <w:vertAlign w:val="subscript"/>
                <w14:textFill>
                  <w14:solidFill>
                    <w14:schemeClr w14:val="tx1"/>
                  </w14:solidFill>
                </w14:textFill>
              </w:rPr>
              <w:t>i</w:t>
            </w:r>
            <w:r>
              <w:rPr>
                <w:snapToGrid/>
                <w:color w:val="000000" w:themeColor="text1"/>
                <w:spacing w:val="0"/>
                <w:kern w:val="0"/>
                <w:position w:val="0"/>
                <w:sz w:val="24"/>
                <w:highlight w:val="none"/>
                <w14:textFill>
                  <w14:solidFill>
                    <w14:schemeClr w14:val="tx1"/>
                  </w14:solidFill>
                </w14:textFill>
              </w:rPr>
              <w:t>--第i个污染物的最大浓度，mg/m³；</w:t>
            </w:r>
          </w:p>
          <w:p w14:paraId="7E9339A7">
            <w:pPr>
              <w:adjustRightInd w:val="0"/>
              <w:snapToGrid w:val="0"/>
              <w:spacing w:line="360" w:lineRule="auto"/>
              <w:ind w:firstLine="480" w:firstLineChars="200"/>
              <w:rPr>
                <w:snapToGrid/>
                <w:color w:val="000000" w:themeColor="text1"/>
                <w:spacing w:val="0"/>
                <w:kern w:val="0"/>
                <w:position w:val="0"/>
                <w:sz w:val="24"/>
                <w:highlight w:val="none"/>
                <w14:textFill>
                  <w14:solidFill>
                    <w14:schemeClr w14:val="tx1"/>
                  </w14:solidFill>
                </w14:textFill>
              </w:rPr>
            </w:pPr>
            <w:r>
              <w:rPr>
                <w:snapToGrid/>
                <w:color w:val="000000" w:themeColor="text1"/>
                <w:spacing w:val="0"/>
                <w:kern w:val="0"/>
                <w:position w:val="0"/>
                <w:sz w:val="24"/>
                <w:highlight w:val="none"/>
                <w14:textFill>
                  <w14:solidFill>
                    <w14:schemeClr w14:val="tx1"/>
                  </w14:solidFill>
                </w14:textFill>
              </w:rPr>
              <w:t xml:space="preserve">      C</w:t>
            </w:r>
            <w:r>
              <w:rPr>
                <w:snapToGrid/>
                <w:color w:val="000000" w:themeColor="text1"/>
                <w:spacing w:val="0"/>
                <w:kern w:val="0"/>
                <w:position w:val="0"/>
                <w:sz w:val="24"/>
                <w:highlight w:val="none"/>
                <w:vertAlign w:val="subscript"/>
                <w14:textFill>
                  <w14:solidFill>
                    <w14:schemeClr w14:val="tx1"/>
                  </w14:solidFill>
                </w14:textFill>
              </w:rPr>
              <w:t>0i</w:t>
            </w:r>
            <w:r>
              <w:rPr>
                <w:snapToGrid/>
                <w:color w:val="000000" w:themeColor="text1"/>
                <w:spacing w:val="0"/>
                <w:kern w:val="0"/>
                <w:position w:val="0"/>
                <w:sz w:val="24"/>
                <w:highlight w:val="none"/>
                <w14:textFill>
                  <w14:solidFill>
                    <w14:schemeClr w14:val="tx1"/>
                  </w14:solidFill>
                </w14:textFill>
              </w:rPr>
              <w:t>--第i种污染物的环境空气质量浓度标准，mg/m³。</w:t>
            </w:r>
          </w:p>
          <w:p w14:paraId="1467F4B6">
            <w:pPr>
              <w:adjustRightInd w:val="0"/>
              <w:snapToGrid w:val="0"/>
              <w:spacing w:line="360" w:lineRule="auto"/>
              <w:ind w:firstLine="422" w:firstLineChars="200"/>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pPr>
            <w:r>
              <w:rPr>
                <w:rFonts w:hint="default" w:eastAsia="宋体"/>
                <w:b/>
                <w:bCs/>
                <w:sz w:val="21"/>
                <w:szCs w:val="21"/>
                <w:lang w:val="en-US" w:eastAsia="zh-CN"/>
              </w:rPr>
              <w:drawing>
                <wp:anchor distT="0" distB="0" distL="114300" distR="114300" simplePos="0" relativeHeight="251660288" behindDoc="0" locked="0" layoutInCell="1" allowOverlap="1">
                  <wp:simplePos x="0" y="0"/>
                  <wp:positionH relativeFrom="column">
                    <wp:posOffset>4580890</wp:posOffset>
                  </wp:positionH>
                  <wp:positionV relativeFrom="paragraph">
                    <wp:posOffset>584835</wp:posOffset>
                  </wp:positionV>
                  <wp:extent cx="304800" cy="390525"/>
                  <wp:effectExtent l="0" t="0" r="0" b="9525"/>
                  <wp:wrapNone/>
                  <wp:docPr id="4" name="图片 4"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指北针"/>
                          <pic:cNvPicPr>
                            <a:picLocks noChangeAspect="1"/>
                          </pic:cNvPicPr>
                        </pic:nvPicPr>
                        <pic:blipFill>
                          <a:blip r:embed="rId23"/>
                          <a:stretch>
                            <a:fillRect/>
                          </a:stretch>
                        </pic:blipFill>
                        <pic:spPr>
                          <a:xfrm>
                            <a:off x="0" y="0"/>
                            <a:ext cx="304800" cy="390525"/>
                          </a:xfrm>
                          <a:prstGeom prst="rect">
                            <a:avLst/>
                          </a:prstGeom>
                        </pic:spPr>
                      </pic:pic>
                    </a:graphicData>
                  </a:graphic>
                </wp:anchor>
              </w:drawing>
            </w: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评价标准：本项目区域环境空气执行</w:t>
            </w:r>
            <w:r>
              <w:rPr>
                <w:rFonts w:hint="default" w:ascii="Times New Roman" w:hAnsi="Times New Roman" w:eastAsia="宋体" w:cs="Times New Roman"/>
                <w:snapToGrid/>
                <w:color w:val="000000" w:themeColor="text1"/>
                <w:spacing w:val="0"/>
                <w:kern w:val="0"/>
                <w:position w:val="0"/>
                <w:sz w:val="24"/>
                <w:highlight w:val="none"/>
                <w14:textFill>
                  <w14:solidFill>
                    <w14:schemeClr w14:val="tx1"/>
                  </w14:solidFill>
                </w14:textFill>
              </w:rPr>
              <w:t>《环境空气质量标准》（GB3095-2012）二级标准</w:t>
            </w:r>
            <w:r>
              <w:rPr>
                <w:rFonts w:hint="eastAsia" w:ascii="Times New Roman" w:hAnsi="Times New Roman" w:eastAsia="宋体" w:cs="Times New Roman"/>
                <w:snapToGrid/>
                <w:color w:val="000000" w:themeColor="text1"/>
                <w:spacing w:val="0"/>
                <w:kern w:val="0"/>
                <w:position w:val="0"/>
                <w:sz w:val="24"/>
                <w:highlight w:val="none"/>
                <w:lang w:eastAsia="zh-CN"/>
                <w14:textFill>
                  <w14:solidFill>
                    <w14:schemeClr w14:val="tx1"/>
                  </w14:solidFill>
                </w14:textFill>
              </w:rPr>
              <w:t>。</w:t>
            </w:r>
          </w:p>
          <w:p w14:paraId="75AFB317">
            <w:pPr>
              <w:pStyle w:val="19"/>
              <w:spacing w:line="240" w:lineRule="auto"/>
              <w:ind w:firstLine="0" w:firstLineChars="0"/>
              <w:jc w:val="center"/>
            </w:pPr>
            <w:r>
              <w:rPr>
                <w:sz w:val="24"/>
              </w:rPr>
              <mc:AlternateContent>
                <mc:Choice Requires="wps">
                  <w:drawing>
                    <wp:anchor distT="0" distB="0" distL="114300" distR="114300" simplePos="0" relativeHeight="251659264" behindDoc="0" locked="0" layoutInCell="1" allowOverlap="1">
                      <wp:simplePos x="0" y="0"/>
                      <wp:positionH relativeFrom="column">
                        <wp:posOffset>302895</wp:posOffset>
                      </wp:positionH>
                      <wp:positionV relativeFrom="paragraph">
                        <wp:posOffset>419735</wp:posOffset>
                      </wp:positionV>
                      <wp:extent cx="630555" cy="259080"/>
                      <wp:effectExtent l="4445" t="4445" r="241300" b="22225"/>
                      <wp:wrapNone/>
                      <wp:docPr id="3" name="矩形标注 3"/>
                      <wp:cNvGraphicFramePr/>
                      <a:graphic xmlns:a="http://schemas.openxmlformats.org/drawingml/2006/main">
                        <a:graphicData uri="http://schemas.microsoft.com/office/word/2010/wordprocessingShape">
                          <wps:wsp>
                            <wps:cNvSpPr/>
                            <wps:spPr>
                              <a:xfrm>
                                <a:off x="2106930" y="3322320"/>
                                <a:ext cx="630555" cy="259080"/>
                              </a:xfrm>
                              <a:prstGeom prst="wedgeRectCallout">
                                <a:avLst>
                                  <a:gd name="adj1" fmla="val 85246"/>
                                  <a:gd name="adj2" fmla="val -18577"/>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91640B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85pt;margin-top:33.05pt;height:20.4pt;width:49.65pt;z-index:251659264;v-text-anchor:middle;mso-width-relative:page;mso-height-relative:page;" fillcolor="#FFFFFF [3212]" filled="t" stroked="t" coordsize="21600,21600" o:gfxdata="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I/xh5dkAAAAJAQAADwAAAAAAAAABACAAAAAiAAAAZHJzL2Rv&#10;d25yZXYueG1sUEsBAhQAFAAAAAgAh07iQKJ75HurAgAAVgUAAA4AAAAAAAAAAQAgAAAAKAEAAGRy&#10;cy9lMm9Eb2MueG1sUEsFBgAAAAAGAAYAWQEAAEUGAAAAAA==&#10;" adj="29213,6787">
                      <v:fill on="t" focussize="0,0"/>
                      <v:stroke weight="0.25pt" color="#000000 [3213]" joinstyle="round"/>
                      <v:imagedata o:title=""/>
                      <o:lock v:ext="edit" aspectratio="f"/>
                      <v:textbox>
                        <w:txbxContent>
                          <w:p w14:paraId="191640B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shape>
                  </w:pict>
                </mc:Fallback>
              </mc:AlternateContent>
            </w:r>
            <w:r>
              <w:drawing>
                <wp:inline distT="0" distB="0" distL="114300" distR="114300">
                  <wp:extent cx="4629150" cy="3614420"/>
                  <wp:effectExtent l="0" t="0" r="0" b="508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4"/>
                          <a:stretch>
                            <a:fillRect/>
                          </a:stretch>
                        </pic:blipFill>
                        <pic:spPr>
                          <a:xfrm>
                            <a:off x="0" y="0"/>
                            <a:ext cx="4629150" cy="3614420"/>
                          </a:xfrm>
                          <a:prstGeom prst="rect">
                            <a:avLst/>
                          </a:prstGeom>
                          <a:noFill/>
                          <a:ln>
                            <a:noFill/>
                          </a:ln>
                        </pic:spPr>
                      </pic:pic>
                    </a:graphicData>
                  </a:graphic>
                </wp:inline>
              </w:drawing>
            </w:r>
          </w:p>
          <w:p w14:paraId="1021CFCB">
            <w:pPr>
              <w:pStyle w:val="19"/>
              <w:spacing w:line="240" w:lineRule="auto"/>
              <w:ind w:firstLine="0" w:firstLineChars="0"/>
              <w:jc w:val="center"/>
              <w:rPr>
                <w:rFonts w:hint="default" w:eastAsia="宋体"/>
                <w:b/>
                <w:bCs/>
                <w:sz w:val="21"/>
                <w:szCs w:val="21"/>
                <w:lang w:val="en-US" w:eastAsia="zh-CN"/>
              </w:rPr>
            </w:pPr>
            <w:r>
              <w:rPr>
                <w:rFonts w:hint="eastAsia"/>
                <w:b/>
                <w:bCs/>
                <w:sz w:val="21"/>
                <w:szCs w:val="21"/>
                <w:lang w:val="en-US" w:eastAsia="zh-CN"/>
              </w:rPr>
              <w:t>图3-1  本项目与监测点位相对位置图</w:t>
            </w:r>
          </w:p>
          <w:p w14:paraId="40BF4A4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3）监测结果分析</w:t>
            </w:r>
          </w:p>
          <w:p w14:paraId="664C0798">
            <w:pPr>
              <w:pStyle w:val="19"/>
              <w:spacing w:line="240" w:lineRule="auto"/>
              <w:ind w:firstLine="0" w:firstLineChars="0"/>
              <w:jc w:val="center"/>
              <w:rPr>
                <w:rFonts w:hint="eastAsia" w:ascii="Times New Roman" w:hAnsi="Times New Roman" w:eastAsia="宋体" w:cs="Times New Roman"/>
                <w:b/>
                <w:bCs/>
                <w:snapToGrid/>
                <w:color w:val="000000" w:themeColor="text1"/>
                <w:spacing w:val="0"/>
                <w:kern w:val="0"/>
                <w:position w:val="0"/>
                <w:sz w:val="21"/>
                <w:szCs w:val="21"/>
                <w:lang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表3-</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3</w:t>
            </w: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 xml:space="preserve">  </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大气环境特征污染物</w:t>
            </w: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质量现状监测结果</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一览表</w:t>
            </w:r>
          </w:p>
          <w:tbl>
            <w:tblPr>
              <w:tblStyle w:val="27"/>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337"/>
              <w:gridCol w:w="1020"/>
              <w:gridCol w:w="1129"/>
              <w:gridCol w:w="1277"/>
              <w:gridCol w:w="1069"/>
              <w:gridCol w:w="831"/>
              <w:gridCol w:w="742"/>
            </w:tblGrid>
            <w:tr w14:paraId="4C113D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tcBorders>
                    <w:tl2br w:val="nil"/>
                    <w:tr2bl w:val="nil"/>
                  </w:tcBorders>
                  <w:noWrap w:val="0"/>
                  <w:vAlign w:val="center"/>
                </w:tcPr>
                <w:p w14:paraId="3650F3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监测点位</w:t>
                  </w:r>
                </w:p>
              </w:tc>
              <w:tc>
                <w:tcPr>
                  <w:tcW w:w="824" w:type="pct"/>
                  <w:vMerge w:val="restart"/>
                  <w:tcBorders>
                    <w:tl2br w:val="nil"/>
                    <w:tr2bl w:val="nil"/>
                  </w:tcBorders>
                  <w:noWrap w:val="0"/>
                  <w:vAlign w:val="center"/>
                </w:tcPr>
                <w:p w14:paraId="0275B4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污染物</w:t>
                  </w:r>
                </w:p>
              </w:tc>
              <w:tc>
                <w:tcPr>
                  <w:tcW w:w="629" w:type="pct"/>
                  <w:vMerge w:val="restart"/>
                  <w:tcBorders>
                    <w:tl2br w:val="nil"/>
                    <w:tr2bl w:val="nil"/>
                  </w:tcBorders>
                  <w:noWrap w:val="0"/>
                  <w:vAlign w:val="center"/>
                </w:tcPr>
                <w:p w14:paraId="52A186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平均时间</w:t>
                  </w:r>
                </w:p>
              </w:tc>
              <w:tc>
                <w:tcPr>
                  <w:tcW w:w="696" w:type="pct"/>
                  <w:vMerge w:val="restart"/>
                  <w:tcBorders>
                    <w:tl2br w:val="nil"/>
                    <w:tr2bl w:val="nil"/>
                  </w:tcBorders>
                  <w:noWrap w:val="0"/>
                  <w:vAlign w:val="center"/>
                </w:tcPr>
                <w:p w14:paraId="42C15B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评价标准</w:t>
                  </w:r>
                  <w:r>
                    <w:rPr>
                      <w:rFonts w:ascii="Times New Roman" w:hAnsi="Times New Roman" w:eastAsia="宋体" w:cs="Times New Roman"/>
                      <w:b/>
                      <w:bCs/>
                      <w:color w:val="000000" w:themeColor="text1"/>
                      <w:kern w:val="0"/>
                      <w:sz w:val="21"/>
                      <w:szCs w:val="21"/>
                      <w14:textFill>
                        <w14:solidFill>
                          <w14:schemeClr w14:val="tx1"/>
                        </w14:solidFill>
                      </w14:textFill>
                    </w:rPr>
                    <w:t>µg/m</w:t>
                  </w:r>
                  <w:r>
                    <w:rPr>
                      <w:rFonts w:ascii="Times New Roman" w:hAnsi="Times New Roman" w:eastAsia="宋体" w:cs="Times New Roman"/>
                      <w:b/>
                      <w:bCs/>
                      <w:color w:val="000000" w:themeColor="text1"/>
                      <w:kern w:val="0"/>
                      <w:sz w:val="21"/>
                      <w:szCs w:val="21"/>
                      <w:vertAlign w:val="superscript"/>
                      <w14:textFill>
                        <w14:solidFill>
                          <w14:schemeClr w14:val="tx1"/>
                        </w14:solidFill>
                      </w14:textFill>
                    </w:rPr>
                    <w:t>3</w:t>
                  </w:r>
                </w:p>
              </w:tc>
              <w:tc>
                <w:tcPr>
                  <w:tcW w:w="787" w:type="pct"/>
                  <w:vMerge w:val="restart"/>
                  <w:tcBorders>
                    <w:tl2br w:val="nil"/>
                    <w:tr2bl w:val="nil"/>
                  </w:tcBorders>
                  <w:noWrap w:val="0"/>
                  <w:vAlign w:val="center"/>
                </w:tcPr>
                <w:p w14:paraId="3DFC87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监测浓度范围</w:t>
                  </w:r>
                  <w:r>
                    <w:rPr>
                      <w:rFonts w:ascii="Times New Roman" w:hAnsi="Times New Roman" w:eastAsia="宋体" w:cs="Times New Roman"/>
                      <w:b/>
                      <w:bCs/>
                      <w:color w:val="000000" w:themeColor="text1"/>
                      <w:kern w:val="0"/>
                      <w:sz w:val="21"/>
                      <w:szCs w:val="21"/>
                      <w14:textFill>
                        <w14:solidFill>
                          <w14:schemeClr w14:val="tx1"/>
                        </w14:solidFill>
                      </w14:textFill>
                    </w:rPr>
                    <w:t>µg/m</w:t>
                  </w:r>
                  <w:r>
                    <w:rPr>
                      <w:rFonts w:ascii="Times New Roman" w:hAnsi="Times New Roman" w:eastAsia="宋体" w:cs="Times New Roman"/>
                      <w:b/>
                      <w:bCs/>
                      <w:color w:val="000000" w:themeColor="text1"/>
                      <w:kern w:val="0"/>
                      <w:sz w:val="21"/>
                      <w:szCs w:val="21"/>
                      <w:vertAlign w:val="superscript"/>
                      <w14:textFill>
                        <w14:solidFill>
                          <w14:schemeClr w14:val="tx1"/>
                        </w14:solidFill>
                      </w14:textFill>
                    </w:rPr>
                    <w:t>3</w:t>
                  </w:r>
                </w:p>
              </w:tc>
              <w:tc>
                <w:tcPr>
                  <w:tcW w:w="659" w:type="pct"/>
                  <w:vMerge w:val="restart"/>
                  <w:tcBorders>
                    <w:tl2br w:val="nil"/>
                    <w:tr2bl w:val="nil"/>
                  </w:tcBorders>
                  <w:noWrap w:val="0"/>
                  <w:vAlign w:val="center"/>
                </w:tcPr>
                <w:p w14:paraId="6EDE8B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最大浓度占标率</w:t>
                  </w:r>
                  <w:r>
                    <w:rPr>
                      <w:rFonts w:ascii="Times New Roman" w:hAnsi="Times New Roman" w:eastAsia="宋体" w:cs="Times New Roman"/>
                      <w:b/>
                      <w:bCs/>
                      <w:color w:val="000000" w:themeColor="text1"/>
                      <w:kern w:val="0"/>
                      <w:sz w:val="21"/>
                      <w:szCs w:val="21"/>
                      <w14:textFill>
                        <w14:solidFill>
                          <w14:schemeClr w14:val="tx1"/>
                        </w14:solidFill>
                      </w14:textFill>
                    </w:rPr>
                    <w:t>/%</w:t>
                  </w:r>
                </w:p>
              </w:tc>
              <w:tc>
                <w:tcPr>
                  <w:tcW w:w="512" w:type="pct"/>
                  <w:vMerge w:val="restart"/>
                  <w:tcBorders>
                    <w:tl2br w:val="nil"/>
                    <w:tr2bl w:val="nil"/>
                  </w:tcBorders>
                  <w:noWrap w:val="0"/>
                  <w:vAlign w:val="center"/>
                </w:tcPr>
                <w:p w14:paraId="67DAC4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超标率</w:t>
                  </w:r>
                  <w:r>
                    <w:rPr>
                      <w:rFonts w:ascii="Times New Roman" w:hAnsi="Times New Roman" w:eastAsia="宋体" w:cs="Times New Roman"/>
                      <w:b/>
                      <w:bCs/>
                      <w:color w:val="000000" w:themeColor="text1"/>
                      <w:kern w:val="0"/>
                      <w:sz w:val="21"/>
                      <w:szCs w:val="21"/>
                      <w14:textFill>
                        <w14:solidFill>
                          <w14:schemeClr w14:val="tx1"/>
                        </w14:solidFill>
                      </w14:textFill>
                    </w:rPr>
                    <w:t>/%</w:t>
                  </w:r>
                </w:p>
              </w:tc>
              <w:tc>
                <w:tcPr>
                  <w:tcW w:w="457" w:type="pct"/>
                  <w:vMerge w:val="restart"/>
                  <w:tcBorders>
                    <w:tl2br w:val="nil"/>
                    <w:tr2bl w:val="nil"/>
                  </w:tcBorders>
                  <w:noWrap w:val="0"/>
                  <w:vAlign w:val="center"/>
                </w:tcPr>
                <w:p w14:paraId="674BF1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达标情况</w:t>
                  </w:r>
                </w:p>
              </w:tc>
            </w:tr>
            <w:tr w14:paraId="2A7F15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noWrap w:val="0"/>
                  <w:vAlign w:val="center"/>
                </w:tcPr>
                <w:p w14:paraId="34C3F8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824" w:type="pct"/>
                  <w:vMerge w:val="continue"/>
                  <w:tcBorders>
                    <w:tl2br w:val="nil"/>
                    <w:tr2bl w:val="nil"/>
                  </w:tcBorders>
                  <w:noWrap w:val="0"/>
                  <w:vAlign w:val="center"/>
                </w:tcPr>
                <w:p w14:paraId="4C6FCE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629" w:type="pct"/>
                  <w:vMerge w:val="continue"/>
                  <w:tcBorders>
                    <w:tl2br w:val="nil"/>
                    <w:tr2bl w:val="nil"/>
                  </w:tcBorders>
                  <w:noWrap w:val="0"/>
                  <w:vAlign w:val="center"/>
                </w:tcPr>
                <w:p w14:paraId="432AEA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696" w:type="pct"/>
                  <w:vMerge w:val="continue"/>
                  <w:tcBorders>
                    <w:tl2br w:val="nil"/>
                    <w:tr2bl w:val="nil"/>
                  </w:tcBorders>
                  <w:noWrap w:val="0"/>
                  <w:vAlign w:val="center"/>
                </w:tcPr>
                <w:p w14:paraId="5FBC03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787" w:type="pct"/>
                  <w:vMerge w:val="continue"/>
                  <w:tcBorders>
                    <w:tl2br w:val="nil"/>
                    <w:tr2bl w:val="nil"/>
                  </w:tcBorders>
                  <w:noWrap w:val="0"/>
                  <w:vAlign w:val="center"/>
                </w:tcPr>
                <w:p w14:paraId="1FB29C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659" w:type="pct"/>
                  <w:vMerge w:val="continue"/>
                  <w:tcBorders>
                    <w:tl2br w:val="nil"/>
                    <w:tr2bl w:val="nil"/>
                  </w:tcBorders>
                  <w:noWrap w:val="0"/>
                  <w:vAlign w:val="center"/>
                </w:tcPr>
                <w:p w14:paraId="1E9C37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12" w:type="pct"/>
                  <w:vMerge w:val="continue"/>
                  <w:tcBorders>
                    <w:tl2br w:val="nil"/>
                    <w:tr2bl w:val="nil"/>
                  </w:tcBorders>
                  <w:noWrap w:val="0"/>
                  <w:vAlign w:val="center"/>
                </w:tcPr>
                <w:p w14:paraId="46357A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57" w:type="pct"/>
                  <w:vMerge w:val="continue"/>
                  <w:tcBorders>
                    <w:tl2br w:val="nil"/>
                    <w:tr2bl w:val="nil"/>
                  </w:tcBorders>
                  <w:noWrap w:val="0"/>
                  <w:vAlign w:val="center"/>
                </w:tcPr>
                <w:p w14:paraId="6571D1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57D142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tcBorders>
                    <w:tl2br w:val="nil"/>
                    <w:tr2bl w:val="nil"/>
                  </w:tcBorders>
                  <w:noWrap w:val="0"/>
                  <w:vAlign w:val="center"/>
                </w:tcPr>
                <w:p w14:paraId="7F3373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A1</w:t>
                  </w:r>
                </w:p>
              </w:tc>
              <w:tc>
                <w:tcPr>
                  <w:tcW w:w="824" w:type="pct"/>
                  <w:tcBorders>
                    <w:tl2br w:val="nil"/>
                    <w:tr2bl w:val="nil"/>
                  </w:tcBorders>
                  <w:noWrap w:val="0"/>
                  <w:vAlign w:val="center"/>
                </w:tcPr>
                <w:p w14:paraId="0EBAA4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TSP</w:t>
                  </w:r>
                </w:p>
              </w:tc>
              <w:tc>
                <w:tcPr>
                  <w:tcW w:w="629" w:type="pct"/>
                  <w:tcBorders>
                    <w:tl2br w:val="nil"/>
                    <w:tr2bl w:val="nil"/>
                  </w:tcBorders>
                  <w:noWrap w:val="0"/>
                  <w:vAlign w:val="center"/>
                </w:tcPr>
                <w:p w14:paraId="7AD631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日平均</w:t>
                  </w:r>
                </w:p>
              </w:tc>
              <w:tc>
                <w:tcPr>
                  <w:tcW w:w="696" w:type="pct"/>
                  <w:tcBorders>
                    <w:tl2br w:val="nil"/>
                    <w:tr2bl w:val="nil"/>
                  </w:tcBorders>
                  <w:noWrap w:val="0"/>
                  <w:vAlign w:val="center"/>
                </w:tcPr>
                <w:p w14:paraId="2B0383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787" w:type="pct"/>
                  <w:tcBorders>
                    <w:tl2br w:val="nil"/>
                    <w:tr2bl w:val="nil"/>
                  </w:tcBorders>
                  <w:noWrap w:val="0"/>
                  <w:vAlign w:val="center"/>
                </w:tcPr>
                <w:p w14:paraId="581A60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106</w:t>
                  </w:r>
                </w:p>
              </w:tc>
              <w:tc>
                <w:tcPr>
                  <w:tcW w:w="659" w:type="pct"/>
                  <w:tcBorders>
                    <w:tl2br w:val="nil"/>
                    <w:tr2bl w:val="nil"/>
                  </w:tcBorders>
                  <w:noWrap w:val="0"/>
                  <w:vAlign w:val="center"/>
                </w:tcPr>
                <w:p w14:paraId="69CCCA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w:t>
                  </w:r>
                </w:p>
              </w:tc>
              <w:tc>
                <w:tcPr>
                  <w:tcW w:w="512" w:type="pct"/>
                  <w:tcBorders>
                    <w:tl2br w:val="nil"/>
                    <w:tr2bl w:val="nil"/>
                  </w:tcBorders>
                  <w:noWrap w:val="0"/>
                  <w:vAlign w:val="center"/>
                </w:tcPr>
                <w:p w14:paraId="5E1F0F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457" w:type="pct"/>
                  <w:tcBorders>
                    <w:tl2br w:val="nil"/>
                    <w:tr2bl w:val="nil"/>
                  </w:tcBorders>
                  <w:noWrap w:val="0"/>
                  <w:vAlign w:val="center"/>
                </w:tcPr>
                <w:p w14:paraId="688D2B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达标</w:t>
                  </w:r>
                </w:p>
              </w:tc>
            </w:tr>
          </w:tbl>
          <w:p w14:paraId="78564697">
            <w:pPr>
              <w:keepNext w:val="0"/>
              <w:keepLines w:val="0"/>
              <w:pageBreakBefore w:val="0"/>
              <w:widowControl w:val="0"/>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snapToGrid/>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highlight w:val="none"/>
                <w:lang w:val="en-US" w:eastAsia="zh-CN"/>
                <w14:textFill>
                  <w14:solidFill>
                    <w14:schemeClr w14:val="tx1"/>
                  </w14:solidFill>
                </w14:textFill>
              </w:rPr>
              <w:t>由上表可知，项目所在区域TSP监测浓度满足《环境空气质量标准》（GB3095-2012）二级标准限值，表明区域大气环境质量较好，具有环境容量。</w:t>
            </w:r>
          </w:p>
          <w:p w14:paraId="0E5875F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2</w:t>
            </w:r>
            <w:r>
              <w:rPr>
                <w:rFonts w:hint="default" w:ascii="Times New Roman" w:hAnsi="Times New Roman" w:eastAsia="宋体" w:cs="Times New Roman"/>
                <w:b/>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地表水</w:t>
            </w:r>
            <w:r>
              <w:rPr>
                <w:rFonts w:hint="eastAsia" w:ascii="Times New Roman" w:hAnsi="Times New Roman" w:eastAsia="宋体" w:cs="Times New Roman"/>
                <w:b/>
                <w:snapToGrid/>
                <w:color w:val="000000" w:themeColor="text1"/>
                <w:spacing w:val="0"/>
                <w:kern w:val="0"/>
                <w:position w:val="0"/>
                <w:sz w:val="24"/>
                <w:szCs w:val="24"/>
                <w:lang w:eastAsia="zh-CN"/>
                <w14:textFill>
                  <w14:solidFill>
                    <w14:schemeClr w14:val="tx1"/>
                  </w14:solidFill>
                </w14:textFill>
              </w:rPr>
              <w:t>环境</w:t>
            </w:r>
          </w:p>
          <w:p w14:paraId="19E175B9">
            <w:pPr>
              <w:spacing w:line="360" w:lineRule="auto"/>
              <w:ind w:firstLine="480" w:firstLineChars="200"/>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根据赣州市生态环境局发</w:t>
            </w:r>
            <w:r>
              <w:rPr>
                <w:rFonts w:hint="eastAsia" w:ascii="宋体" w:hAnsi="宋体" w:eastAsia="宋体" w:cs="宋体"/>
                <w:snapToGrid/>
                <w:color w:val="000000" w:themeColor="text1"/>
                <w:spacing w:val="0"/>
                <w:kern w:val="0"/>
                <w:position w:val="0"/>
                <w:sz w:val="24"/>
                <w:szCs w:val="24"/>
                <w14:textFill>
                  <w14:solidFill>
                    <w14:schemeClr w14:val="tx1"/>
                  </w14:solidFill>
                </w14:textFill>
              </w:rPr>
              <w:t>布的“</w:t>
            </w:r>
            <w: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2023年</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赣州市</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环境质量年</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报</w:t>
            </w:r>
            <w:r>
              <w:rPr>
                <w:rFonts w:hint="eastAsia" w:ascii="宋体" w:hAnsi="宋体" w:eastAsia="宋体" w:cs="宋体"/>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zh-CN"/>
                <w14:textFill>
                  <w14:solidFill>
                    <w14:schemeClr w14:val="tx1"/>
                  </w14:solidFill>
                </w14:textFill>
              </w:rPr>
              <w:t>梅江“青山背”</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断面</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水质能够达到《地表水环境质量标准》（GB3838-2002）中的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Ⅱ</w:t>
            </w:r>
            <w:r>
              <w:rPr>
                <w:rFonts w:hint="eastAsia" w:cs="Times New Roman"/>
                <w:snapToGrid/>
                <w:color w:val="000000" w:themeColor="text1"/>
                <w:spacing w:val="0"/>
                <w:kern w:val="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类标准</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地表水环境质量状况良好。</w:t>
            </w:r>
          </w:p>
          <w:p w14:paraId="37690888">
            <w:pPr>
              <w:spacing w:line="360" w:lineRule="auto"/>
              <w:ind w:firstLine="482" w:firstLineChars="200"/>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3</w:t>
            </w:r>
            <w:r>
              <w:rPr>
                <w:rFonts w:hint="default" w:ascii="Times New Roman" w:hAnsi="Times New Roman" w:eastAsia="宋体" w:cs="Times New Roman"/>
                <w:b/>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声环境质量</w:t>
            </w:r>
          </w:p>
          <w:p w14:paraId="475CBBB7">
            <w:pPr>
              <w:spacing w:line="360" w:lineRule="auto"/>
              <w:ind w:firstLine="480" w:firstLineChars="200"/>
              <w:rPr>
                <w:rFonts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ascii="Times New Roman" w:hAnsi="Times New Roman" w:eastAsia="宋体" w:cs="Times New Roman"/>
                <w:snapToGrid/>
                <w:color w:val="000000" w:themeColor="text1"/>
                <w:spacing w:val="0"/>
                <w:kern w:val="0"/>
                <w:position w:val="0"/>
                <w:sz w:val="24"/>
                <w14:textFill>
                  <w14:solidFill>
                    <w14:schemeClr w14:val="tx1"/>
                  </w14:solidFill>
                </w14:textFill>
              </w:rPr>
              <w:t>本项目厂界外周边50</w:t>
            </w:r>
            <w:r>
              <w:rPr>
                <w:rFonts w:hint="eastAsia" w:cs="Times New Roman"/>
                <w:snapToGrid/>
                <w:color w:val="000000" w:themeColor="text1"/>
                <w:spacing w:val="0"/>
                <w:kern w:val="0"/>
                <w:position w:val="0"/>
                <w:sz w:val="24"/>
                <w:lang w:val="en-US" w:eastAsia="zh-CN"/>
                <w14:textFill>
                  <w14:solidFill>
                    <w14:schemeClr w14:val="tx1"/>
                  </w14:solidFill>
                </w14:textFill>
              </w:rPr>
              <w:t>m</w:t>
            </w:r>
            <w:r>
              <w:rPr>
                <w:rFonts w:ascii="Times New Roman" w:hAnsi="Times New Roman" w:eastAsia="宋体" w:cs="Times New Roman"/>
                <w:snapToGrid/>
                <w:color w:val="000000" w:themeColor="text1"/>
                <w:spacing w:val="0"/>
                <w:kern w:val="0"/>
                <w:position w:val="0"/>
                <w:sz w:val="24"/>
                <w14:textFill>
                  <w14:solidFill>
                    <w14:schemeClr w14:val="tx1"/>
                  </w14:solidFill>
                </w14:textFill>
              </w:rPr>
              <w:t>范围内</w:t>
            </w:r>
            <w:r>
              <w:rPr>
                <w:rFonts w:hint="eastAsia" w:cs="Times New Roman"/>
                <w:snapToGrid/>
                <w:color w:val="000000" w:themeColor="text1"/>
                <w:spacing w:val="0"/>
                <w:kern w:val="0"/>
                <w:position w:val="0"/>
                <w:sz w:val="24"/>
                <w:lang w:val="en-US" w:eastAsia="zh-CN"/>
                <w14:textFill>
                  <w14:solidFill>
                    <w14:schemeClr w14:val="tx1"/>
                  </w14:solidFill>
                </w14:textFill>
              </w:rPr>
              <w:t>无</w:t>
            </w:r>
            <w:r>
              <w:rPr>
                <w:rFonts w:ascii="Times New Roman" w:hAnsi="Times New Roman" w:eastAsia="宋体" w:cs="Times New Roman"/>
                <w:snapToGrid/>
                <w:color w:val="000000" w:themeColor="text1"/>
                <w:spacing w:val="0"/>
                <w:kern w:val="0"/>
                <w:position w:val="0"/>
                <w:sz w:val="24"/>
                <w14:textFill>
                  <w14:solidFill>
                    <w14:schemeClr w14:val="tx1"/>
                  </w14:solidFill>
                </w14:textFill>
              </w:rPr>
              <w:t>声环境保护目标，因此</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可不需进行</w:t>
            </w:r>
            <w:r>
              <w:rPr>
                <w:rFonts w:ascii="Times New Roman" w:hAnsi="Times New Roman" w:eastAsia="宋体" w:cs="Times New Roman"/>
                <w:snapToGrid/>
                <w:color w:val="000000" w:themeColor="text1"/>
                <w:spacing w:val="0"/>
                <w:kern w:val="0"/>
                <w:position w:val="0"/>
                <w:sz w:val="24"/>
                <w14:textFill>
                  <w14:solidFill>
                    <w14:schemeClr w14:val="tx1"/>
                  </w14:solidFill>
                </w14:textFill>
              </w:rPr>
              <w:t>声环境质量现状监测。</w:t>
            </w:r>
          </w:p>
          <w:p w14:paraId="645924C3">
            <w:pPr>
              <w:spacing w:line="360" w:lineRule="auto"/>
              <w:ind w:firstLine="482" w:firstLineChars="200"/>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4</w:t>
            </w:r>
            <w:r>
              <w:rPr>
                <w:rFonts w:hint="default" w:ascii="Times New Roman" w:hAnsi="Times New Roman" w:eastAsia="宋体" w:cs="Times New Roman"/>
                <w:b/>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b/>
                <w:snapToGrid/>
                <w:color w:val="000000" w:themeColor="text1"/>
                <w:spacing w:val="0"/>
                <w:kern w:val="0"/>
                <w:position w:val="0"/>
                <w:sz w:val="24"/>
                <w:szCs w:val="24"/>
                <w14:textFill>
                  <w14:solidFill>
                    <w14:schemeClr w14:val="tx1"/>
                  </w14:solidFill>
                </w14:textFill>
              </w:rPr>
              <w:t>生态环境</w:t>
            </w:r>
          </w:p>
          <w:p w14:paraId="5E61EEE7">
            <w:pPr>
              <w:spacing w:line="360" w:lineRule="auto"/>
              <w:ind w:firstLine="480" w:firstLineChars="200"/>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w:t>
            </w:r>
            <w:r>
              <w:rPr>
                <w:rFonts w:ascii="Times New Roman" w:hAnsi="Times New Roman" w:eastAsia="宋体" w:cs="Times New Roman"/>
                <w:snapToGrid/>
                <w:color w:val="000000" w:themeColor="text1"/>
                <w:spacing w:val="0"/>
                <w:kern w:val="0"/>
                <w:position w:val="0"/>
                <w:sz w:val="24"/>
                <w14:textFill>
                  <w14:solidFill>
                    <w14:schemeClr w14:val="tx1"/>
                  </w14:solidFill>
                </w14:textFill>
              </w:rPr>
              <w:t>项目所在区域生态环境敏感性为一般区域，区域内无珍稀动植物等需特殊保护物种，项目运营期基本不产生有毒有害污染物</w:t>
            </w:r>
            <w:r>
              <w:rPr>
                <w:rFonts w:hint="eastAsia" w:cs="Times New Roman"/>
                <w:snapToGrid/>
                <w:color w:val="000000" w:themeColor="text1"/>
                <w:spacing w:val="0"/>
                <w:kern w:val="0"/>
                <w:position w:val="0"/>
                <w:sz w:val="24"/>
                <w:lang w:eastAsia="zh-CN"/>
                <w14:textFill>
                  <w14:solidFill>
                    <w14:schemeClr w14:val="tx1"/>
                  </w14:solidFill>
                </w14:textFill>
              </w:rPr>
              <w:t>，</w:t>
            </w:r>
            <w:r>
              <w:rPr>
                <w:rFonts w:ascii="Times New Roman" w:hAnsi="Times New Roman" w:eastAsia="宋体" w:cs="Times New Roman"/>
                <w:snapToGrid/>
                <w:color w:val="000000" w:themeColor="text1"/>
                <w:spacing w:val="0"/>
                <w:kern w:val="0"/>
                <w:position w:val="0"/>
                <w:sz w:val="24"/>
                <w14:textFill>
                  <w14:solidFill>
                    <w14:schemeClr w14:val="tx1"/>
                  </w14:solidFill>
                </w14:textFill>
              </w:rPr>
              <w:t>因此本次评价不进行生态环境现状调查与评价。</w:t>
            </w:r>
          </w:p>
          <w:p w14:paraId="5DE12FCF">
            <w:pPr>
              <w:spacing w:line="360" w:lineRule="auto"/>
              <w:ind w:firstLine="482" w:firstLineChars="200"/>
              <w:rPr>
                <w:b/>
                <w:snapToGrid/>
                <w:color w:val="000000" w:themeColor="text1"/>
                <w:spacing w:val="0"/>
                <w:kern w:val="0"/>
                <w:position w:val="0"/>
                <w:sz w:val="24"/>
                <w14:textFill>
                  <w14:solidFill>
                    <w14:schemeClr w14:val="tx1"/>
                  </w14:solidFill>
                </w14:textFill>
              </w:rPr>
            </w:pPr>
            <w:r>
              <w:rPr>
                <w:rFonts w:hint="eastAsia"/>
                <w:b/>
                <w:snapToGrid/>
                <w:color w:val="000000" w:themeColor="text1"/>
                <w:spacing w:val="0"/>
                <w:kern w:val="0"/>
                <w:position w:val="0"/>
                <w:sz w:val="24"/>
                <w14:textFill>
                  <w14:solidFill>
                    <w14:schemeClr w14:val="tx1"/>
                  </w14:solidFill>
                </w14:textFill>
              </w:rPr>
              <w:t>5</w:t>
            </w:r>
            <w:r>
              <w:rPr>
                <w:b/>
                <w:snapToGrid/>
                <w:color w:val="000000" w:themeColor="text1"/>
                <w:spacing w:val="0"/>
                <w:kern w:val="0"/>
                <w:position w:val="0"/>
                <w:sz w:val="24"/>
                <w14:textFill>
                  <w14:solidFill>
                    <w14:schemeClr w14:val="tx1"/>
                  </w14:solidFill>
                </w14:textFill>
              </w:rPr>
              <w:t>、电磁辐射</w:t>
            </w:r>
          </w:p>
          <w:p w14:paraId="67789F7B">
            <w:pPr>
              <w:spacing w:line="360" w:lineRule="auto"/>
              <w:ind w:firstLine="420" w:firstLineChars="175"/>
              <w:rPr>
                <w:rFonts w:hint="eastAsia" w:eastAsia="宋体"/>
                <w:snapToGrid/>
                <w:color w:val="000000" w:themeColor="text1"/>
                <w:spacing w:val="0"/>
                <w:kern w:val="0"/>
                <w:position w:val="0"/>
                <w:sz w:val="24"/>
                <w:lang w:eastAsia="zh-CN"/>
                <w14:textFill>
                  <w14:solidFill>
                    <w14:schemeClr w14:val="tx1"/>
                  </w14:solidFill>
                </w14:textFill>
              </w:rPr>
            </w:pPr>
            <w:r>
              <w:rPr>
                <w:snapToGrid/>
                <w:color w:val="000000" w:themeColor="text1"/>
                <w:spacing w:val="0"/>
                <w:kern w:val="0"/>
                <w:position w:val="0"/>
                <w:sz w:val="24"/>
                <w14:textFill>
                  <w14:solidFill>
                    <w14:schemeClr w14:val="tx1"/>
                  </w14:solidFill>
                </w14:textFill>
              </w:rPr>
              <w:t>无电磁辐射影响</w:t>
            </w:r>
            <w:r>
              <w:rPr>
                <w:rFonts w:hint="eastAsia"/>
                <w:snapToGrid/>
                <w:color w:val="000000" w:themeColor="text1"/>
                <w:spacing w:val="0"/>
                <w:kern w:val="0"/>
                <w:position w:val="0"/>
                <w:sz w:val="24"/>
                <w:lang w:eastAsia="zh-CN"/>
                <w14:textFill>
                  <w14:solidFill>
                    <w14:schemeClr w14:val="tx1"/>
                  </w14:solidFill>
                </w14:textFill>
              </w:rPr>
              <w:t>。</w:t>
            </w:r>
          </w:p>
          <w:p w14:paraId="36CB76E0">
            <w:pPr>
              <w:spacing w:line="360" w:lineRule="auto"/>
              <w:ind w:firstLine="482" w:firstLineChars="200"/>
              <w:rPr>
                <w:rFonts w:hint="eastAsia" w:ascii="Times New Roman" w:hAnsi="Times New Roman" w:eastAsia="宋体" w:cs="Times New Roman"/>
                <w:b/>
                <w:snapToGrid/>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t>6、</w:t>
            </w:r>
            <w:r>
              <w:rPr>
                <w:rFonts w:hint="eastAsia" w:ascii="Times New Roman" w:hAnsi="Times New Roman" w:eastAsia="宋体" w:cs="Times New Roman"/>
                <w:b/>
                <w:snapToGrid/>
                <w:color w:val="000000" w:themeColor="text1"/>
                <w:spacing w:val="0"/>
                <w:kern w:val="0"/>
                <w:position w:val="0"/>
                <w:sz w:val="24"/>
                <w14:textFill>
                  <w14:solidFill>
                    <w14:schemeClr w14:val="tx1"/>
                  </w14:solidFill>
                </w14:textFill>
              </w:rPr>
              <w:t>地下水、土壤环境</w:t>
            </w:r>
          </w:p>
          <w:p w14:paraId="23F91BC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t>根据《</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建设项目环境影响报告表编制技术指南（污染影响类）</w:t>
            </w:r>
            <w:r>
              <w:rPr>
                <w:rFonts w:hint="default"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t>（试行）》</w:t>
            </w:r>
            <w:r>
              <w:rPr>
                <w:rFonts w:hint="eastAsia" w:ascii="Times New Roman" w:hAnsi="Times New Roman" w:eastAsia="宋体" w:cs="Times New Roman"/>
                <w:smallCaps w:val="0"/>
                <w:snapToGrid/>
                <w:color w:val="000000" w:themeColor="text1"/>
                <w:spacing w:val="0"/>
                <w:w w:val="100"/>
                <w:kern w:val="0"/>
                <w:position w:val="0"/>
                <w:sz w:val="24"/>
                <w:szCs w:val="24"/>
                <w14:textFill>
                  <w14:solidFill>
                    <w14:schemeClr w14:val="tx1"/>
                  </w14:solidFill>
                </w14:textFill>
              </w:rPr>
              <w:t>，</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建设单位对</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所用车间</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采取</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硬底化</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等防腐防渗措施</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，不存在裸露的土壤地面，不存在</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地下水及</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土壤污染途径</w:t>
            </w:r>
            <w:r>
              <w:rPr>
                <w:rFonts w:hint="eastAsia"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w:t>
            </w:r>
            <w:r>
              <w:rPr>
                <w:rFonts w:hint="eastAsia" w:cs="Times New Roman"/>
                <w:smallCaps w:val="0"/>
                <w:snapToGrid/>
                <w:color w:val="000000" w:themeColor="text1"/>
                <w:spacing w:val="0"/>
                <w:w w:val="100"/>
                <w:kern w:val="0"/>
                <w:position w:val="0"/>
                <w:sz w:val="24"/>
                <w:szCs w:val="24"/>
                <w:lang w:val="en-US" w:eastAsia="zh-CN"/>
                <w14:textFill>
                  <w14:solidFill>
                    <w14:schemeClr w14:val="tx1"/>
                  </w14:solidFill>
                </w14:textFill>
              </w:rPr>
              <w:t>地下水及</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土壤可不开展土壤环境影响评价</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w:t>
            </w:r>
          </w:p>
        </w:tc>
      </w:tr>
      <w:tr w14:paraId="27E1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tcBorders>
              <w:tl2br w:val="nil"/>
              <w:tr2bl w:val="nil"/>
            </w:tcBorders>
            <w:noWrap w:val="0"/>
            <w:vAlign w:val="center"/>
          </w:tcPr>
          <w:p w14:paraId="53901FC1">
            <w:pPr>
              <w:adjustRightInd w:val="0"/>
              <w:snapToGrid w:val="0"/>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环境保护目标</w:t>
            </w:r>
          </w:p>
        </w:tc>
        <w:tc>
          <w:tcPr>
            <w:tcW w:w="4589" w:type="pct"/>
            <w:tcBorders>
              <w:tl2br w:val="nil"/>
              <w:tr2bl w:val="nil"/>
            </w:tcBorders>
            <w:noWrap w:val="0"/>
            <w:vAlign w:val="center"/>
          </w:tcPr>
          <w:p w14:paraId="773E9BD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评价范围内无文物保护点、风景名胜区、水源地和生态敏感点，评价范围内主要环境敏感目标</w:t>
            </w:r>
            <w:r>
              <w:rPr>
                <w:rFonts w:hint="eastAsia" w:cs="Times New Roman"/>
                <w:snapToGrid/>
                <w:color w:val="000000" w:themeColor="text1"/>
                <w:spacing w:val="0"/>
                <w:kern w:val="0"/>
                <w:position w:val="0"/>
                <w:sz w:val="24"/>
                <w:szCs w:val="24"/>
                <w:lang w:val="en-US" w:eastAsia="zh-CN"/>
                <w14:textFill>
                  <w14:solidFill>
                    <w14:schemeClr w14:val="tx1"/>
                  </w14:solidFill>
                </w14:textFill>
              </w:rPr>
              <w:t>如下：</w:t>
            </w:r>
          </w:p>
          <w:p w14:paraId="1E401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、大气环境</w:t>
            </w:r>
          </w:p>
          <w:p w14:paraId="7A558B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本项目位于</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，厂界外</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500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m范围内无自然保护区、风景名胜区、文化区等保护目标，但</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500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m范围内有</w:t>
            </w:r>
            <w:r>
              <w:rPr>
                <w:rFonts w:hint="eastAsia" w:cs="Times New Roman"/>
                <w:snapToGrid/>
                <w:color w:val="000000" w:themeColor="text1"/>
                <w:spacing w:val="0"/>
                <w:kern w:val="0"/>
                <w:position w:val="0"/>
                <w:sz w:val="24"/>
                <w:szCs w:val="24"/>
                <w:lang w:val="en-US" w:eastAsia="zh-CN"/>
                <w14:textFill>
                  <w14:solidFill>
                    <w14:schemeClr w14:val="tx1"/>
                  </w14:solidFill>
                </w14:textFill>
              </w:rPr>
              <w:t>零散</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居</w:t>
            </w:r>
            <w:r>
              <w:rPr>
                <w:rFonts w:hint="eastAsia" w:cs="Times New Roman"/>
                <w:snapToGrid/>
                <w:color w:val="000000" w:themeColor="text1"/>
                <w:spacing w:val="0"/>
                <w:kern w:val="0"/>
                <w:position w:val="0"/>
                <w:sz w:val="24"/>
                <w:szCs w:val="24"/>
                <w:lang w:val="en-US" w:eastAsia="zh-CN"/>
                <w14:textFill>
                  <w14:solidFill>
                    <w14:schemeClr w14:val="tx1"/>
                  </w14:solidFill>
                </w14:textFill>
              </w:rPr>
              <w:t>民点</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；本项目具体的大气环境保护目标详见下表：</w:t>
            </w:r>
          </w:p>
          <w:p w14:paraId="17698D3A">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3-</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4</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项目周边保护目标分布一览表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809"/>
              <w:gridCol w:w="799"/>
              <w:gridCol w:w="885"/>
              <w:gridCol w:w="1222"/>
              <w:gridCol w:w="1421"/>
              <w:gridCol w:w="804"/>
              <w:gridCol w:w="1233"/>
            </w:tblGrid>
            <w:tr w14:paraId="0AE9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vAlign w:val="center"/>
                </w:tcPr>
                <w:p w14:paraId="21FD5B87">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名称</w:t>
                  </w:r>
                </w:p>
              </w:tc>
              <w:tc>
                <w:tcPr>
                  <w:tcW w:w="992" w:type="pct"/>
                  <w:gridSpan w:val="2"/>
                  <w:vAlign w:val="center"/>
                </w:tcPr>
                <w:p w14:paraId="7887D971">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坐标</w:t>
                  </w:r>
                </w:p>
              </w:tc>
              <w:tc>
                <w:tcPr>
                  <w:tcW w:w="546" w:type="pct"/>
                  <w:vMerge w:val="restart"/>
                  <w:vAlign w:val="center"/>
                </w:tcPr>
                <w:p w14:paraId="25A9564D">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保护</w:t>
                  </w:r>
                </w:p>
                <w:p w14:paraId="30418607">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对象</w:t>
                  </w:r>
                </w:p>
              </w:tc>
              <w:tc>
                <w:tcPr>
                  <w:tcW w:w="754" w:type="pct"/>
                  <w:vMerge w:val="restart"/>
                  <w:vAlign w:val="center"/>
                </w:tcPr>
                <w:p w14:paraId="24BC9A12">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保护内容</w:t>
                  </w:r>
                </w:p>
              </w:tc>
              <w:tc>
                <w:tcPr>
                  <w:tcW w:w="877" w:type="pct"/>
                  <w:vMerge w:val="restart"/>
                  <w:vAlign w:val="center"/>
                </w:tcPr>
                <w:p w14:paraId="4F9ED642">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环境功能区</w:t>
                  </w:r>
                </w:p>
              </w:tc>
              <w:tc>
                <w:tcPr>
                  <w:tcW w:w="496" w:type="pct"/>
                  <w:vMerge w:val="restart"/>
                  <w:vAlign w:val="center"/>
                </w:tcPr>
                <w:p w14:paraId="42405693">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相对厂址方位</w:t>
                  </w:r>
                </w:p>
              </w:tc>
              <w:tc>
                <w:tcPr>
                  <w:tcW w:w="761" w:type="pct"/>
                  <w:vMerge w:val="restart"/>
                  <w:vAlign w:val="center"/>
                </w:tcPr>
                <w:p w14:paraId="29DE450E">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14:textFill>
                        <w14:solidFill>
                          <w14:schemeClr w14:val="tx1"/>
                        </w14:solidFill>
                      </w14:textFill>
                    </w:rPr>
                    <w:t>相对厂界距离/m</w:t>
                  </w:r>
                </w:p>
              </w:tc>
            </w:tr>
            <w:tr w14:paraId="73DE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14:paraId="2CEDD3F4">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499" w:type="pct"/>
                  <w:vAlign w:val="center"/>
                </w:tcPr>
                <w:p w14:paraId="714579A4">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i/>
                      <w:i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i/>
                      <w:iCs/>
                      <w:snapToGrid/>
                      <w:color w:val="000000" w:themeColor="text1"/>
                      <w:spacing w:val="0"/>
                      <w:kern w:val="0"/>
                      <w:position w:val="0"/>
                      <w:sz w:val="21"/>
                      <w:szCs w:val="21"/>
                      <w:vertAlign w:val="baseline"/>
                      <w:lang w:val="en-US" w:eastAsia="zh-CN"/>
                      <w14:textFill>
                        <w14:solidFill>
                          <w14:schemeClr w14:val="tx1"/>
                        </w14:solidFill>
                      </w14:textFill>
                    </w:rPr>
                    <w:t>X</w:t>
                  </w:r>
                </w:p>
              </w:tc>
              <w:tc>
                <w:tcPr>
                  <w:tcW w:w="492" w:type="pct"/>
                  <w:vAlign w:val="center"/>
                </w:tcPr>
                <w:p w14:paraId="2AC129F9">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i/>
                      <w:i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bCs/>
                      <w:i/>
                      <w:iCs/>
                      <w:snapToGrid/>
                      <w:color w:val="000000" w:themeColor="text1"/>
                      <w:spacing w:val="0"/>
                      <w:kern w:val="0"/>
                      <w:position w:val="0"/>
                      <w:sz w:val="21"/>
                      <w:szCs w:val="21"/>
                      <w:vertAlign w:val="baseline"/>
                      <w:lang w:val="en-US" w:eastAsia="zh-CN"/>
                      <w14:textFill>
                        <w14:solidFill>
                          <w14:schemeClr w14:val="tx1"/>
                        </w14:solidFill>
                      </w14:textFill>
                    </w:rPr>
                    <w:t>Y</w:t>
                  </w:r>
                </w:p>
              </w:tc>
              <w:tc>
                <w:tcPr>
                  <w:tcW w:w="546" w:type="pct"/>
                  <w:vMerge w:val="continue"/>
                  <w:vAlign w:val="center"/>
                </w:tcPr>
                <w:p w14:paraId="4C3BB076">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754" w:type="pct"/>
                  <w:vMerge w:val="continue"/>
                  <w:vAlign w:val="center"/>
                </w:tcPr>
                <w:p w14:paraId="05414FDF">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877" w:type="pct"/>
                  <w:vMerge w:val="continue"/>
                  <w:vAlign w:val="center"/>
                </w:tcPr>
                <w:p w14:paraId="44FD3B9F">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496" w:type="pct"/>
                  <w:vMerge w:val="continue"/>
                  <w:vAlign w:val="center"/>
                </w:tcPr>
                <w:p w14:paraId="391F9E8B">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761" w:type="pct"/>
                  <w:vMerge w:val="continue"/>
                  <w:vAlign w:val="center"/>
                </w:tcPr>
                <w:p w14:paraId="7AFCECE0">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pPr>
                </w:p>
              </w:tc>
            </w:tr>
            <w:tr w14:paraId="5749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Align w:val="center"/>
                </w:tcPr>
                <w:p w14:paraId="42E594A4">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t>龙勿底</w:t>
                  </w:r>
                </w:p>
              </w:tc>
              <w:tc>
                <w:tcPr>
                  <w:tcW w:w="499" w:type="pct"/>
                  <w:vAlign w:val="center"/>
                </w:tcPr>
                <w:p w14:paraId="3B165A36">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t>-589</w:t>
                  </w:r>
                </w:p>
              </w:tc>
              <w:tc>
                <w:tcPr>
                  <w:tcW w:w="492" w:type="pct"/>
                  <w:vAlign w:val="center"/>
                </w:tcPr>
                <w:p w14:paraId="4F4653EB">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t>110</w:t>
                  </w:r>
                </w:p>
              </w:tc>
              <w:tc>
                <w:tcPr>
                  <w:tcW w:w="546" w:type="pct"/>
                  <w:vAlign w:val="center"/>
                </w:tcPr>
                <w:p w14:paraId="53FA4A75">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t>居民点</w:t>
                  </w:r>
                </w:p>
              </w:tc>
              <w:tc>
                <w:tcPr>
                  <w:tcW w:w="754" w:type="pct"/>
                  <w:vAlign w:val="center"/>
                </w:tcPr>
                <w:p w14:paraId="28558183">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val="0"/>
                      <w:bCs w:val="0"/>
                      <w:snapToGrid/>
                      <w:color w:val="000000" w:themeColor="text1"/>
                      <w:spacing w:val="0"/>
                      <w:kern w:val="0"/>
                      <w:position w:val="0"/>
                      <w:sz w:val="21"/>
                      <w:szCs w:val="21"/>
                      <w:lang w:val="en-US" w:eastAsia="zh-CN"/>
                      <w14:textFill>
                        <w14:solidFill>
                          <w14:schemeClr w14:val="tx1"/>
                        </w14:solidFill>
                      </w14:textFill>
                    </w:rPr>
                    <w:t>6户/24人</w:t>
                  </w:r>
                </w:p>
              </w:tc>
              <w:tc>
                <w:tcPr>
                  <w:tcW w:w="877" w:type="pct"/>
                  <w:vAlign w:val="center"/>
                </w:tcPr>
                <w:p w14:paraId="4E938984">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14:textFill>
                        <w14:solidFill>
                          <w14:schemeClr w14:val="tx1"/>
                        </w14:solidFill>
                      </w14:textFill>
                    </w:rPr>
                    <w:t>GB3095-2012二</w:t>
                  </w:r>
                  <w:r>
                    <w:rPr>
                      <w:rFonts w:hint="eastAsia" w:ascii="Times New Roman" w:hAnsi="Times New Roman" w:eastAsia="宋体" w:cs="Times New Roman"/>
                      <w:b w:val="0"/>
                      <w:bCs w:val="0"/>
                      <w:snapToGrid/>
                      <w:color w:val="000000" w:themeColor="text1"/>
                      <w:spacing w:val="0"/>
                      <w:kern w:val="0"/>
                      <w:position w:val="0"/>
                      <w:sz w:val="21"/>
                      <w:szCs w:val="21"/>
                      <w:lang w:val="en-US" w:eastAsia="zh-CN"/>
                      <w14:textFill>
                        <w14:solidFill>
                          <w14:schemeClr w14:val="tx1"/>
                        </w14:solidFill>
                      </w14:textFill>
                    </w:rPr>
                    <w:t>类区</w:t>
                  </w:r>
                </w:p>
              </w:tc>
              <w:tc>
                <w:tcPr>
                  <w:tcW w:w="496" w:type="pct"/>
                  <w:vAlign w:val="center"/>
                </w:tcPr>
                <w:p w14:paraId="66F06587">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val="0"/>
                      <w:bCs w:val="0"/>
                      <w:snapToGrid/>
                      <w:color w:val="000000" w:themeColor="text1"/>
                      <w:spacing w:val="0"/>
                      <w:kern w:val="0"/>
                      <w:position w:val="0"/>
                      <w:sz w:val="21"/>
                      <w:szCs w:val="21"/>
                      <w:lang w:val="en-US" w:eastAsia="zh-CN"/>
                      <w14:textFill>
                        <w14:solidFill>
                          <w14:schemeClr w14:val="tx1"/>
                        </w14:solidFill>
                      </w14:textFill>
                    </w:rPr>
                    <w:t>西北</w:t>
                  </w:r>
                </w:p>
              </w:tc>
              <w:tc>
                <w:tcPr>
                  <w:tcW w:w="761" w:type="pct"/>
                  <w:vAlign w:val="center"/>
                </w:tcPr>
                <w:p w14:paraId="3FC179FB">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val="0"/>
                      <w:bCs w:val="0"/>
                      <w:snapToGrid/>
                      <w:color w:val="000000" w:themeColor="text1"/>
                      <w:spacing w:val="0"/>
                      <w:kern w:val="0"/>
                      <w:position w:val="0"/>
                      <w:sz w:val="21"/>
                      <w:szCs w:val="21"/>
                      <w:lang w:val="en-US" w:eastAsia="zh-CN"/>
                      <w14:textFill>
                        <w14:solidFill>
                          <w14:schemeClr w14:val="tx1"/>
                        </w14:solidFill>
                      </w14:textFill>
                    </w:rPr>
                    <w:t>437</w:t>
                  </w:r>
                </w:p>
              </w:tc>
            </w:tr>
          </w:tbl>
          <w:p w14:paraId="01DCC27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注：上表中的</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轴坐标值系以项目中心点</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东经</w:t>
            </w:r>
            <w:r>
              <w:rPr>
                <w:rFonts w:hint="default" w:ascii="Times New Roman" w:hAnsi="Times New Roman" w:cs="Times New Roman"/>
                <w:snapToGrid/>
                <w:color w:val="000000" w:themeColor="text1"/>
                <w:spacing w:val="0"/>
                <w:kern w:val="0"/>
                <w:position w:val="0"/>
                <w:sz w:val="21"/>
                <w:szCs w:val="21"/>
                <w:u w:val="none"/>
                <w:shd w:val="clear" w:color="auto" w:fill="auto"/>
                <w:lang w:eastAsia="zh-CN"/>
                <w14:textFill>
                  <w14:solidFill>
                    <w14:schemeClr w14:val="tx1"/>
                  </w14:solidFill>
                </w14:textFill>
              </w:rPr>
              <w:t>115°59′2.044″</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，北纬</w:t>
            </w:r>
            <w:r>
              <w:rPr>
                <w:rFonts w:hint="default" w:ascii="Times New Roman" w:hAnsi="Times New Roman" w:cs="Times New Roman"/>
                <w:snapToGrid/>
                <w:color w:val="000000" w:themeColor="text1"/>
                <w:spacing w:val="0"/>
                <w:kern w:val="0"/>
                <w:position w:val="0"/>
                <w:sz w:val="21"/>
                <w:szCs w:val="21"/>
                <w:u w:val="none"/>
                <w:shd w:val="clear" w:color="auto" w:fill="auto"/>
                <w:lang w:val="en-US" w:eastAsia="zh-CN"/>
                <w14:textFill>
                  <w14:solidFill>
                    <w14:schemeClr w14:val="tx1"/>
                  </w14:solidFill>
                </w14:textFill>
              </w:rPr>
              <w:t>26°27′3.983″</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）为坐标原点（0，0），自西向东</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轴正方向，自南向北为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轴的正方向。该表中敏感目标规模为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500m</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范围内人数，非全部人数。</w:t>
            </w:r>
          </w:p>
          <w:p w14:paraId="3B284A6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2、声环境</w:t>
            </w:r>
          </w:p>
          <w:p w14:paraId="188B4A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本项目厂界外50m范围内无声环境保护目标。</w:t>
            </w:r>
          </w:p>
          <w:p w14:paraId="0ED824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3、地下水环境</w:t>
            </w:r>
          </w:p>
          <w:p w14:paraId="2BB2BD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本项目厂界外</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500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m范围内无地下水集中式饮用水源和热水、矿泉水、温泉等特殊地下水资源。</w:t>
            </w:r>
          </w:p>
          <w:p w14:paraId="43BA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、生态环境</w:t>
            </w:r>
          </w:p>
          <w:p w14:paraId="7A58A4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本项目位于</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，不涉及国家公园、自然保护区、森林公园、风景名胜区、地质公园、湿地公</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园、饮用水水源保护区、水产种质资源保护区和其他类型禁止开发区的核心保护区域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，用地范围内无生态环境保护目标。</w:t>
            </w:r>
          </w:p>
        </w:tc>
      </w:tr>
      <w:tr w14:paraId="534E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410" w:type="pct"/>
            <w:tcBorders>
              <w:tl2br w:val="nil"/>
              <w:tr2bl w:val="nil"/>
            </w:tcBorders>
            <w:noWrap w:val="0"/>
            <w:tcMar>
              <w:left w:w="28" w:type="dxa"/>
              <w:right w:w="28" w:type="dxa"/>
            </w:tcMar>
            <w:vAlign w:val="center"/>
          </w:tcPr>
          <w:p w14:paraId="6346F603">
            <w:pPr>
              <w:adjustRightInd w:val="0"/>
              <w:snapToGrid w:val="0"/>
              <w:jc w:val="center"/>
              <w:rPr>
                <w:rFonts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污染物排放控制标准</w:t>
            </w:r>
          </w:p>
        </w:tc>
        <w:tc>
          <w:tcPr>
            <w:tcW w:w="4589" w:type="pct"/>
            <w:tcBorders>
              <w:tl2br w:val="nil"/>
              <w:tr2bl w:val="nil"/>
            </w:tcBorders>
            <w:noWrap w:val="0"/>
            <w:vAlign w:val="center"/>
          </w:tcPr>
          <w:p w14:paraId="6A3004A3">
            <w:pPr>
              <w:pStyle w:val="67"/>
              <w:keepNext w:val="0"/>
              <w:keepLines w:val="0"/>
              <w:pageBreakBefore w:val="0"/>
              <w:widowControl/>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1</w:t>
            </w:r>
            <w:r>
              <w:rPr>
                <w:rFonts w:hint="default" w:ascii="Times New Roman" w:hAnsi="Times New Roman" w:eastAsia="宋体" w:cs="Times New Roman"/>
                <w:snapToGrid/>
                <w:color w:val="000000" w:themeColor="text1"/>
                <w:spacing w:val="0"/>
                <w:kern w:val="0"/>
                <w:position w:val="0"/>
                <w:szCs w:val="22"/>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废气</w:t>
            </w:r>
          </w:p>
          <w:p w14:paraId="14E9BB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w:t>
            </w:r>
            <w: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施工期</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产生的扬尘执行《大气污染物综合排放标准》（GB16297-1996）表</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中</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无组织监控浓度</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限值</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要求</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cs="Times New Roman"/>
                <w:snapToGrid/>
                <w:color w:val="000000" w:themeColor="text1"/>
                <w:spacing w:val="0"/>
                <w:kern w:val="0"/>
                <w:position w:val="0"/>
                <w:sz w:val="24"/>
                <w:szCs w:val="24"/>
                <w:lang w:eastAsia="zh-CN"/>
                <w14:textFill>
                  <w14:solidFill>
                    <w14:schemeClr w14:val="tx1"/>
                  </w14:solidFill>
                </w14:textFill>
              </w:rPr>
              <w:t>运营</w:t>
            </w:r>
            <w: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期</w:t>
            </w:r>
            <w: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产生的</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粉尘</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执行《水泥工业大气污染物排放标准》（GB</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4915</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2013</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）表</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3排放限值要求</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。具体标准限值见表</w:t>
            </w:r>
            <w:r>
              <w:rPr>
                <w:rFonts w:hint="eastAsia" w:cs="Times New Roman"/>
                <w:snapToGrid/>
                <w:color w:val="000000" w:themeColor="text1"/>
                <w:spacing w:val="0"/>
                <w:kern w:val="0"/>
                <w:position w:val="0"/>
                <w:sz w:val="24"/>
                <w:szCs w:val="24"/>
                <w:lang w:val="en-US" w:eastAsia="zh-CN"/>
                <w14:textFill>
                  <w14:solidFill>
                    <w14:schemeClr w14:val="tx1"/>
                  </w14:solidFill>
                </w14:textFill>
              </w:rPr>
              <w:t>3-5</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p>
          <w:p w14:paraId="523858C2">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3</w:t>
            </w:r>
            <w:r>
              <w:rPr>
                <w:rFonts w:hint="default" w:cs="Times New Roman"/>
                <w:b/>
                <w:bCs/>
                <w:snapToGrid/>
                <w:color w:val="000000" w:themeColor="text1"/>
                <w:spacing w:val="0"/>
                <w:kern w:val="0"/>
                <w:position w:val="0"/>
                <w:sz w:val="21"/>
                <w:szCs w:val="21"/>
                <w:lang w:val="en-US" w:eastAsia="zh-CN"/>
                <w14:textFill>
                  <w14:solidFill>
                    <w14:schemeClr w14:val="tx1"/>
                  </w14:solidFill>
                </w14:textFill>
              </w:rPr>
              <w:t>-5</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废气排放标准  单位：</w:t>
            </w:r>
            <w:r>
              <w:rPr>
                <w:rFonts w:hint="eastAsia"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t>mg/m</w:t>
            </w:r>
            <w:r>
              <w:rPr>
                <w:rFonts w:hint="eastAsia" w:cs="Times New Roman"/>
                <w:b/>
                <w:bCs/>
                <w:snapToGrid/>
                <w:color w:val="000000" w:themeColor="text1"/>
                <w:spacing w:val="0"/>
                <w:kern w:val="0"/>
                <w:position w:val="0"/>
                <w:sz w:val="21"/>
                <w:szCs w:val="21"/>
                <w:vertAlign w:val="superscript"/>
                <w:lang w:val="en-US" w:eastAsia="zh-CN" w:bidi="ar-SA"/>
                <w14:textFill>
                  <w14:solidFill>
                    <w14:schemeClr w14:val="tx1"/>
                  </w14:solidFill>
                </w14:textFill>
              </w:rPr>
              <w:t>3</w:t>
            </w:r>
          </w:p>
          <w:tbl>
            <w:tblPr>
              <w:tblStyle w:val="28"/>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825"/>
              <w:gridCol w:w="2200"/>
              <w:gridCol w:w="2523"/>
            </w:tblGrid>
            <w:tr w14:paraId="31A8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3" w:type="dxa"/>
                  <w:vAlign w:val="center"/>
                </w:tcPr>
                <w:p w14:paraId="62AF2E6C">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t>标准名称</w:t>
                  </w:r>
                </w:p>
              </w:tc>
              <w:tc>
                <w:tcPr>
                  <w:tcW w:w="825" w:type="dxa"/>
                  <w:vAlign w:val="center"/>
                </w:tcPr>
                <w:p w14:paraId="3EDF8FF7">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t>污染物</w:t>
                  </w:r>
                </w:p>
              </w:tc>
              <w:tc>
                <w:tcPr>
                  <w:tcW w:w="2200" w:type="dxa"/>
                  <w:vAlign w:val="center"/>
                </w:tcPr>
                <w:p w14:paraId="07A2E7BA">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t>无组织排放浓度限值</w:t>
                  </w:r>
                </w:p>
              </w:tc>
              <w:tc>
                <w:tcPr>
                  <w:tcW w:w="2523" w:type="dxa"/>
                  <w:vAlign w:val="center"/>
                </w:tcPr>
                <w:p w14:paraId="31B50794">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bCs/>
                      <w:snapToGrid/>
                      <w:color w:val="000000" w:themeColor="text1"/>
                      <w:spacing w:val="0"/>
                      <w:kern w:val="0"/>
                      <w:position w:val="0"/>
                      <w:sz w:val="21"/>
                      <w:szCs w:val="21"/>
                      <w:vertAlign w:val="baseline"/>
                      <w:lang w:val="en-US" w:eastAsia="zh-CN" w:bidi="ar-SA"/>
                      <w14:textFill>
                        <w14:solidFill>
                          <w14:schemeClr w14:val="tx1"/>
                        </w14:solidFill>
                      </w14:textFill>
                    </w:rPr>
                    <w:t>监控位置</w:t>
                  </w:r>
                </w:p>
              </w:tc>
            </w:tr>
            <w:tr w14:paraId="5E6A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3" w:type="dxa"/>
                  <w:vAlign w:val="center"/>
                </w:tcPr>
                <w:p w14:paraId="10A63CAE">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《大气污染物综合排放标准》（GB16297-1996）</w:t>
                  </w:r>
                </w:p>
              </w:tc>
              <w:tc>
                <w:tcPr>
                  <w:tcW w:w="825" w:type="dxa"/>
                  <w:vAlign w:val="center"/>
                </w:tcPr>
                <w:p w14:paraId="72851D41">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颗粒物</w:t>
                  </w:r>
                </w:p>
              </w:tc>
              <w:tc>
                <w:tcPr>
                  <w:tcW w:w="2200" w:type="dxa"/>
                  <w:vAlign w:val="center"/>
                </w:tcPr>
                <w:p w14:paraId="299C395C">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1.0</w:t>
                  </w:r>
                </w:p>
              </w:tc>
              <w:tc>
                <w:tcPr>
                  <w:tcW w:w="2523" w:type="dxa"/>
                  <w:vAlign w:val="center"/>
                </w:tcPr>
                <w:p w14:paraId="4802D1C6">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周界外浓度最高点</w:t>
                  </w:r>
                </w:p>
              </w:tc>
            </w:tr>
            <w:tr w14:paraId="5F91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3" w:type="dxa"/>
                  <w:vAlign w:val="center"/>
                </w:tcPr>
                <w:p w14:paraId="40921C2A">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《水泥工业大气污染物排放标准》（GB</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4915</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2013</w:t>
                  </w:r>
                  <w:r>
                    <w:rPr>
                      <w:rFonts w:hint="default"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p>
              </w:tc>
              <w:tc>
                <w:tcPr>
                  <w:tcW w:w="825" w:type="dxa"/>
                  <w:vAlign w:val="center"/>
                </w:tcPr>
                <w:p w14:paraId="5ECD37C3">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颗粒物</w:t>
                  </w:r>
                </w:p>
              </w:tc>
              <w:tc>
                <w:tcPr>
                  <w:tcW w:w="2200" w:type="dxa"/>
                  <w:vAlign w:val="center"/>
                </w:tcPr>
                <w:p w14:paraId="7A7494CD">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0.5</w:t>
                  </w:r>
                </w:p>
              </w:tc>
              <w:tc>
                <w:tcPr>
                  <w:tcW w:w="2523" w:type="dxa"/>
                  <w:vAlign w:val="center"/>
                </w:tcPr>
                <w:p w14:paraId="07786133">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pPr>
                  <w:r>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厂界外20m处上风向设参照点，下风向设监控点</w:t>
                  </w:r>
                </w:p>
              </w:tc>
            </w:tr>
          </w:tbl>
          <w:p w14:paraId="7CB991B8">
            <w:pPr>
              <w:pStyle w:val="67"/>
              <w:keepNext w:val="0"/>
              <w:keepLines w:val="0"/>
              <w:pageBreakBefore w:val="0"/>
              <w:widowControl/>
              <w:kinsoku/>
              <w:wordWrap/>
              <w:overflowPunct/>
              <w:topLinePunct w:val="0"/>
              <w:autoSpaceDE/>
              <w:autoSpaceDN/>
              <w:bidi w:val="0"/>
              <w:adjustRightInd/>
              <w:snapToGrid/>
              <w:spacing w:before="156" w:beforeLines="50"/>
              <w:jc w:val="left"/>
              <w:textAlignment w:val="auto"/>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Cs w:val="22"/>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废水</w:t>
            </w:r>
          </w:p>
          <w:p w14:paraId="464862CD">
            <w:pPr>
              <w:spacing w:line="360" w:lineRule="auto"/>
              <w:ind w:firstLine="480"/>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本项目施工期生活污水经临时化粪池处理后用于周边绿化，施工废水经临时沉淀池处理</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后用于</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施工场地洒水抑尘</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运营</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车辆冲洗废水经</w:t>
            </w:r>
            <w:r>
              <w:rPr>
                <w:rFonts w:hint="eastAsia" w:cs="Times New Roman"/>
                <w:snapToGrid/>
                <w:color w:val="000000" w:themeColor="text1"/>
                <w:spacing w:val="0"/>
                <w:kern w:val="0"/>
                <w:position w:val="0"/>
                <w:sz w:val="24"/>
                <w:szCs w:val="24"/>
                <w:lang w:val="en-US" w:eastAsia="zh-CN"/>
                <w14:textFill>
                  <w14:solidFill>
                    <w14:schemeClr w14:val="tx1"/>
                  </w14:solidFill>
                </w14:textFill>
              </w:rPr>
              <w:t>洗车平台沉淀池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沉淀后回用，不外排</w:t>
            </w:r>
            <w:r>
              <w:rPr>
                <w:rFonts w:hint="eastAsia" w:cs="Times New Roman"/>
                <w:snapToGrid/>
                <w:color w:val="000000" w:themeColor="text1"/>
                <w:spacing w:val="0"/>
                <w:kern w:val="0"/>
                <w:position w:val="0"/>
                <w:sz w:val="24"/>
                <w:szCs w:val="24"/>
                <w:lang w:val="en-US" w:eastAsia="zh-CN"/>
                <w14:textFill>
                  <w14:solidFill>
                    <w14:schemeClr w14:val="tx1"/>
                  </w14:solidFill>
                </w14:textFill>
              </w:rPr>
              <w:t>；地面冲洗废水、搅拌机清洗废水</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经</w:t>
            </w:r>
            <w:r>
              <w:rPr>
                <w:rFonts w:hint="eastAsia" w:cs="Times New Roman"/>
                <w:snapToGrid/>
                <w:color w:val="000000" w:themeColor="text1"/>
                <w:spacing w:val="0"/>
                <w:kern w:val="0"/>
                <w:position w:val="0"/>
                <w:sz w:val="24"/>
                <w:szCs w:val="24"/>
                <w:lang w:val="en-US" w:eastAsia="zh-CN"/>
                <w14:textFill>
                  <w14:solidFill>
                    <w14:schemeClr w14:val="tx1"/>
                  </w14:solidFill>
                </w14:textFill>
              </w:rPr>
              <w:t>车间沉淀池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+砂水分离机+压滤设施</w:t>
            </w:r>
            <w:r>
              <w:rPr>
                <w:rFonts w:hint="eastAsia" w:cs="Times New Roman"/>
                <w:snapToGrid/>
                <w:color w:val="000000" w:themeColor="text1"/>
                <w:spacing w:val="0"/>
                <w:kern w:val="0"/>
                <w:position w:val="0"/>
                <w:sz w:val="24"/>
                <w:szCs w:val="24"/>
                <w:lang w:val="en-US" w:eastAsia="zh-CN"/>
                <w14:textFill>
                  <w14:solidFill>
                    <w14:schemeClr w14:val="tx1"/>
                  </w14:solidFill>
                </w14:textFill>
              </w:rPr>
              <w:t>处理</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后回用，不外排</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生活污水经化粪池处理</w:t>
            </w:r>
            <w:r>
              <w:rPr>
                <w:rFonts w:hint="eastAsia" w:cs="Times New Roman"/>
                <w:snapToGrid/>
                <w:color w:val="000000" w:themeColor="text1"/>
                <w:spacing w:val="0"/>
                <w:kern w:val="0"/>
                <w:position w:val="0"/>
                <w:sz w:val="24"/>
                <w:szCs w:val="24"/>
                <w:lang w:val="en-US" w:eastAsia="zh-CN"/>
                <w14:textFill>
                  <w14:solidFill>
                    <w14:schemeClr w14:val="tx1"/>
                  </w14:solidFill>
                </w14:textFill>
              </w:rPr>
              <w:t>达到</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《农田灌溉水质标准》（GB5084-2021）</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中</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旱地作物</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标准限值后用于</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厂区</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绿化，不外排</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7263C231">
            <w:pPr>
              <w:pStyle w:val="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3</w:t>
            </w:r>
            <w:r>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农田灌溉水质标准》（GB5084-2021）</w:t>
            </w:r>
          </w:p>
          <w:tbl>
            <w:tblPr>
              <w:tblStyle w:val="27"/>
              <w:tblW w:w="809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80"/>
              <w:gridCol w:w="1421"/>
              <w:gridCol w:w="1422"/>
              <w:gridCol w:w="1422"/>
              <w:gridCol w:w="1422"/>
              <w:gridCol w:w="1427"/>
            </w:tblGrid>
            <w:tr w14:paraId="529B10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6" w:type="pct"/>
                  <w:vMerge w:val="restart"/>
                  <w:tcBorders>
                    <w:top w:val="single" w:color="auto" w:sz="2" w:space="0"/>
                    <w:left w:val="single" w:color="auto" w:sz="0" w:space="0"/>
                    <w:right w:val="single" w:color="auto" w:sz="2" w:space="0"/>
                  </w:tcBorders>
                  <w:noWrap w:val="0"/>
                  <w:vAlign w:val="center"/>
                </w:tcPr>
                <w:p w14:paraId="53FEC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类别</w:t>
                  </w:r>
                </w:p>
              </w:tc>
              <w:tc>
                <w:tcPr>
                  <w:tcW w:w="4393" w:type="pct"/>
                  <w:gridSpan w:val="5"/>
                  <w:tcBorders>
                    <w:top w:val="single" w:color="auto" w:sz="2" w:space="0"/>
                    <w:left w:val="single" w:color="auto" w:sz="2" w:space="0"/>
                    <w:bottom w:val="single" w:color="auto" w:sz="2" w:space="0"/>
                    <w:right w:val="single" w:color="auto" w:sz="2" w:space="0"/>
                  </w:tcBorders>
                  <w:noWrap w:val="0"/>
                  <w:vAlign w:val="center"/>
                </w:tcPr>
                <w:p w14:paraId="6DDF4D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标准</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限</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值</w:t>
                  </w:r>
                  <w:r>
                    <w:rPr>
                      <w:rFonts w:hint="eastAsia" w:cs="Times New Roman"/>
                      <w:b/>
                      <w:bCs/>
                      <w:color w:val="000000" w:themeColor="text1"/>
                      <w:sz w:val="21"/>
                      <w:szCs w:val="21"/>
                      <w:lang w:val="en-US" w:eastAsia="zh-CN"/>
                      <w14:textFill>
                        <w14:solidFill>
                          <w14:schemeClr w14:val="tx1"/>
                        </w14:solidFill>
                      </w14:textFill>
                    </w:rPr>
                    <w:t>（mg/L）</w:t>
                  </w:r>
                </w:p>
              </w:tc>
            </w:tr>
            <w:tr w14:paraId="06F481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6" w:type="pct"/>
                  <w:vMerge w:val="continue"/>
                  <w:tcBorders>
                    <w:left w:val="single" w:color="auto" w:sz="0" w:space="0"/>
                    <w:right w:val="single" w:color="auto" w:sz="2" w:space="0"/>
                  </w:tcBorders>
                  <w:noWrap w:val="0"/>
                  <w:tcMar>
                    <w:left w:w="0" w:type="dxa"/>
                    <w:right w:w="0" w:type="dxa"/>
                  </w:tcMar>
                  <w:vAlign w:val="center"/>
                </w:tcPr>
                <w:p w14:paraId="40A08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78" w:type="pct"/>
                  <w:tcBorders>
                    <w:top w:val="single" w:color="auto" w:sz="2" w:space="0"/>
                    <w:left w:val="single" w:color="auto" w:sz="2" w:space="0"/>
                    <w:bottom w:val="single" w:color="auto" w:sz="2" w:space="0"/>
                    <w:right w:val="single" w:color="auto" w:sz="2" w:space="0"/>
                  </w:tcBorders>
                  <w:noWrap w:val="0"/>
                  <w:vAlign w:val="center"/>
                </w:tcPr>
                <w:p w14:paraId="3147E410">
                  <w:pPr>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napToGrid/>
                      <w:color w:val="000000" w:themeColor="text1"/>
                      <w:spacing w:val="0"/>
                      <w:kern w:val="0"/>
                      <w:position w:val="0"/>
                      <w:sz w:val="21"/>
                      <w:szCs w:val="21"/>
                      <w:lang w:val="en-US" w:eastAsia="zh-CN"/>
                      <w14:textFill>
                        <w14:solidFill>
                          <w14:schemeClr w14:val="tx1"/>
                        </w14:solidFill>
                      </w14:textFill>
                    </w:rPr>
                    <w:t>pH</w:t>
                  </w:r>
                  <w:r>
                    <w:rPr>
                      <w:rFonts w:hint="eastAsia" w:ascii="Times New Roman" w:hAnsi="Times New Roman" w:cs="Times New Roman"/>
                      <w:b w:val="0"/>
                      <w:bCs/>
                      <w:snapToGrid/>
                      <w:color w:val="000000" w:themeColor="text1"/>
                      <w:spacing w:val="0"/>
                      <w:kern w:val="0"/>
                      <w:position w:val="0"/>
                      <w:sz w:val="21"/>
                      <w:szCs w:val="21"/>
                      <w:lang w:val="en-US" w:eastAsia="zh-CN"/>
                      <w14:textFill>
                        <w14:solidFill>
                          <w14:schemeClr w14:val="tx1"/>
                        </w14:solidFill>
                      </w14:textFill>
                    </w:rPr>
                    <w:t>（无量纲）</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7188EFB8">
                  <w:pPr>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val="0"/>
                      <w:bCs/>
                      <w:snapToGrid/>
                      <w:color w:val="000000" w:themeColor="text1"/>
                      <w:spacing w:val="0"/>
                      <w:kern w:val="0"/>
                      <w:position w:val="0"/>
                      <w:sz w:val="21"/>
                      <w:szCs w:val="21"/>
                      <w:lang w:val="en-US" w:eastAsia="zh-CN"/>
                      <w14:textFill>
                        <w14:solidFill>
                          <w14:schemeClr w14:val="tx1"/>
                        </w14:solidFill>
                      </w14:textFill>
                    </w:rPr>
                    <w:t>SS</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24C06AA0">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snapToGrid/>
                      <w:color w:val="000000" w:themeColor="text1"/>
                      <w:spacing w:val="0"/>
                      <w:kern w:val="0"/>
                      <w:position w:val="0"/>
                      <w:sz w:val="21"/>
                      <w:szCs w:val="21"/>
                      <w:lang w:val="en-US" w:eastAsia="zh-CN"/>
                      <w14:textFill>
                        <w14:solidFill>
                          <w14:schemeClr w14:val="tx1"/>
                        </w14:solidFill>
                      </w14:textFill>
                    </w:rPr>
                    <w:t>BOD</w:t>
                  </w:r>
                  <w:r>
                    <w:rPr>
                      <w:rFonts w:hint="default" w:ascii="Times New Roman" w:hAnsi="Times New Roman" w:eastAsia="宋体" w:cs="Times New Roman"/>
                      <w:b w:val="0"/>
                      <w:bCs/>
                      <w:snapToGrid/>
                      <w:color w:val="000000" w:themeColor="text1"/>
                      <w:spacing w:val="0"/>
                      <w:kern w:val="0"/>
                      <w:position w:val="0"/>
                      <w:sz w:val="21"/>
                      <w:szCs w:val="21"/>
                      <w:vertAlign w:val="subscript"/>
                      <w:lang w:val="en-US" w:eastAsia="zh-CN"/>
                      <w14:textFill>
                        <w14:solidFill>
                          <w14:schemeClr w14:val="tx1"/>
                        </w14:solidFill>
                      </w14:textFill>
                    </w:rPr>
                    <w:t>5</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7F204F36">
                  <w:pPr>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pacing w:val="0"/>
                      <w:kern w:val="0"/>
                      <w:position w:val="0"/>
                      <w:sz w:val="21"/>
                      <w:szCs w:val="21"/>
                      <w:lang w:val="en-US" w:eastAsia="zh-CN"/>
                      <w14:textFill>
                        <w14:solidFill>
                          <w14:schemeClr w14:val="tx1"/>
                        </w14:solidFill>
                      </w14:textFill>
                    </w:rPr>
                    <w:t>氨氮</w:t>
                  </w:r>
                  <w:r>
                    <w:rPr>
                      <w:rFonts w:hint="eastAsia" w:ascii="Times New Roman" w:hAnsi="Times New Roman" w:cs="Times New Roman"/>
                      <w:b w:val="0"/>
                      <w:bCs/>
                      <w:snapToGrid/>
                      <w:color w:val="000000" w:themeColor="text1"/>
                      <w:spacing w:val="0"/>
                      <w:kern w:val="0"/>
                      <w:position w:val="0"/>
                      <w:sz w:val="21"/>
                      <w:szCs w:val="21"/>
                      <w:lang w:val="en-US" w:eastAsia="zh-CN"/>
                      <w14:textFill>
                        <w14:solidFill>
                          <w14:schemeClr w14:val="tx1"/>
                        </w14:solidFill>
                      </w14:textFill>
                    </w:rPr>
                    <w:t>）</w:t>
                  </w:r>
                </w:p>
              </w:tc>
              <w:tc>
                <w:tcPr>
                  <w:tcW w:w="880" w:type="pct"/>
                  <w:tcBorders>
                    <w:top w:val="single" w:color="auto" w:sz="2" w:space="0"/>
                    <w:left w:val="single" w:color="auto" w:sz="2" w:space="0"/>
                    <w:bottom w:val="single" w:color="auto" w:sz="2" w:space="0"/>
                    <w:right w:val="single" w:color="auto" w:sz="2" w:space="0"/>
                  </w:tcBorders>
                  <w:noWrap w:val="0"/>
                  <w:vAlign w:val="center"/>
                </w:tcPr>
                <w:p w14:paraId="04A14A48">
                  <w:pPr>
                    <w:snapToGrid w:val="0"/>
                    <w:jc w:val="center"/>
                    <w:rPr>
                      <w:rFonts w:hint="default" w:ascii="Times New Roman" w:hAnsi="Times New Roman" w:eastAsia="宋体" w:cs="Times New Roman"/>
                      <w:b w:val="0"/>
                      <w:bCs/>
                      <w:snapToGrid/>
                      <w:color w:val="000000" w:themeColor="text1"/>
                      <w:spacing w:val="0"/>
                      <w:kern w:val="0"/>
                      <w:position w:val="0"/>
                      <w:sz w:val="21"/>
                      <w:szCs w:val="21"/>
                      <w:lang w:val="en-US" w:eastAsia="zh-CN"/>
                      <w14:textFill>
                        <w14:solidFill>
                          <w14:schemeClr w14:val="tx1"/>
                        </w14:solidFill>
                      </w14:textFill>
                    </w:rPr>
                  </w:pPr>
                  <w:r>
                    <w:rPr>
                      <w:rFonts w:hint="eastAsia" w:cs="Times New Roman"/>
                      <w:b w:val="0"/>
                      <w:bCs/>
                      <w:snapToGrid/>
                      <w:color w:val="000000" w:themeColor="text1"/>
                      <w:spacing w:val="0"/>
                      <w:kern w:val="0"/>
                      <w:position w:val="0"/>
                      <w:sz w:val="21"/>
                      <w:szCs w:val="21"/>
                      <w:lang w:val="en-US" w:eastAsia="zh-CN"/>
                      <w14:textFill>
                        <w14:solidFill>
                          <w14:schemeClr w14:val="tx1"/>
                        </w14:solidFill>
                      </w14:textFill>
                    </w:rPr>
                    <w:t>COD</w:t>
                  </w:r>
                </w:p>
              </w:tc>
            </w:tr>
            <w:tr w14:paraId="3FB47D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6" w:type="pct"/>
                  <w:tcBorders>
                    <w:left w:val="single" w:color="auto" w:sz="4" w:space="0"/>
                    <w:bottom w:val="single" w:color="auto" w:sz="2" w:space="0"/>
                    <w:right w:val="single" w:color="auto" w:sz="2" w:space="0"/>
                  </w:tcBorders>
                  <w:noWrap w:val="0"/>
                  <w:tcMar>
                    <w:left w:w="0" w:type="dxa"/>
                    <w:right w:w="0" w:type="dxa"/>
                  </w:tcMar>
                  <w:vAlign w:val="center"/>
                </w:tcPr>
                <w:p w14:paraId="65276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旱地作物</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21C9070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8.5</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7717413D">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eastAsia" w:cs="Times New Roman"/>
                      <w:color w:val="000000" w:themeColor="text1"/>
                      <w:sz w:val="21"/>
                      <w:szCs w:val="21"/>
                      <w:lang w:val="en-US" w:eastAsia="zh-CN"/>
                      <w14:textFill>
                        <w14:solidFill>
                          <w14:schemeClr w14:val="tx1"/>
                        </w14:solidFill>
                      </w14:textFill>
                    </w:rPr>
                    <w:t>0</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4AA1E884">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eastAsia" w:cs="Times New Roman"/>
                      <w:color w:val="000000" w:themeColor="text1"/>
                      <w:sz w:val="21"/>
                      <w:szCs w:val="21"/>
                      <w:lang w:val="en-US" w:eastAsia="zh-CN"/>
                      <w14:textFill>
                        <w14:solidFill>
                          <w14:schemeClr w14:val="tx1"/>
                        </w14:solidFill>
                      </w14:textFill>
                    </w:rPr>
                    <w:t>0</w:t>
                  </w:r>
                </w:p>
              </w:tc>
              <w:tc>
                <w:tcPr>
                  <w:tcW w:w="878" w:type="pct"/>
                  <w:tcBorders>
                    <w:top w:val="single" w:color="auto" w:sz="2" w:space="0"/>
                    <w:left w:val="single" w:color="auto" w:sz="2" w:space="0"/>
                    <w:bottom w:val="single" w:color="auto" w:sz="2" w:space="0"/>
                    <w:right w:val="single" w:color="auto" w:sz="2" w:space="0"/>
                  </w:tcBorders>
                  <w:noWrap w:val="0"/>
                  <w:vAlign w:val="center"/>
                </w:tcPr>
                <w:p w14:paraId="6D2A1F3D">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80" w:type="pct"/>
                  <w:tcBorders>
                    <w:top w:val="single" w:color="auto" w:sz="2" w:space="0"/>
                    <w:left w:val="single" w:color="auto" w:sz="2" w:space="0"/>
                    <w:bottom w:val="single" w:color="auto" w:sz="2" w:space="0"/>
                    <w:right w:val="single" w:color="auto" w:sz="2" w:space="0"/>
                  </w:tcBorders>
                  <w:noWrap w:val="0"/>
                  <w:vAlign w:val="center"/>
                </w:tcPr>
                <w:p w14:paraId="76428D18">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r>
          </w:tbl>
          <w:p w14:paraId="7DD2D446">
            <w:pPr>
              <w:pStyle w:val="67"/>
              <w:keepNext w:val="0"/>
              <w:keepLines w:val="0"/>
              <w:pageBreakBefore w:val="0"/>
              <w:widowControl/>
              <w:kinsoku/>
              <w:wordWrap/>
              <w:overflowPunct/>
              <w:topLinePunct w:val="0"/>
              <w:autoSpaceDE/>
              <w:autoSpaceDN/>
              <w:bidi w:val="0"/>
              <w:adjustRightInd/>
              <w:snapToGrid/>
              <w:spacing w:before="157" w:beforeLines="50"/>
              <w:jc w:val="left"/>
              <w:textAlignment w:val="auto"/>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Cs w:val="22"/>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噪声</w:t>
            </w:r>
          </w:p>
          <w:p w14:paraId="3D79556E">
            <w:pPr>
              <w:spacing w:line="360" w:lineRule="auto"/>
              <w:ind w:firstLine="480"/>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施工期噪声执行《建筑施工场界环境噪声排放标准》（GB12523</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2011）中的相应标准；</w:t>
            </w:r>
            <w:r>
              <w:rPr>
                <w:rFonts w:hint="eastAsia" w:cs="Times New Roman"/>
                <w:snapToGrid/>
                <w:color w:val="000000" w:themeColor="text1"/>
                <w:spacing w:val="0"/>
                <w:kern w:val="0"/>
                <w:position w:val="0"/>
                <w:sz w:val="24"/>
                <w:lang w:eastAsia="zh-CN"/>
                <w14:textFill>
                  <w14:solidFill>
                    <w14:schemeClr w14:val="tx1"/>
                  </w14:solidFill>
                </w14:textFill>
              </w:rPr>
              <w:t>运营</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期</w:t>
            </w:r>
            <w:r>
              <w:rPr>
                <w:rFonts w:hint="eastAsia" w:cs="Times New Roman"/>
                <w:snapToGrid/>
                <w:color w:val="000000" w:themeColor="text1"/>
                <w:spacing w:val="0"/>
                <w:kern w:val="0"/>
                <w:position w:val="0"/>
                <w:sz w:val="24"/>
                <w:lang w:val="en-US" w:eastAsia="zh-CN"/>
                <w14:textFill>
                  <w14:solidFill>
                    <w14:schemeClr w14:val="tx1"/>
                  </w14:solidFill>
                </w14:textFill>
              </w:rPr>
              <w:t>厂界噪声</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执行《工业企业厂界环境噪声排放标准》（GB12348-2008）中</w:t>
            </w:r>
            <w:r>
              <w:rPr>
                <w:rFonts w:hint="eastAsia" w:cs="Times New Roman"/>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类标准。</w:t>
            </w:r>
          </w:p>
          <w:p w14:paraId="579B4E03">
            <w:pPr>
              <w:jc w:val="cente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3-</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7</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 xml:space="preserve">  </w:t>
            </w:r>
            <w:r>
              <w:rPr>
                <w:rFonts w:hint="eastAsia" w:cs="Times New Roman"/>
                <w:b/>
                <w:snapToGrid/>
                <w:color w:val="000000" w:themeColor="text1"/>
                <w:spacing w:val="0"/>
                <w:kern w:val="0"/>
                <w:position w:val="0"/>
                <w:sz w:val="21"/>
                <w:szCs w:val="21"/>
                <w:lang w:eastAsia="zh-CN"/>
                <w14:textFill>
                  <w14:solidFill>
                    <w14:schemeClr w14:val="tx1"/>
                  </w14:solidFill>
                </w14:textFill>
              </w:rPr>
              <w:t>建筑施工场</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界环境噪声排放标准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484"/>
              <w:gridCol w:w="5130"/>
            </w:tblGrid>
            <w:tr w14:paraId="2C92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18" w:type="pct"/>
                  <w:tcBorders>
                    <w:tl2br w:val="nil"/>
                    <w:tr2bl w:val="nil"/>
                  </w:tcBorders>
                  <w:noWrap w:val="0"/>
                  <w:vAlign w:val="center"/>
                </w:tcPr>
                <w:p w14:paraId="7F5B47CD">
                  <w:pPr>
                    <w:jc w:val="center"/>
                    <w:rPr>
                      <w:rFonts w:hint="default" w:ascii="Times New Roman" w:hAnsi="Times New Roman" w:eastAsia="宋体" w:cs="Times New Roman"/>
                      <w:b/>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lang w:val="zh-CN"/>
                      <w14:textFill>
                        <w14:solidFill>
                          <w14:schemeClr w14:val="tx1"/>
                        </w14:solidFill>
                      </w14:textFill>
                    </w:rPr>
                    <w:t>昼 间</w:t>
                  </w:r>
                </w:p>
              </w:tc>
              <w:tc>
                <w:tcPr>
                  <w:tcW w:w="916" w:type="pct"/>
                  <w:tcBorders>
                    <w:tl2br w:val="nil"/>
                    <w:tr2bl w:val="nil"/>
                  </w:tcBorders>
                  <w:noWrap w:val="0"/>
                  <w:vAlign w:val="center"/>
                </w:tcPr>
                <w:p w14:paraId="6D0F336C">
                  <w:pPr>
                    <w:jc w:val="center"/>
                    <w:rPr>
                      <w:rFonts w:hint="default" w:ascii="Times New Roman" w:hAnsi="Times New Roman" w:eastAsia="宋体" w:cs="Times New Roman"/>
                      <w:b/>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lang w:val="zh-CN"/>
                      <w14:textFill>
                        <w14:solidFill>
                          <w14:schemeClr w14:val="tx1"/>
                        </w14:solidFill>
                      </w14:textFill>
                    </w:rPr>
                    <w:t>夜间</w:t>
                  </w:r>
                </w:p>
              </w:tc>
              <w:tc>
                <w:tcPr>
                  <w:tcW w:w="3166" w:type="pct"/>
                  <w:tcBorders>
                    <w:tl2br w:val="nil"/>
                    <w:tr2bl w:val="nil"/>
                  </w:tcBorders>
                  <w:noWrap w:val="0"/>
                  <w:vAlign w:val="center"/>
                </w:tcPr>
                <w:p w14:paraId="38739FF9">
                  <w:pPr>
                    <w:jc w:val="center"/>
                    <w:rPr>
                      <w:rFonts w:hint="default" w:ascii="Times New Roman" w:hAnsi="Times New Roman" w:eastAsia="宋体" w:cs="Times New Roman"/>
                      <w:b/>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标准来源</w:t>
                  </w:r>
                </w:p>
              </w:tc>
            </w:tr>
            <w:tr w14:paraId="5ACF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pct"/>
                  <w:tcBorders>
                    <w:tl2br w:val="nil"/>
                    <w:tr2bl w:val="nil"/>
                  </w:tcBorders>
                  <w:noWrap w:val="0"/>
                  <w:vAlign w:val="center"/>
                </w:tcPr>
                <w:p w14:paraId="11E604EF">
                  <w:pPr>
                    <w:jc w:val="cente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t>70</w:t>
                  </w:r>
                </w:p>
              </w:tc>
              <w:tc>
                <w:tcPr>
                  <w:tcW w:w="916" w:type="pct"/>
                  <w:tcBorders>
                    <w:tl2br w:val="nil"/>
                    <w:tr2bl w:val="nil"/>
                  </w:tcBorders>
                  <w:noWrap w:val="0"/>
                  <w:vAlign w:val="center"/>
                </w:tcPr>
                <w:p w14:paraId="428A6520">
                  <w:pPr>
                    <w:jc w:val="cente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t>55</w:t>
                  </w:r>
                </w:p>
              </w:tc>
              <w:tc>
                <w:tcPr>
                  <w:tcW w:w="3166" w:type="pct"/>
                  <w:tcBorders>
                    <w:tl2br w:val="nil"/>
                    <w:tr2bl w:val="nil"/>
                  </w:tcBorders>
                  <w:noWrap w:val="0"/>
                  <w:vAlign w:val="center"/>
                </w:tcPr>
                <w:p w14:paraId="69E774DD">
                  <w:pPr>
                    <w:jc w:val="cente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t>《建筑施工场界环境噪声排放标准》（GB12523-2011）</w:t>
                  </w:r>
                </w:p>
              </w:tc>
            </w:tr>
          </w:tbl>
          <w:p w14:paraId="5396E6F1">
            <w:pPr>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1"/>
                <w:szCs w:val="21"/>
                <w:lang w:eastAsia="zh-CN"/>
                <w14:textFill>
                  <w14:solidFill>
                    <w14:schemeClr w14:val="tx1"/>
                  </w14:solidFill>
                </w14:textFill>
              </w:rPr>
              <w:t>表</w:t>
            </w:r>
            <w:r>
              <w:rPr>
                <w:rFonts w:hint="eastAsia" w:ascii="Times New Roman" w:hAnsi="Times New Roman" w:eastAsia="宋体" w:cs="Times New Roman"/>
                <w:b/>
                <w:snapToGrid/>
                <w:color w:val="000000" w:themeColor="text1"/>
                <w:spacing w:val="0"/>
                <w:kern w:val="0"/>
                <w:position w:val="0"/>
                <w:sz w:val="21"/>
                <w:szCs w:val="21"/>
                <w:lang w:val="en-US" w:eastAsia="zh-CN"/>
                <w14:textFill>
                  <w14:solidFill>
                    <w14:schemeClr w14:val="tx1"/>
                  </w14:solidFill>
                </w14:textFill>
              </w:rPr>
              <w:t>3-</w:t>
            </w:r>
            <w:r>
              <w:rPr>
                <w:rFonts w:hint="eastAsia" w:cs="Times New Roman"/>
                <w:b/>
                <w:snapToGrid/>
                <w:color w:val="000000" w:themeColor="text1"/>
                <w:spacing w:val="0"/>
                <w:kern w:val="0"/>
                <w:position w:val="0"/>
                <w:sz w:val="21"/>
                <w:szCs w:val="21"/>
                <w:lang w:val="en-US" w:eastAsia="zh-CN"/>
                <w14:textFill>
                  <w14:solidFill>
                    <w14:schemeClr w14:val="tx1"/>
                  </w14:solidFill>
                </w14:textFill>
              </w:rPr>
              <w:t>8</w:t>
            </w:r>
            <w:r>
              <w:rPr>
                <w:rFonts w:hint="default" w:ascii="Times New Roman" w:hAnsi="Times New Roman" w:eastAsia="宋体" w:cs="Times New Roman"/>
                <w:b/>
                <w:snapToGrid/>
                <w:color w:val="000000" w:themeColor="text1"/>
                <w:spacing w:val="0"/>
                <w:kern w:val="0"/>
                <w:position w:val="0"/>
                <w:sz w:val="21"/>
                <w:szCs w:val="21"/>
                <w14:textFill>
                  <w14:solidFill>
                    <w14:schemeClr w14:val="tx1"/>
                  </w14:solidFill>
                </w14:textFill>
              </w:rPr>
              <w:t xml:space="preserve">  工业企业厂界环境噪声排放标准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66"/>
              <w:gridCol w:w="815"/>
              <w:gridCol w:w="663"/>
              <w:gridCol w:w="4148"/>
            </w:tblGrid>
            <w:tr w14:paraId="7C1D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l2br w:val="single" w:color="auto" w:sz="4" w:space="0"/>
                  </w:tcBorders>
                  <w:noWrap w:val="0"/>
                  <w:vAlign w:val="center"/>
                </w:tcPr>
                <w:p w14:paraId="29EAB9EA">
                  <w:pPr>
                    <w:jc w:val="right"/>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时段</w:t>
                  </w:r>
                </w:p>
                <w:p w14:paraId="0D29697C">
                  <w:pPr>
                    <w:jc w:val="left"/>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适用区域</w:t>
                  </w:r>
                </w:p>
              </w:tc>
              <w:tc>
                <w:tcPr>
                  <w:tcW w:w="781" w:type="pct"/>
                  <w:tcBorders>
                    <w:tl2br w:val="nil"/>
                    <w:tr2bl w:val="nil"/>
                  </w:tcBorders>
                  <w:noWrap w:val="0"/>
                  <w:vAlign w:val="center"/>
                </w:tcPr>
                <w:p w14:paraId="3E5109A7">
                  <w:pPr>
                    <w:jc w:val="cente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声环境功能区类别</w:t>
                  </w:r>
                </w:p>
              </w:tc>
              <w:tc>
                <w:tcPr>
                  <w:tcW w:w="503" w:type="pct"/>
                  <w:tcBorders>
                    <w:tl2br w:val="nil"/>
                    <w:tr2bl w:val="nil"/>
                  </w:tcBorders>
                  <w:noWrap w:val="0"/>
                  <w:vAlign w:val="center"/>
                </w:tcPr>
                <w:p w14:paraId="3D4B6C13">
                  <w:pPr>
                    <w:jc w:val="cente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昼间</w:t>
                  </w:r>
                </w:p>
              </w:tc>
              <w:tc>
                <w:tcPr>
                  <w:tcW w:w="409" w:type="pct"/>
                  <w:tcBorders>
                    <w:tl2br w:val="nil"/>
                    <w:tr2bl w:val="nil"/>
                  </w:tcBorders>
                  <w:noWrap w:val="0"/>
                  <w:vAlign w:val="center"/>
                </w:tcPr>
                <w:p w14:paraId="002D00D9">
                  <w:pPr>
                    <w:jc w:val="cente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夜间</w:t>
                  </w:r>
                </w:p>
              </w:tc>
              <w:tc>
                <w:tcPr>
                  <w:tcW w:w="2559" w:type="pct"/>
                  <w:tcBorders>
                    <w:tl2br w:val="nil"/>
                    <w:tr2bl w:val="nil"/>
                  </w:tcBorders>
                  <w:noWrap w:val="0"/>
                  <w:vAlign w:val="center"/>
                </w:tcPr>
                <w:p w14:paraId="10863313">
                  <w:pPr>
                    <w:jc w:val="center"/>
                    <w:rPr>
                      <w:rFonts w:hint="default" w:ascii="Times New Roman" w:hAnsi="Times New Roman" w:eastAsia="宋体" w:cs="Times New Roman"/>
                      <w:b/>
                      <w:snapToGrid/>
                      <w:color w:val="000000" w:themeColor="text1"/>
                      <w:spacing w:val="0"/>
                      <w:kern w:val="0"/>
                      <w:position w:val="0"/>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Cs w:val="21"/>
                      <w14:textFill>
                        <w14:solidFill>
                          <w14:schemeClr w14:val="tx1"/>
                        </w14:solidFill>
                      </w14:textFill>
                    </w:rPr>
                    <w:t>标准来源</w:t>
                  </w:r>
                </w:p>
              </w:tc>
            </w:tr>
            <w:tr w14:paraId="7A90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l2br w:val="nil"/>
                    <w:tr2bl w:val="nil"/>
                  </w:tcBorders>
                  <w:noWrap w:val="0"/>
                  <w:vAlign w:val="center"/>
                </w:tcPr>
                <w:p w14:paraId="1D838F39">
                  <w:pPr>
                    <w:jc w:val="cente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t>厂界</w:t>
                  </w:r>
                </w:p>
              </w:tc>
              <w:tc>
                <w:tcPr>
                  <w:tcW w:w="781" w:type="pct"/>
                  <w:tcBorders>
                    <w:tl2br w:val="nil"/>
                    <w:tr2bl w:val="nil"/>
                  </w:tcBorders>
                  <w:noWrap w:val="0"/>
                  <w:vAlign w:val="center"/>
                </w:tcPr>
                <w:p w14:paraId="01823D46">
                  <w:pPr>
                    <w:jc w:val="cente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pPr>
                  <w:r>
                    <w:rPr>
                      <w:rFonts w:hint="eastAsia" w:cs="Times New Roman"/>
                      <w:snapToGrid/>
                      <w:color w:val="000000" w:themeColor="text1"/>
                      <w:spacing w:val="0"/>
                      <w:kern w:val="0"/>
                      <w:position w:val="0"/>
                      <w:szCs w:val="21"/>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t>类区</w:t>
                  </w:r>
                </w:p>
              </w:tc>
              <w:tc>
                <w:tcPr>
                  <w:tcW w:w="503" w:type="pct"/>
                  <w:tcBorders>
                    <w:tl2br w:val="nil"/>
                    <w:tr2bl w:val="nil"/>
                  </w:tcBorders>
                  <w:noWrap w:val="0"/>
                  <w:vAlign w:val="center"/>
                </w:tcPr>
                <w:p w14:paraId="562CB7AC">
                  <w:pPr>
                    <w:jc w:val="center"/>
                    <w:rPr>
                      <w:rFonts w:hint="default" w:ascii="Times New Roman" w:hAnsi="Times New Roman" w:eastAsia="宋体" w:cs="Times New Roman"/>
                      <w:snapToGrid/>
                      <w:color w:val="000000" w:themeColor="text1"/>
                      <w:spacing w:val="0"/>
                      <w:kern w:val="0"/>
                      <w:position w:val="0"/>
                      <w:szCs w:val="21"/>
                      <w:lang w:val="zh-CN"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t>6</w:t>
                  </w:r>
                  <w:r>
                    <w:rPr>
                      <w:rFonts w:hint="eastAsia" w:cs="Times New Roman"/>
                      <w:snapToGrid/>
                      <w:color w:val="000000" w:themeColor="text1"/>
                      <w:spacing w:val="0"/>
                      <w:kern w:val="0"/>
                      <w:position w:val="0"/>
                      <w:szCs w:val="21"/>
                      <w:lang w:val="en-US" w:eastAsia="zh-CN"/>
                      <w14:textFill>
                        <w14:solidFill>
                          <w14:schemeClr w14:val="tx1"/>
                        </w14:solidFill>
                      </w14:textFill>
                    </w:rPr>
                    <w:t>0</w:t>
                  </w:r>
                </w:p>
              </w:tc>
              <w:tc>
                <w:tcPr>
                  <w:tcW w:w="409" w:type="pct"/>
                  <w:tcBorders>
                    <w:tl2br w:val="nil"/>
                    <w:tr2bl w:val="nil"/>
                  </w:tcBorders>
                  <w:noWrap w:val="0"/>
                  <w:vAlign w:val="center"/>
                </w:tcPr>
                <w:p w14:paraId="5B3887DD">
                  <w:pPr>
                    <w:jc w:val="center"/>
                    <w:rPr>
                      <w:rFonts w:hint="default" w:ascii="Times New Roman" w:hAnsi="Times New Roman" w:eastAsia="宋体" w:cs="Times New Roman"/>
                      <w:snapToGrid/>
                      <w:color w:val="000000" w:themeColor="text1"/>
                      <w:spacing w:val="0"/>
                      <w:kern w:val="0"/>
                      <w:position w:val="0"/>
                      <w:szCs w:val="21"/>
                      <w:lang w:val="zh-CN"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lang w:val="zh-CN"/>
                      <w14:textFill>
                        <w14:solidFill>
                          <w14:schemeClr w14:val="tx1"/>
                        </w14:solidFill>
                      </w14:textFill>
                    </w:rPr>
                    <w:t>5</w:t>
                  </w:r>
                  <w:r>
                    <w:rPr>
                      <w:rFonts w:hint="eastAsia" w:cs="Times New Roman"/>
                      <w:snapToGrid/>
                      <w:color w:val="000000" w:themeColor="text1"/>
                      <w:spacing w:val="0"/>
                      <w:kern w:val="0"/>
                      <w:position w:val="0"/>
                      <w:szCs w:val="21"/>
                      <w:lang w:val="en-US" w:eastAsia="zh-CN"/>
                      <w14:textFill>
                        <w14:solidFill>
                          <w14:schemeClr w14:val="tx1"/>
                        </w14:solidFill>
                      </w14:textFill>
                    </w:rPr>
                    <w:t>0</w:t>
                  </w:r>
                </w:p>
              </w:tc>
              <w:tc>
                <w:tcPr>
                  <w:tcW w:w="2559" w:type="pct"/>
                  <w:tcBorders>
                    <w:tl2br w:val="nil"/>
                    <w:tr2bl w:val="nil"/>
                  </w:tcBorders>
                  <w:noWrap w:val="0"/>
                  <w:vAlign w:val="center"/>
                </w:tcPr>
                <w:p w14:paraId="75E039B0">
                  <w:pPr>
                    <w:jc w:val="cente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t>《工业企业厂界环境噪声排放</w:t>
                  </w:r>
                  <w:r>
                    <w:rPr>
                      <w:rFonts w:hint="eastAsia" w:ascii="Times New Roman" w:hAnsi="Times New Roman" w:eastAsia="宋体" w:cs="Times New Roman"/>
                      <w:snapToGrid/>
                      <w:color w:val="000000" w:themeColor="text1"/>
                      <w:spacing w:val="0"/>
                      <w:kern w:val="0"/>
                      <w:position w:val="0"/>
                      <w:szCs w:val="21"/>
                      <w:lang w:eastAsia="zh-CN"/>
                      <w14:textFill>
                        <w14:solidFill>
                          <w14:schemeClr w14:val="tx1"/>
                        </w14:solidFill>
                      </w14:textFill>
                    </w:rPr>
                    <w:t>标</w:t>
                  </w:r>
                  <w:r>
                    <w:rPr>
                      <w:rFonts w:hint="default" w:ascii="Times New Roman" w:hAnsi="Times New Roman" w:eastAsia="宋体" w:cs="Times New Roman"/>
                      <w:snapToGrid/>
                      <w:color w:val="000000" w:themeColor="text1"/>
                      <w:spacing w:val="0"/>
                      <w:kern w:val="0"/>
                      <w:position w:val="0"/>
                      <w:szCs w:val="21"/>
                      <w14:textFill>
                        <w14:solidFill>
                          <w14:schemeClr w14:val="tx1"/>
                        </w14:solidFill>
                      </w14:textFill>
                    </w:rPr>
                    <w:t>准》（GB12348-2008）</w:t>
                  </w:r>
                </w:p>
              </w:tc>
            </w:tr>
          </w:tbl>
          <w:p w14:paraId="2F72E26B">
            <w:pPr>
              <w:pStyle w:val="67"/>
              <w:widowControl/>
              <w:spacing w:before="156" w:beforeLines="50"/>
              <w:jc w:val="left"/>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4</w:t>
            </w:r>
            <w:r>
              <w:rPr>
                <w:rFonts w:hint="default" w:ascii="Times New Roman" w:hAnsi="Times New Roman" w:eastAsia="宋体" w:cs="Times New Roman"/>
                <w:snapToGrid/>
                <w:color w:val="000000" w:themeColor="text1"/>
                <w:spacing w:val="0"/>
                <w:kern w:val="0"/>
                <w:position w:val="0"/>
                <w:szCs w:val="22"/>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Cs w:val="22"/>
                <w14:textFill>
                  <w14:solidFill>
                    <w14:schemeClr w14:val="tx1"/>
                  </w14:solidFill>
                </w14:textFill>
              </w:rPr>
              <w:t>固体废弃物</w:t>
            </w:r>
          </w:p>
          <w:p w14:paraId="060FE6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一般</w:t>
            </w:r>
            <w:r>
              <w:rPr>
                <w:rFonts w:hint="eastAsia" w:cs="Times New Roman"/>
                <w:snapToGrid/>
                <w:color w:val="000000" w:themeColor="text1"/>
                <w:spacing w:val="0"/>
                <w:kern w:val="0"/>
                <w:position w:val="0"/>
                <w:sz w:val="24"/>
                <w:szCs w:val="24"/>
                <w:lang w:val="en-US" w:eastAsia="zh-CN"/>
                <w14:textFill>
                  <w14:solidFill>
                    <w14:schemeClr w14:val="tx1"/>
                  </w14:solidFill>
                </w14:textFill>
              </w:rPr>
              <w:t>工业</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固</w:t>
            </w:r>
            <w:r>
              <w:rPr>
                <w:rFonts w:hint="eastAsia" w:cs="Times New Roman"/>
                <w:snapToGrid/>
                <w:color w:val="000000" w:themeColor="text1"/>
                <w:spacing w:val="0"/>
                <w:kern w:val="0"/>
                <w:position w:val="0"/>
                <w:sz w:val="24"/>
                <w:szCs w:val="24"/>
                <w:lang w:val="en-US" w:eastAsia="zh-CN"/>
                <w14:textFill>
                  <w14:solidFill>
                    <w14:schemeClr w14:val="tx1"/>
                  </w14:solidFill>
                </w14:textFill>
              </w:rPr>
              <w:t>体</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物</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执行《一般工业固体废物贮存</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和填埋</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污染控制标准》（GB18599-20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中相关</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要求</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危险废物的暂存执行《危险废物贮存污染控制标准》（GB18597-2</w:t>
            </w:r>
            <w:r>
              <w:rPr>
                <w:rFonts w:hint="eastAsia" w:cs="Times New Roman"/>
                <w:snapToGrid/>
                <w:color w:val="000000" w:themeColor="text1"/>
                <w:spacing w:val="0"/>
                <w:kern w:val="0"/>
                <w:position w:val="0"/>
                <w:sz w:val="24"/>
                <w:szCs w:val="24"/>
                <w:lang w:val="en-US" w:eastAsia="zh-CN"/>
                <w14:textFill>
                  <w14:solidFill>
                    <w14:schemeClr w14:val="tx1"/>
                  </w14:solidFill>
                </w14:textFill>
              </w:rPr>
              <w:t>023</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中相关</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要求</w:t>
            </w:r>
            <w:r>
              <w:rPr>
                <w:rFonts w:hint="eastAsia" w:eastAsia="宋体" w:cs="Times New Roman"/>
                <w:snapToGrid/>
                <w:color w:val="000000" w:themeColor="text1"/>
                <w:spacing w:val="0"/>
                <w:kern w:val="0"/>
                <w:position w:val="0"/>
                <w:sz w:val="24"/>
                <w:szCs w:val="24"/>
                <w:lang w:eastAsia="zh-CN"/>
                <w14:textFill>
                  <w14:solidFill>
                    <w14:schemeClr w14:val="tx1"/>
                  </w14:solidFill>
                </w14:textFill>
              </w:rPr>
              <w:t>。</w:t>
            </w:r>
          </w:p>
        </w:tc>
      </w:tr>
      <w:tr w14:paraId="0F39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tcBorders>
              <w:tl2br w:val="nil"/>
              <w:tr2bl w:val="nil"/>
            </w:tcBorders>
            <w:noWrap w:val="0"/>
            <w:vAlign w:val="center"/>
          </w:tcPr>
          <w:p w14:paraId="268AAA76">
            <w:pPr>
              <w:adjustRightInd w:val="0"/>
              <w:snapToGrid w:val="0"/>
              <w:jc w:val="center"/>
              <w:rPr>
                <w:rFonts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总量控制指标</w:t>
            </w:r>
          </w:p>
        </w:tc>
        <w:tc>
          <w:tcPr>
            <w:tcW w:w="4589" w:type="pct"/>
            <w:tcBorders>
              <w:tl2br w:val="nil"/>
              <w:tr2bl w:val="nil"/>
            </w:tcBorders>
            <w:noWrap w:val="0"/>
            <w:vAlign w:val="center"/>
          </w:tcPr>
          <w:p w14:paraId="1110F88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b w:val="0"/>
                <w:snapToGrid/>
                <w:color w:val="000000" w:themeColor="text1"/>
                <w:spacing w:val="0"/>
                <w:kern w:val="0"/>
                <w:position w:val="0"/>
                <w:sz w:val="24"/>
                <w:szCs w:val="24"/>
                <w:lang w:val="en-US" w:eastAsia="zh-CN" w:bidi="ar-SA"/>
                <w14:textFill>
                  <w14:solidFill>
                    <w14:schemeClr w14:val="tx1"/>
                  </w14:solidFill>
                </w14:textFill>
              </w:rPr>
              <w:t>根据国家对实施污染物排放总量控制的要求以及本项目的工艺特点，</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运营期</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废水</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不外排</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废气中污染因子为颗粒物。因此，本项目无需申请总量控制指标。</w:t>
            </w:r>
          </w:p>
          <w:p w14:paraId="2A21CC57">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6760D2AB">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2050C53B">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1543887B">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765DC18A">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5FFE37D1">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0BBD64CE">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08970B30">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2B402DD6">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2806DA68">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05037102">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6007D32F">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77E4A8CD">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E130B62">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53E3DA4">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1B1F4917">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0211BEE0">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5D75AD6B">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3FE7612">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11005079">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7C7ED075">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819343E">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378B22FE">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66AE4CC5">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20DB7FB2">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1997979">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48BA2D63">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6BDED66F">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526FAB6E">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72DA67D3">
            <w:pPr>
              <w:pStyle w:val="2"/>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p>
          <w:p w14:paraId="2104F90F">
            <w:pPr>
              <w:pStyle w:val="18"/>
              <w:rPr>
                <w:rFonts w:hint="eastAsia"/>
                <w:lang w:eastAsia="zh-CN"/>
              </w:rPr>
            </w:pPr>
          </w:p>
        </w:tc>
      </w:tr>
    </w:tbl>
    <w:p w14:paraId="4847272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sectPr>
          <w:pgSz w:w="11907" w:h="16840"/>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bookmarkStart w:id="8" w:name="_Toc18631"/>
    </w:p>
    <w:p w14:paraId="5053BCC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pPr>
      <w:r>
        <w:rPr>
          <w:rFonts w:hint="eastAsia" w:ascii="黑体" w:hAnsi="黑体" w:eastAsia="黑体"/>
          <w:snapToGrid/>
          <w:color w:val="000000" w:themeColor="text1"/>
          <w:spacing w:val="0"/>
          <w:kern w:val="0"/>
          <w:position w:val="0"/>
          <w:sz w:val="30"/>
          <w:szCs w:val="30"/>
          <w14:textFill>
            <w14:solidFill>
              <w14:schemeClr w14:val="tx1"/>
            </w14:solidFill>
          </w14:textFill>
        </w:rPr>
        <w:t>四、主要环境影响和保护措施</w:t>
      </w:r>
      <w:bookmarkEnd w:id="8"/>
    </w:p>
    <w:tbl>
      <w:tblPr>
        <w:tblStyle w:val="27"/>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8404"/>
      </w:tblGrid>
      <w:tr w14:paraId="64C8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7" w:type="dxa"/>
            <w:tcBorders>
              <w:tl2br w:val="nil"/>
              <w:tr2bl w:val="nil"/>
            </w:tcBorders>
            <w:noWrap w:val="0"/>
            <w:tcMar>
              <w:left w:w="28" w:type="dxa"/>
              <w:right w:w="28" w:type="dxa"/>
            </w:tcMar>
            <w:vAlign w:val="center"/>
          </w:tcPr>
          <w:p w14:paraId="6A762596">
            <w:pPr>
              <w:adjustRightInd w:val="0"/>
              <w:snapToGrid w:val="0"/>
              <w:jc w:val="center"/>
              <w:rPr>
                <w:rFonts w:hint="eastAsia" w:cs="宋体"/>
                <w:bCs/>
                <w:snapToGrid/>
                <w:color w:val="000000" w:themeColor="text1"/>
                <w:spacing w:val="0"/>
                <w:kern w:val="0"/>
                <w:position w:val="0"/>
                <w:sz w:val="24"/>
                <w:szCs w:val="24"/>
                <w14:textFill>
                  <w14:solidFill>
                    <w14:schemeClr w14:val="tx1"/>
                  </w14:solidFill>
                </w14:textFill>
              </w:rPr>
            </w:pPr>
            <w:r>
              <w:rPr>
                <w:rFonts w:hint="eastAsia" w:cs="宋体"/>
                <w:snapToGrid/>
                <w:color w:val="000000" w:themeColor="text1"/>
                <w:spacing w:val="0"/>
                <w:kern w:val="0"/>
                <w:position w:val="0"/>
                <w:sz w:val="24"/>
                <w:szCs w:val="24"/>
                <w14:textFill>
                  <w14:solidFill>
                    <w14:schemeClr w14:val="tx1"/>
                  </w14:solidFill>
                </w14:textFill>
              </w:rPr>
              <w:t>施工期</w:t>
            </w:r>
            <w:r>
              <w:rPr>
                <w:rFonts w:hint="eastAsia" w:ascii="宋体" w:hAnsi="宋体" w:cs="宋体"/>
                <w:bCs/>
                <w:snapToGrid/>
                <w:color w:val="000000" w:themeColor="text1"/>
                <w:spacing w:val="0"/>
                <w:kern w:val="0"/>
                <w:position w:val="0"/>
                <w:sz w:val="24"/>
                <w:szCs w:val="24"/>
                <w14:textFill>
                  <w14:solidFill>
                    <w14:schemeClr w14:val="tx1"/>
                  </w14:solidFill>
                </w14:textFill>
              </w:rPr>
              <w:t>环境影响和保护措施</w:t>
            </w:r>
          </w:p>
        </w:tc>
        <w:tc>
          <w:tcPr>
            <w:tcW w:w="8404" w:type="dxa"/>
            <w:tcBorders>
              <w:tl2br w:val="nil"/>
              <w:tr2bl w:val="nil"/>
            </w:tcBorders>
            <w:noWrap w:val="0"/>
            <w:vAlign w:val="center"/>
          </w:tcPr>
          <w:p w14:paraId="2B7B910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snapToGrid/>
                <w:color w:val="000000" w:themeColor="text1"/>
                <w:spacing w:val="0"/>
                <w:kern w:val="0"/>
                <w:position w:val="0"/>
                <w:sz w:val="24"/>
                <w14:textFill>
                  <w14:solidFill>
                    <w14:schemeClr w14:val="tx1"/>
                  </w14:solidFill>
                </w14:textFill>
              </w:rPr>
            </w:pPr>
            <w:r>
              <w:rPr>
                <w:b/>
                <w:bCs/>
                <w:snapToGrid/>
                <w:color w:val="000000" w:themeColor="text1"/>
                <w:spacing w:val="0"/>
                <w:kern w:val="0"/>
                <w:position w:val="0"/>
                <w:sz w:val="24"/>
                <w14:textFill>
                  <w14:solidFill>
                    <w14:schemeClr w14:val="tx1"/>
                  </w14:solidFill>
                </w14:textFill>
              </w:rPr>
              <w:t>1、施工期大气环境影响和保护措施</w:t>
            </w:r>
          </w:p>
          <w:p w14:paraId="5C2F849C">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施工过程中废气主要来源于施工机械驱动设备（如柴油机等）和运输及施工车辆所排放的废气。此外，还有施工队伍因生活需要使用燃料而排放的废气等。</w:t>
            </w:r>
          </w:p>
          <w:p w14:paraId="48745327">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本项目在建设过程中，粉尘和扬尘污染主要来源于：</w:t>
            </w:r>
          </w:p>
          <w:p w14:paraId="5BFE0372">
            <w:pPr>
              <w:adjustRightInd w:val="0"/>
              <w:snapToGrid w:val="0"/>
              <w:spacing w:line="360" w:lineRule="auto"/>
              <w:ind w:firstLine="480" w:firstLineChars="200"/>
              <w:rPr>
                <w:rFonts w:hint="default" w:ascii="Times New Roman" w:hAnsi="Times New Roman" w:cs="Times New Roman"/>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1）</w:t>
            </w:r>
            <w:r>
              <w:rPr>
                <w:rFonts w:hint="default" w:ascii="Times New Roman" w:hAnsi="Times New Roman" w:cs="Times New Roman"/>
                <w:bCs/>
                <w:snapToGrid/>
                <w:color w:val="000000" w:themeColor="text1"/>
                <w:spacing w:val="0"/>
                <w:kern w:val="0"/>
                <w:position w:val="0"/>
                <w:sz w:val="24"/>
                <w14:textFill>
                  <w14:solidFill>
                    <w14:schemeClr w14:val="tx1"/>
                  </w14:solidFill>
                </w14:textFill>
              </w:rPr>
              <w:t>土方的挖掘、堆放、清运、回填和场地平整等过程产生的粉尘；</w:t>
            </w:r>
          </w:p>
          <w:p w14:paraId="35C22F47">
            <w:pPr>
              <w:adjustRightInd w:val="0"/>
              <w:snapToGrid w:val="0"/>
              <w:spacing w:line="360" w:lineRule="auto"/>
              <w:ind w:firstLine="480" w:firstLineChars="200"/>
              <w:rPr>
                <w:rFonts w:hint="eastAsia" w:eastAsia="宋体"/>
                <w:bCs/>
                <w:snapToGrid/>
                <w:color w:val="000000" w:themeColor="text1"/>
                <w:spacing w:val="0"/>
                <w:kern w:val="0"/>
                <w:position w:val="0"/>
                <w:sz w:val="24"/>
                <w:lang w:eastAsia="zh-CN"/>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cs="Times New Roman"/>
                <w:bCs/>
                <w:snapToGrid/>
                <w:color w:val="000000" w:themeColor="text1"/>
                <w:spacing w:val="0"/>
                <w:kern w:val="0"/>
                <w:position w:val="0"/>
                <w:sz w:val="24"/>
                <w14:textFill>
                  <w14:solidFill>
                    <w14:schemeClr w14:val="tx1"/>
                  </w14:solidFill>
                </w14:textFill>
              </w:rPr>
              <w:t>建筑材料如水泥、白灰、砂子以及土方等在其装卸、运输、堆放等过程中，因风力作用而产生</w:t>
            </w:r>
            <w:r>
              <w:rPr>
                <w:bCs/>
                <w:snapToGrid/>
                <w:color w:val="000000" w:themeColor="text1"/>
                <w:spacing w:val="0"/>
                <w:kern w:val="0"/>
                <w:position w:val="0"/>
                <w:sz w:val="24"/>
                <w14:textFill>
                  <w14:solidFill>
                    <w14:schemeClr w14:val="tx1"/>
                  </w14:solidFill>
                </w14:textFill>
              </w:rPr>
              <w:t>的扬尘污染</w:t>
            </w:r>
            <w:r>
              <w:rPr>
                <w:rFonts w:hint="eastAsia"/>
                <w:bCs/>
                <w:snapToGrid/>
                <w:color w:val="000000" w:themeColor="text1"/>
                <w:spacing w:val="0"/>
                <w:kern w:val="0"/>
                <w:position w:val="0"/>
                <w:sz w:val="24"/>
                <w:lang w:eastAsia="zh-CN"/>
                <w14:textFill>
                  <w14:solidFill>
                    <w14:schemeClr w14:val="tx1"/>
                  </w14:solidFill>
                </w14:textFill>
              </w:rPr>
              <w:t>。</w:t>
            </w:r>
          </w:p>
          <w:p w14:paraId="1C017239">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上述施工过程中产生的废气、粉尘及扬尘将会造成周围大气环境污染，其中又以扬尘的危害较为严重。</w:t>
            </w:r>
          </w:p>
          <w:p w14:paraId="24E69371">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施工期间产生的粉尘（扬尘）污染主要取决于施工作业方式、材料的堆放及风力等因素，其中受风力因素的影响最大。随着风速的增大，施工扬尘产生的污染程度和超标范围也将随之增强和扩大。减轻粉尘和扬尘污染程度和影响范围的主要对策有：</w:t>
            </w:r>
          </w:p>
          <w:p w14:paraId="55DA94A7">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1）</w:t>
            </w:r>
            <w:r>
              <w:rPr>
                <w:bCs/>
                <w:snapToGrid/>
                <w:color w:val="000000" w:themeColor="text1"/>
                <w:spacing w:val="0"/>
                <w:kern w:val="0"/>
                <w:position w:val="0"/>
                <w:sz w:val="24"/>
                <w14:textFill>
                  <w14:solidFill>
                    <w14:schemeClr w14:val="tx1"/>
                  </w14:solidFill>
                </w14:textFill>
              </w:rPr>
              <w:t>对施工现场实行合理化管理，使砂石料统一堆放，水泥应在专门库房堆放，并尽量减少搬运环节，搬运时做到轻举轻放，防止包装袋破裂；</w:t>
            </w:r>
          </w:p>
          <w:p w14:paraId="0B9883FB">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开挖时，对作业面和土堆适当喷水，使其保持一定湿度，以减少扬尘量，而且开挖的泥土和建筑垃圾要及时运走，以防长期堆放表面干燥而起尘或被雨水冲刷；</w:t>
            </w:r>
          </w:p>
          <w:p w14:paraId="55485D40">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3</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运输车辆应完好，不应装载过满，并尽量采取遮盖、密闭措施，减少沿途抛洒，并及时清扫散落在路面上的泥土和建筑材料，施工道路和场地应定时洒水压尘，运输车辆上路前应喷水冲洗轮胎，以减少运输过程中的扬尘；</w:t>
            </w:r>
          </w:p>
          <w:p w14:paraId="52B04974">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应首选使用商品混凝土，因需要必须进行现场</w:t>
            </w:r>
            <w:r>
              <w:rPr>
                <w:rFonts w:hint="eastAsia"/>
                <w:bCs/>
                <w:snapToGrid/>
                <w:color w:val="000000" w:themeColor="text1"/>
                <w:spacing w:val="0"/>
                <w:kern w:val="0"/>
                <w:position w:val="0"/>
                <w:sz w:val="24"/>
                <w:lang w:eastAsia="zh-CN"/>
                <w14:textFill>
                  <w14:solidFill>
                    <w14:schemeClr w14:val="tx1"/>
                  </w14:solidFill>
                </w14:textFill>
              </w:rPr>
              <w:t>预拌砂浆</w:t>
            </w:r>
            <w:r>
              <w:rPr>
                <w:bCs/>
                <w:snapToGrid/>
                <w:color w:val="000000" w:themeColor="text1"/>
                <w:spacing w:val="0"/>
                <w:kern w:val="0"/>
                <w:position w:val="0"/>
                <w:sz w:val="24"/>
                <w14:textFill>
                  <w14:solidFill>
                    <w14:schemeClr w14:val="tx1"/>
                  </w14:solidFill>
                </w14:textFill>
              </w:rPr>
              <w:t>、混凝土时，应尽量做到不洒、不漏、不剩、不倒；混凝土搅拌应设置在棚内，搅拌时要有喷雾降尘措施；</w:t>
            </w:r>
          </w:p>
          <w:p w14:paraId="764C4ACF">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5</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施工现场要设围栏或部分围栏，缩小施工扬尘扩散范围；</w:t>
            </w:r>
          </w:p>
          <w:p w14:paraId="28AA61FF">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eastAsia" w:cs="Times New Roman"/>
                <w:bCs/>
                <w:snapToGrid/>
                <w:color w:val="000000" w:themeColor="text1"/>
                <w:spacing w:val="0"/>
                <w:kern w:val="0"/>
                <w:position w:val="0"/>
                <w:sz w:val="24"/>
                <w:lang w:val="en-US"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6</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当风速过大时，应停止施工作业，并对堆存的砂粉等建筑材料采取遮盖措施。</w:t>
            </w:r>
          </w:p>
          <w:p w14:paraId="4854A1F8">
            <w:pPr>
              <w:adjustRightInd w:val="0"/>
              <w:snapToGrid w:val="0"/>
              <w:spacing w:line="360" w:lineRule="auto"/>
              <w:ind w:firstLine="482" w:firstLineChars="200"/>
              <w:rPr>
                <w:b/>
                <w:bCs/>
                <w:snapToGrid/>
                <w:color w:val="000000" w:themeColor="text1"/>
                <w:spacing w:val="0"/>
                <w:kern w:val="0"/>
                <w:position w:val="0"/>
                <w:sz w:val="24"/>
                <w14:textFill>
                  <w14:solidFill>
                    <w14:schemeClr w14:val="tx1"/>
                  </w14:solidFill>
                </w14:textFill>
              </w:rPr>
            </w:pPr>
            <w:r>
              <w:rPr>
                <w:b/>
                <w:bCs/>
                <w:snapToGrid/>
                <w:color w:val="000000" w:themeColor="text1"/>
                <w:spacing w:val="0"/>
                <w:kern w:val="0"/>
                <w:position w:val="0"/>
                <w:sz w:val="24"/>
                <w14:textFill>
                  <w14:solidFill>
                    <w14:schemeClr w14:val="tx1"/>
                  </w14:solidFill>
                </w14:textFill>
              </w:rPr>
              <w:t>2、施工期废水环境影响和保护措施</w:t>
            </w:r>
          </w:p>
          <w:p w14:paraId="696FB090">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（1）</w:t>
            </w:r>
            <w:r>
              <w:rPr>
                <w:rFonts w:hint="eastAsia"/>
                <w:bCs/>
                <w:snapToGrid/>
                <w:color w:val="000000" w:themeColor="text1"/>
                <w:spacing w:val="0"/>
                <w:kern w:val="0"/>
                <w:position w:val="0"/>
                <w:sz w:val="24"/>
                <w:lang w:val="en-US" w:eastAsia="zh-CN"/>
                <w14:textFill>
                  <w14:solidFill>
                    <w14:schemeClr w14:val="tx1"/>
                  </w14:solidFill>
                </w14:textFill>
              </w:rPr>
              <w:t>施工</w:t>
            </w:r>
            <w:r>
              <w:rPr>
                <w:bCs/>
                <w:snapToGrid/>
                <w:color w:val="000000" w:themeColor="text1"/>
                <w:spacing w:val="0"/>
                <w:kern w:val="0"/>
                <w:position w:val="0"/>
                <w:sz w:val="24"/>
                <w14:textFill>
                  <w14:solidFill>
                    <w14:schemeClr w14:val="tx1"/>
                  </w14:solidFill>
                </w14:textFill>
              </w:rPr>
              <w:t>废水</w:t>
            </w:r>
          </w:p>
          <w:p w14:paraId="04832A7A">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各种施工机械设备运转的冷却水及洗涤用水和施工现场清洗、建材清洗、混凝土养护、设备水压试验等产生的废水，这部分废水含有一定量的油污和泥沙。</w:t>
            </w:r>
          </w:p>
          <w:p w14:paraId="14B39E32">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（2）生活污水</w:t>
            </w:r>
          </w:p>
          <w:p w14:paraId="6237D455">
            <w:pPr>
              <w:adjustRightInd w:val="0"/>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生活污水是由于施工队伍的生活活动造成的，包括食堂用水、洗涤废水和冲厕水。生活污水含有大量细菌和病原体。</w:t>
            </w:r>
          </w:p>
          <w:p w14:paraId="60410A98">
            <w:pPr>
              <w:adjustRightInd w:val="0"/>
              <w:snapToGrid w:val="0"/>
              <w:spacing w:line="360" w:lineRule="auto"/>
              <w:ind w:firstLine="480" w:firstLineChars="200"/>
              <w:rPr>
                <w:rFonts w:hint="eastAsia" w:eastAsia="宋体"/>
                <w:bCs/>
                <w:snapToGrid/>
                <w:color w:val="000000" w:themeColor="text1"/>
                <w:spacing w:val="0"/>
                <w:kern w:val="0"/>
                <w:position w:val="0"/>
                <w:sz w:val="24"/>
                <w:lang w:eastAsia="zh-CN"/>
                <w14:textFill>
                  <w14:solidFill>
                    <w14:schemeClr w14:val="tx1"/>
                  </w14:solidFill>
                </w14:textFill>
              </w:rPr>
            </w:pPr>
            <w:r>
              <w:rPr>
                <w:bCs/>
                <w:snapToGrid/>
                <w:color w:val="000000" w:themeColor="text1"/>
                <w:spacing w:val="0"/>
                <w:kern w:val="0"/>
                <w:position w:val="0"/>
                <w:sz w:val="24"/>
                <w14:textFill>
                  <w14:solidFill>
                    <w14:schemeClr w14:val="tx1"/>
                  </w14:solidFill>
                </w14:textFill>
              </w:rPr>
              <w:t>上述废水水量不大，但如果不经处理或处理不当，同样会危害环境。施工期间，在排污工程不健全的情况下，应当尽量减少物料流失、散落和溢流出现，</w:t>
            </w:r>
            <w:r>
              <w:rPr>
                <w:rFonts w:hint="default"/>
                <w:bCs/>
                <w:snapToGrid/>
                <w:color w:val="000000" w:themeColor="text1"/>
                <w:spacing w:val="0"/>
                <w:kern w:val="0"/>
                <w:position w:val="0"/>
                <w:sz w:val="24"/>
                <w:lang w:eastAsia="zh-CN"/>
                <w14:textFill>
                  <w14:solidFill>
                    <w14:schemeClr w14:val="tx1"/>
                  </w14:solidFill>
                </w14:textFill>
              </w:rPr>
              <w:t>减少</w:t>
            </w:r>
            <w:r>
              <w:rPr>
                <w:bCs/>
                <w:snapToGrid/>
                <w:color w:val="000000" w:themeColor="text1"/>
                <w:spacing w:val="0"/>
                <w:kern w:val="0"/>
                <w:position w:val="0"/>
                <w:sz w:val="24"/>
                <w14:textFill>
                  <w14:solidFill>
                    <w14:schemeClr w14:val="tx1"/>
                  </w14:solidFill>
                </w14:textFill>
              </w:rPr>
              <w:t>废水产生量</w:t>
            </w:r>
            <w:r>
              <w:rPr>
                <w:rFonts w:hint="eastAsia"/>
                <w:bCs/>
                <w:snapToGrid/>
                <w:color w:val="000000" w:themeColor="text1"/>
                <w:spacing w:val="0"/>
                <w:kern w:val="0"/>
                <w:position w:val="0"/>
                <w:sz w:val="24"/>
                <w:lang w:eastAsia="zh-CN"/>
                <w14:textFill>
                  <w14:solidFill>
                    <w14:schemeClr w14:val="tx1"/>
                  </w14:solidFill>
                </w14:textFill>
              </w:rPr>
              <w:t>。</w:t>
            </w:r>
          </w:p>
          <w:p w14:paraId="1A34FAE0">
            <w:pPr>
              <w:widowControl/>
              <w:adjustRightInd w:val="0"/>
              <w:snapToGrid w:val="0"/>
              <w:spacing w:line="360" w:lineRule="auto"/>
              <w:ind w:firstLine="480" w:firstLineChars="200"/>
              <w:jc w:val="left"/>
              <w:rPr>
                <w:bCs/>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对于机械与车辆冲洗废水，主要为含油废水，应尽量要求施工机械和车辆到附近专门清洗点或修理点进行清洗和修理，小部分在项目区内进行清洗或修理的施工机械、车辆所产生的含油废水不得随意排放，要建排水沟和小型隔油池，经处理后</w:t>
            </w:r>
            <w:r>
              <w:rPr>
                <w:rFonts w:hint="eastAsia" w:cs="Times New Roman"/>
                <w:bCs/>
                <w:color w:val="000000" w:themeColor="text1"/>
                <w:kern w:val="0"/>
                <w:sz w:val="24"/>
                <w:szCs w:val="24"/>
                <w:lang w:val="en-US" w:eastAsia="zh-CN" w:bidi="ar"/>
                <w14:textFill>
                  <w14:solidFill>
                    <w14:schemeClr w14:val="tx1"/>
                  </w14:solidFill>
                </w14:textFill>
              </w:rPr>
              <w:t>用作</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施工场地洒水抑尘。</w:t>
            </w:r>
          </w:p>
          <w:p w14:paraId="7116E7C9">
            <w:pPr>
              <w:adjustRightInd w:val="0"/>
              <w:snapToGrid w:val="0"/>
              <w:spacing w:line="360" w:lineRule="auto"/>
              <w:ind w:firstLine="482" w:firstLineChars="200"/>
              <w:rPr>
                <w:b/>
                <w:bCs/>
                <w:snapToGrid/>
                <w:color w:val="000000" w:themeColor="text1"/>
                <w:spacing w:val="0"/>
                <w:kern w:val="0"/>
                <w:position w:val="0"/>
                <w:sz w:val="24"/>
                <w14:textFill>
                  <w14:solidFill>
                    <w14:schemeClr w14:val="tx1"/>
                  </w14:solidFill>
                </w14:textFill>
              </w:rPr>
            </w:pPr>
            <w:r>
              <w:rPr>
                <w:b/>
                <w:bCs/>
                <w:snapToGrid/>
                <w:color w:val="000000" w:themeColor="text1"/>
                <w:spacing w:val="0"/>
                <w:kern w:val="0"/>
                <w:position w:val="0"/>
                <w:sz w:val="24"/>
                <w14:textFill>
                  <w14:solidFill>
                    <w14:schemeClr w14:val="tx1"/>
                  </w14:solidFill>
                </w14:textFill>
              </w:rPr>
              <w:t>3、施工期噪声环境影响和保护措施</w:t>
            </w:r>
          </w:p>
          <w:p w14:paraId="57E47C1A">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本项目施工机械噪声主要是低频噪声，施工期噪声源强度在75-100dB</w:t>
            </w:r>
            <w:r>
              <w:rPr>
                <w:rFonts w:hint="eastAsia"/>
                <w:snapToGrid/>
                <w:color w:val="000000" w:themeColor="text1"/>
                <w:spacing w:val="0"/>
                <w:kern w:val="0"/>
                <w:position w:val="0"/>
                <w:sz w:val="24"/>
                <w:lang w:eastAsia="zh-CN"/>
                <w14:textFill>
                  <w14:solidFill>
                    <w14:schemeClr w14:val="tx1"/>
                  </w14:solidFill>
                </w14:textFill>
              </w:rPr>
              <w:t>（</w:t>
            </w:r>
            <w:r>
              <w:rPr>
                <w:rFonts w:hint="eastAsia"/>
                <w:snapToGrid/>
                <w:color w:val="000000" w:themeColor="text1"/>
                <w:spacing w:val="0"/>
                <w:kern w:val="0"/>
                <w:position w:val="0"/>
                <w:sz w:val="24"/>
                <w:lang w:val="en-US" w:eastAsia="zh-CN"/>
                <w14:textFill>
                  <w14:solidFill>
                    <w14:schemeClr w14:val="tx1"/>
                  </w14:solidFill>
                </w14:textFill>
              </w:rPr>
              <w:t>A</w:t>
            </w:r>
            <w:r>
              <w:rPr>
                <w:rFonts w:hint="eastAsia"/>
                <w:snapToGrid/>
                <w:color w:val="000000" w:themeColor="text1"/>
                <w:spacing w:val="0"/>
                <w:kern w:val="0"/>
                <w:position w:val="0"/>
                <w:sz w:val="24"/>
                <w:lang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通过采取优化施工组织，合理安排设备运作时间，严禁夜间工作，采取低噪设备，合理布置施工平面，强化隔声效果，对设备进行减振处理，同时加强对运输车辆管理，严禁鸣笛等措施后，施工源强可降至60~85dB</w:t>
            </w:r>
            <w:r>
              <w:rPr>
                <w:rFonts w:hint="eastAsia"/>
                <w:snapToGrid/>
                <w:color w:val="000000" w:themeColor="text1"/>
                <w:spacing w:val="0"/>
                <w:kern w:val="0"/>
                <w:position w:val="0"/>
                <w:sz w:val="24"/>
                <w:lang w:eastAsia="zh-CN"/>
                <w14:textFill>
                  <w14:solidFill>
                    <w14:schemeClr w14:val="tx1"/>
                  </w14:solidFill>
                </w14:textFill>
              </w:rPr>
              <w:t>（</w:t>
            </w:r>
            <w:r>
              <w:rPr>
                <w:rFonts w:hint="eastAsia"/>
                <w:snapToGrid/>
                <w:color w:val="000000" w:themeColor="text1"/>
                <w:spacing w:val="0"/>
                <w:kern w:val="0"/>
                <w:position w:val="0"/>
                <w:sz w:val="24"/>
                <w:lang w:val="en-US" w:eastAsia="zh-CN"/>
                <w14:textFill>
                  <w14:solidFill>
                    <w14:schemeClr w14:val="tx1"/>
                  </w14:solidFill>
                </w14:textFill>
              </w:rPr>
              <w:t>A</w:t>
            </w:r>
            <w:r>
              <w:rPr>
                <w:rFonts w:hint="eastAsia"/>
                <w:snapToGrid/>
                <w:color w:val="000000" w:themeColor="text1"/>
                <w:spacing w:val="0"/>
                <w:kern w:val="0"/>
                <w:position w:val="0"/>
                <w:sz w:val="24"/>
                <w:lang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因此，项目施工期噪声通过距离衰减可满足《建筑施工场界环境噪声排放标准》</w:t>
            </w:r>
            <w:r>
              <w:rPr>
                <w:rFonts w:hint="eastAsia"/>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GB12523-2011</w:t>
            </w:r>
            <w:r>
              <w:rPr>
                <w:rFonts w:hint="eastAsia"/>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的规定，不会对周围环境造成影响。</w:t>
            </w:r>
          </w:p>
          <w:p w14:paraId="76AA0042">
            <w:pPr>
              <w:snapToGrid w:val="0"/>
              <w:spacing w:line="360" w:lineRule="auto"/>
              <w:ind w:firstLine="482" w:firstLineChars="200"/>
              <w:rPr>
                <w:b/>
                <w:bCs/>
                <w:snapToGrid/>
                <w:color w:val="000000" w:themeColor="text1"/>
                <w:spacing w:val="0"/>
                <w:kern w:val="0"/>
                <w:position w:val="0"/>
                <w:sz w:val="24"/>
                <w14:textFill>
                  <w14:solidFill>
                    <w14:schemeClr w14:val="tx1"/>
                  </w14:solidFill>
                </w14:textFill>
              </w:rPr>
            </w:pPr>
            <w:r>
              <w:rPr>
                <w:b/>
                <w:bCs/>
                <w:snapToGrid/>
                <w:color w:val="000000" w:themeColor="text1"/>
                <w:spacing w:val="0"/>
                <w:kern w:val="0"/>
                <w:position w:val="0"/>
                <w:sz w:val="24"/>
                <w14:textFill>
                  <w14:solidFill>
                    <w14:schemeClr w14:val="tx1"/>
                  </w14:solidFill>
                </w14:textFill>
              </w:rPr>
              <w:t>4、施工期固废环境影响和保护措施</w:t>
            </w:r>
          </w:p>
          <w:p w14:paraId="492CB793">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14:paraId="1B89D255">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防治措施：</w:t>
            </w:r>
          </w:p>
          <w:p w14:paraId="7C22C290">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rFonts w:hint="default" w:ascii="Times New Roman" w:hAnsi="Times New Roman" w:cs="Times New Roman"/>
                <w:bCs/>
                <w:snapToGrid/>
                <w:color w:val="000000" w:themeColor="text1"/>
                <w:spacing w:val="0"/>
                <w:kern w:val="0"/>
                <w:position w:val="0"/>
                <w:sz w:val="24"/>
                <w:lang w:val="en-US" w:eastAsia="zh-CN"/>
                <w14:textFill>
                  <w14:solidFill>
                    <w14:schemeClr w14:val="tx1"/>
                  </w14:solidFill>
                </w14:textFill>
              </w:rPr>
              <w:t>1</w:t>
            </w: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车辆运输固废时，运输车辆必须做到装载适量，加盖</w:t>
            </w:r>
            <w:r>
              <w:rPr>
                <w:rFonts w:hint="eastAsia"/>
                <w:bCs/>
                <w:snapToGrid/>
                <w:color w:val="000000" w:themeColor="text1"/>
                <w:spacing w:val="0"/>
                <w:kern w:val="0"/>
                <w:position w:val="0"/>
                <w:sz w:val="24"/>
                <w:lang w:eastAsia="zh-CN"/>
                <w14:textFill>
                  <w14:solidFill>
                    <w14:schemeClr w14:val="tx1"/>
                  </w14:solidFill>
                </w14:textFill>
              </w:rPr>
              <w:t>苫布</w:t>
            </w:r>
            <w:r>
              <w:rPr>
                <w:bCs/>
                <w:snapToGrid/>
                <w:color w:val="000000" w:themeColor="text1"/>
                <w:spacing w:val="0"/>
                <w:kern w:val="0"/>
                <w:position w:val="0"/>
                <w:sz w:val="24"/>
                <w14:textFill>
                  <w14:solidFill>
                    <w14:schemeClr w14:val="tx1"/>
                  </w14:solidFill>
                </w14:textFill>
              </w:rPr>
              <w:t>，出工地前做好外部清洗，沿途不漏泥土、不飞扬；运输必须限制在规定时段内进行，按指定路段行驶。</w:t>
            </w:r>
          </w:p>
          <w:p w14:paraId="17FC1449">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对可再利用的废料，如木材、钢筋等，应进行回收，以节省资源。</w:t>
            </w:r>
          </w:p>
          <w:p w14:paraId="66E33F82">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3</w:t>
            </w: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对砖瓦等建筑垃圾，可采用一般堆存的方法处理，但一定要将其最终运送到指定的建筑垃圾倾倒场。</w:t>
            </w:r>
          </w:p>
          <w:p w14:paraId="2C62F69B">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实施全封闭型施工，尽可能使施工期间的污染和影响控制在施工场地范围内，尽量减少对周围环境的影响。</w:t>
            </w:r>
          </w:p>
          <w:p w14:paraId="0C1B917B">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cs="Times New Roman"/>
                <w:bCs/>
                <w:snapToGrid/>
                <w:color w:val="000000" w:themeColor="text1"/>
                <w:spacing w:val="0"/>
                <w:kern w:val="0"/>
                <w:position w:val="0"/>
                <w:sz w:val="24"/>
                <w:lang w:val="en-US" w:eastAsia="zh-CN"/>
                <w14:textFill>
                  <w14:solidFill>
                    <w14:schemeClr w14:val="tx1"/>
                  </w14:solidFill>
                </w14:textFill>
              </w:rPr>
              <w:t>5</w:t>
            </w:r>
            <w:r>
              <w:rPr>
                <w:rFonts w:hint="default" w:ascii="Times New Roman" w:hAnsi="Times New Roman" w:cs="Times New Roman"/>
                <w:bCs/>
                <w:snapToGrid/>
                <w:color w:val="000000" w:themeColor="text1"/>
                <w:spacing w:val="0"/>
                <w:kern w:val="0"/>
                <w:position w:val="0"/>
                <w:sz w:val="24"/>
                <w:lang w:eastAsia="zh-CN"/>
                <w14:textFill>
                  <w14:solidFill>
                    <w14:schemeClr w14:val="tx1"/>
                  </w14:solidFill>
                </w14:textFill>
              </w:rPr>
              <w:t>）</w:t>
            </w:r>
            <w:r>
              <w:rPr>
                <w:bCs/>
                <w:snapToGrid/>
                <w:color w:val="000000" w:themeColor="text1"/>
                <w:spacing w:val="0"/>
                <w:kern w:val="0"/>
                <w:position w:val="0"/>
                <w:sz w:val="24"/>
                <w14:textFill>
                  <w14:solidFill>
                    <w14:schemeClr w14:val="tx1"/>
                  </w14:solidFill>
                </w14:textFill>
              </w:rPr>
              <w:t>施工人员产生的生活垃圾集中收集后由环卫部门统一清运处理。</w:t>
            </w:r>
          </w:p>
          <w:p w14:paraId="581699D1">
            <w:pPr>
              <w:snapToGrid w:val="0"/>
              <w:spacing w:line="360" w:lineRule="auto"/>
              <w:ind w:firstLine="482" w:firstLineChars="200"/>
              <w:rPr>
                <w:b/>
                <w:bCs/>
                <w:snapToGrid/>
                <w:color w:val="000000" w:themeColor="text1"/>
                <w:spacing w:val="0"/>
                <w:kern w:val="0"/>
                <w:position w:val="0"/>
                <w:sz w:val="24"/>
                <w14:textFill>
                  <w14:solidFill>
                    <w14:schemeClr w14:val="tx1"/>
                  </w14:solidFill>
                </w14:textFill>
              </w:rPr>
            </w:pPr>
            <w:r>
              <w:rPr>
                <w:b/>
                <w:bCs/>
                <w:snapToGrid/>
                <w:color w:val="000000" w:themeColor="text1"/>
                <w:spacing w:val="0"/>
                <w:kern w:val="0"/>
                <w:position w:val="0"/>
                <w:sz w:val="24"/>
                <w14:textFill>
                  <w14:solidFill>
                    <w14:schemeClr w14:val="tx1"/>
                  </w14:solidFill>
                </w14:textFill>
              </w:rPr>
              <w:t>5、施工期生态环境影响和保护措施</w:t>
            </w:r>
          </w:p>
          <w:p w14:paraId="5A96564D">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根据《中华人民共和国水土保持法》的规定：企事业单位在建设和生产过程中必须采取水土保持措施，对造成的水土流失负责治理，根据本项目建设情况，项目施工期间应采取以下水土保持措施：</w:t>
            </w:r>
          </w:p>
          <w:p w14:paraId="76D8E061">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（1）施工期间应做好相关水土保持措施的实施。</w:t>
            </w:r>
          </w:p>
          <w:p w14:paraId="5477C743">
            <w:pPr>
              <w:snapToGrid w:val="0"/>
              <w:spacing w:line="360" w:lineRule="auto"/>
              <w:ind w:firstLine="480" w:firstLineChars="200"/>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（2）在工期安排上考虑避开降雨集中的季节，对挖填做到随挖、随运，覆土做到随铺、随压。</w:t>
            </w:r>
          </w:p>
          <w:p w14:paraId="04298C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（3）对裸露、松散的土壤喷洒适量的水，使土壤表面处于湿润状态，以减少土壤的风蚀流失和尘土污染危害。</w:t>
            </w:r>
          </w:p>
          <w:p w14:paraId="5754B4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napToGrid/>
                <w:color w:val="000000" w:themeColor="text1"/>
                <w:spacing w:val="0"/>
                <w:kern w:val="0"/>
                <w:position w:val="0"/>
                <w:sz w:val="24"/>
                <w14:textFill>
                  <w14:solidFill>
                    <w14:schemeClr w14:val="tx1"/>
                  </w14:solidFill>
                </w14:textFill>
              </w:rPr>
            </w:pPr>
            <w:r>
              <w:rPr>
                <w:bCs/>
                <w:snapToGrid/>
                <w:color w:val="000000" w:themeColor="text1"/>
                <w:spacing w:val="0"/>
                <w:kern w:val="0"/>
                <w:position w:val="0"/>
                <w:sz w:val="24"/>
                <w14:textFill>
                  <w14:solidFill>
                    <w14:schemeClr w14:val="tx1"/>
                  </w14:solidFill>
                </w14:textFill>
              </w:rPr>
              <w:t>（4）建设单位必须将厂区绿化工程与主体工程同时规划、同时设计、同时投产。</w:t>
            </w:r>
          </w:p>
          <w:p w14:paraId="4359825F">
            <w:pPr>
              <w:snapToGrid w:val="0"/>
              <w:spacing w:line="360" w:lineRule="auto"/>
              <w:ind w:firstLine="480" w:firstLineChars="200"/>
              <w:rPr>
                <w:rFonts w:hint="default" w:ascii="宋体" w:hAnsi="宋体" w:eastAsia="宋体" w:cs="宋体"/>
                <w:bCs/>
                <w:snapToGrid/>
                <w:color w:val="000000" w:themeColor="text1"/>
                <w:spacing w:val="0"/>
                <w:kern w:val="0"/>
                <w:position w:val="0"/>
                <w:sz w:val="24"/>
                <w:szCs w:val="24"/>
                <w:lang w:val="en-US" w:eastAsia="zh-CN"/>
                <w14:textFill>
                  <w14:solidFill>
                    <w14:schemeClr w14:val="tx1"/>
                  </w14:solidFill>
                </w14:textFill>
              </w:rPr>
            </w:pPr>
            <w:r>
              <w:rPr>
                <w:bCs/>
                <w:snapToGrid/>
                <w:color w:val="000000" w:themeColor="text1"/>
                <w:spacing w:val="0"/>
                <w:kern w:val="0"/>
                <w:position w:val="0"/>
                <w:sz w:val="24"/>
                <w14:textFill>
                  <w14:solidFill>
                    <w14:schemeClr w14:val="tx1"/>
                  </w14:solidFill>
                </w14:textFill>
              </w:rPr>
              <w:t>（5）主体工程完成后，首先应对工程裸地进行植被恢复，以减少水土流失。</w:t>
            </w:r>
            <w:r>
              <w:rPr>
                <w:snapToGrid/>
                <w:color w:val="000000" w:themeColor="text1"/>
                <w:spacing w:val="0"/>
                <w:kern w:val="0"/>
                <w:position w:val="0"/>
                <w:sz w:val="24"/>
                <w14:textFill>
                  <w14:solidFill>
                    <w14:schemeClr w14:val="tx1"/>
                  </w14:solidFill>
                </w14:textFill>
              </w:rPr>
              <w:t>结束后，以上影响将会消除。</w:t>
            </w:r>
          </w:p>
        </w:tc>
      </w:tr>
      <w:tr w14:paraId="5DFB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jc w:val="center"/>
        </w:trPr>
        <w:tc>
          <w:tcPr>
            <w:tcW w:w="577" w:type="dxa"/>
            <w:tcBorders>
              <w:tl2br w:val="nil"/>
              <w:tr2bl w:val="nil"/>
            </w:tcBorders>
            <w:noWrap w:val="0"/>
            <w:tcMar>
              <w:left w:w="28" w:type="dxa"/>
              <w:right w:w="28" w:type="dxa"/>
            </w:tcMar>
            <w:vAlign w:val="center"/>
          </w:tcPr>
          <w:p w14:paraId="33A6D9E6">
            <w:pPr>
              <w:adjustRightInd w:val="0"/>
              <w:snapToGrid w:val="0"/>
              <w:jc w:val="center"/>
              <w:rPr>
                <w:rFonts w:ascii="宋体" w:hAnsi="宋体" w:cs="宋体"/>
                <w:bCs/>
                <w:snapToGrid/>
                <w:color w:val="000000" w:themeColor="text1"/>
                <w:spacing w:val="0"/>
                <w:kern w:val="0"/>
                <w:position w:val="0"/>
                <w:sz w:val="24"/>
                <w:szCs w:val="24"/>
                <w14:textFill>
                  <w14:solidFill>
                    <w14:schemeClr w14:val="tx1"/>
                  </w14:solidFill>
                </w14:textFill>
              </w:rPr>
            </w:pPr>
            <w:r>
              <w:rPr>
                <w:rFonts w:hint="eastAsia" w:ascii="宋体" w:hAnsi="宋体" w:cs="宋体"/>
                <w:bCs/>
                <w:snapToGrid/>
                <w:color w:val="000000" w:themeColor="text1"/>
                <w:spacing w:val="0"/>
                <w:kern w:val="0"/>
                <w:position w:val="0"/>
                <w:sz w:val="24"/>
                <w:szCs w:val="24"/>
                <w14:textFill>
                  <w14:solidFill>
                    <w14:schemeClr w14:val="tx1"/>
                  </w14:solidFill>
                </w14:textFill>
              </w:rPr>
              <w:t>运营期环境影响和保护措施</w:t>
            </w:r>
          </w:p>
        </w:tc>
        <w:tc>
          <w:tcPr>
            <w:tcW w:w="8404" w:type="dxa"/>
            <w:tcBorders>
              <w:tl2br w:val="nil"/>
              <w:tr2bl w:val="nil"/>
            </w:tcBorders>
            <w:noWrap w:val="0"/>
            <w:vAlign w:val="center"/>
          </w:tcPr>
          <w:p w14:paraId="435E2F37">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14:textFill>
                  <w14:solidFill>
                    <w14:schemeClr w14:val="tx1"/>
                  </w14:solidFill>
                </w14:textFill>
              </w:rPr>
              <w:t>1、废气</w:t>
            </w:r>
          </w:p>
          <w:p w14:paraId="45043DC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本项目运营期产生的废气主要为原料堆场粉尘、筒仓粉尘、搅拌粉尘、运输车辆扬尘等。</w:t>
            </w:r>
          </w:p>
          <w:p w14:paraId="1B09326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（1）产排污情况</w:t>
            </w:r>
          </w:p>
          <w:p w14:paraId="57E028A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1）原料堆场粉尘</w:t>
            </w:r>
          </w:p>
          <w:p w14:paraId="3C2BFB1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①源强计算</w:t>
            </w:r>
          </w:p>
          <w:p w14:paraId="63D5A12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本项目原料堆场粉尘主要来自骨料装卸。根据《排放源统计调查产排污核算方法和系数手册》（生态环境部公告2021年第24号）附表2“固体物料堆场颗粒物产排污核算系数手册”，工业企业固体物料堆存颗粒物包括装卸扬尘和风蚀扬尘，颗粒物产生量核算公式如下：</w:t>
            </w:r>
          </w:p>
          <w:p w14:paraId="618683BF">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lang w:val="en-US" w:eastAsia="zh-CN"/>
                <w14:textFill>
                  <w14:solidFill>
                    <w14:schemeClr w14:val="tx1"/>
                  </w14:solidFill>
                </w14:textFill>
              </w:rPr>
              <w:t>P=ZCy+FCy={N</w:t>
            </w:r>
            <w:r>
              <w:rPr>
                <w:rFonts w:hint="default"/>
                <w:color w:val="000000" w:themeColor="text1"/>
                <w:kern w:val="0"/>
                <w:sz w:val="24"/>
                <w:szCs w:val="24"/>
                <w:vertAlign w:val="subscript"/>
                <w:lang w:val="en-US" w:eastAsia="zh-CN"/>
                <w14:textFill>
                  <w14:solidFill>
                    <w14:schemeClr w14:val="tx1"/>
                  </w14:solidFill>
                </w14:textFill>
              </w:rPr>
              <w:t>C</w:t>
            </w:r>
            <w:r>
              <w:rPr>
                <w:rFonts w:hint="default"/>
                <w:color w:val="000000" w:themeColor="text1"/>
                <w:kern w:val="0"/>
                <w:sz w:val="24"/>
                <w:szCs w:val="24"/>
                <w:lang w:val="en-US" w:eastAsia="zh-CN"/>
                <w14:textFill>
                  <w14:solidFill>
                    <w14:schemeClr w14:val="tx1"/>
                  </w14:solidFill>
                </w14:textFill>
              </w:rPr>
              <w:t>×D×</w:t>
            </w:r>
            <w:r>
              <w:rPr>
                <w:rFonts w:hint="eastAsia"/>
                <w:color w:val="000000" w:themeColor="text1"/>
                <w:kern w:val="0"/>
                <w:sz w:val="24"/>
                <w:szCs w:val="24"/>
                <w:lang w:val="en-US" w:eastAsia="zh-CN"/>
                <w14:textFill>
                  <w14:solidFill>
                    <w14:schemeClr w14:val="tx1"/>
                  </w14:solidFill>
                </w14:textFill>
              </w:rPr>
              <w:t>(</w:t>
            </w:r>
            <w:r>
              <w:rPr>
                <w:rFonts w:hint="default"/>
                <w:color w:val="000000" w:themeColor="text1"/>
                <w:kern w:val="0"/>
                <w:sz w:val="24"/>
                <w:szCs w:val="24"/>
                <w:lang w:val="en-US" w:eastAsia="zh-CN"/>
                <w14:textFill>
                  <w14:solidFill>
                    <w14:schemeClr w14:val="tx1"/>
                  </w14:solidFill>
                </w14:textFill>
              </w:rPr>
              <w:t>a/b</w:t>
            </w:r>
            <w:r>
              <w:rPr>
                <w:rFonts w:hint="eastAsia"/>
                <w:color w:val="000000" w:themeColor="text1"/>
                <w:kern w:val="0"/>
                <w:sz w:val="24"/>
                <w:szCs w:val="24"/>
                <w:lang w:val="en-US" w:eastAsia="zh-CN"/>
                <w14:textFill>
                  <w14:solidFill>
                    <w14:schemeClr w14:val="tx1"/>
                  </w14:solidFill>
                </w14:textFill>
              </w:rPr>
              <w:t>)</w:t>
            </w:r>
            <w:r>
              <w:rPr>
                <w:rFonts w:hint="default"/>
                <w:color w:val="000000" w:themeColor="text1"/>
                <w:kern w:val="0"/>
                <w:sz w:val="24"/>
                <w:szCs w:val="24"/>
                <w:lang w:val="en-US" w:eastAsia="zh-CN"/>
                <w14:textFill>
                  <w14:solidFill>
                    <w14:schemeClr w14:val="tx1"/>
                  </w14:solidFill>
                </w14:textFill>
              </w:rPr>
              <w:t>+2×Ef×S}×10</w:t>
            </w:r>
            <w:r>
              <w:rPr>
                <w:rFonts w:hint="default"/>
                <w:color w:val="000000" w:themeColor="text1"/>
                <w:kern w:val="0"/>
                <w:sz w:val="24"/>
                <w:szCs w:val="24"/>
                <w:vertAlign w:val="superscript"/>
                <w:lang w:val="en-US" w:eastAsia="zh-CN"/>
                <w14:textFill>
                  <w14:solidFill>
                    <w14:schemeClr w14:val="tx1"/>
                  </w14:solidFill>
                </w14:textFill>
              </w:rPr>
              <w:t>-</w:t>
            </w:r>
            <w:r>
              <w:rPr>
                <w:rFonts w:hint="eastAsia"/>
                <w:color w:val="000000" w:themeColor="text1"/>
                <w:kern w:val="0"/>
                <w:sz w:val="24"/>
                <w:szCs w:val="24"/>
                <w:vertAlign w:val="superscript"/>
                <w:lang w:val="en-US" w:eastAsia="zh-CN"/>
                <w14:textFill>
                  <w14:solidFill>
                    <w14:schemeClr w14:val="tx1"/>
                  </w14:solidFill>
                </w14:textFill>
              </w:rPr>
              <w:t>6</w:t>
            </w:r>
          </w:p>
          <w:p w14:paraId="57E56AD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式中：</w:t>
            </w:r>
          </w:p>
          <w:p w14:paraId="0C1BAA8C">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P—颗粒物产生量（单位：t）；</w:t>
            </w:r>
          </w:p>
          <w:p w14:paraId="58DC3766">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ZCy—装卸扬尘产生量（单位：t）；</w:t>
            </w:r>
          </w:p>
          <w:p w14:paraId="5A9FD3C8">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FCy—风蚀扬尘产生量（单位：t）；</w:t>
            </w:r>
          </w:p>
          <w:p w14:paraId="5C28BCAC">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N</w:t>
            </w:r>
            <w:r>
              <w:rPr>
                <w:rFonts w:hint="default" w:ascii="Times New Roman" w:hAnsi="Times New Roman" w:cs="Times New Roman"/>
                <w:color w:val="000000" w:themeColor="text1"/>
                <w:kern w:val="0"/>
                <w:sz w:val="24"/>
                <w:szCs w:val="24"/>
                <w:vertAlign w:val="subscript"/>
                <w:lang w:val="en-US" w:eastAsia="zh-CN"/>
                <w14:textFill>
                  <w14:solidFill>
                    <w14:schemeClr w14:val="tx1"/>
                  </w14:solidFill>
                </w14:textFill>
              </w:rPr>
              <w:t>C</w:t>
            </w:r>
            <w:r>
              <w:rPr>
                <w:rFonts w:hint="default" w:ascii="Times New Roman" w:hAnsi="Times New Roman" w:cs="Times New Roman"/>
                <w:color w:val="000000" w:themeColor="text1"/>
                <w:kern w:val="0"/>
                <w:sz w:val="24"/>
                <w:szCs w:val="24"/>
                <w:lang w:val="en-US" w:eastAsia="zh-CN"/>
                <w14:textFill>
                  <w14:solidFill>
                    <w14:schemeClr w14:val="tx1"/>
                  </w14:solidFill>
                </w14:textFill>
              </w:rPr>
              <w:t>—年物料运载车次</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本项目</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原料堆场主要堆存</w:t>
            </w:r>
            <w:r>
              <w:rPr>
                <w:rFonts w:hint="eastAsia" w:cs="Times New Roman"/>
                <w:color w:val="000000" w:themeColor="text1"/>
                <w:kern w:val="0"/>
                <w:sz w:val="24"/>
                <w:szCs w:val="24"/>
                <w:lang w:val="en-US" w:eastAsia="zh-CN"/>
                <w14:textFill>
                  <w14:solidFill>
                    <w14:schemeClr w14:val="tx1"/>
                  </w14:solidFill>
                </w14:textFill>
              </w:rPr>
              <w:t>骨</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料约</w:t>
            </w:r>
            <w:r>
              <w:rPr>
                <w:rFonts w:hint="eastAsia" w:cs="Times New Roman"/>
                <w:color w:val="000000" w:themeColor="text1"/>
                <w:kern w:val="0"/>
                <w:sz w:val="24"/>
                <w:szCs w:val="24"/>
                <w:lang w:val="en-US" w:eastAsia="zh-CN"/>
                <w14:textFill>
                  <w14:solidFill>
                    <w14:schemeClr w14:val="tx1"/>
                  </w14:solidFill>
                </w14:textFill>
              </w:rPr>
              <w:t>1078832</w:t>
            </w:r>
            <w:r>
              <w:rPr>
                <w:rFonts w:hint="default" w:ascii="Times New Roman" w:hAnsi="Times New Roman" w:cs="Times New Roman"/>
                <w:color w:val="000000" w:themeColor="text1"/>
                <w:kern w:val="0"/>
                <w:sz w:val="24"/>
                <w:szCs w:val="24"/>
                <w:lang w:val="en-US" w:eastAsia="zh-CN"/>
                <w14:textFill>
                  <w14:solidFill>
                    <w14:schemeClr w14:val="tx1"/>
                  </w14:solidFill>
                </w14:textFill>
              </w:rPr>
              <w:t>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年物料运载车次</w:t>
            </w:r>
            <w:r>
              <w:rPr>
                <w:rFonts w:hint="eastAsia" w:cs="Times New Roman"/>
                <w:color w:val="000000" w:themeColor="text1"/>
                <w:kern w:val="0"/>
                <w:sz w:val="24"/>
                <w:szCs w:val="24"/>
                <w:lang w:val="en-US" w:eastAsia="zh-CN"/>
                <w14:textFill>
                  <w14:solidFill>
                    <w14:schemeClr w14:val="tx1"/>
                  </w14:solidFill>
                </w14:textFill>
              </w:rPr>
              <w:t>约35960车；</w:t>
            </w:r>
          </w:p>
          <w:p w14:paraId="2CF9A800">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D—单车平均运载量</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，本项目空车重约</w:t>
            </w:r>
            <w:r>
              <w:rPr>
                <w:rFonts w:hint="default" w:ascii="Times New Roman" w:hAnsi="Times New Roman" w:cs="Times New Roman"/>
                <w:color w:val="000000" w:themeColor="text1"/>
                <w:kern w:val="0"/>
                <w:sz w:val="24"/>
                <w:szCs w:val="24"/>
                <w:lang w:val="en-US" w:eastAsia="zh-CN"/>
                <w14:textFill>
                  <w14:solidFill>
                    <w14:schemeClr w14:val="tx1"/>
                  </w14:solidFill>
                </w14:textFill>
              </w:rPr>
              <w:t>10t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，载重车约</w:t>
            </w:r>
            <w:r>
              <w:rPr>
                <w:rFonts w:hint="default" w:ascii="Times New Roman" w:hAnsi="Times New Roman" w:cs="Times New Roman"/>
                <w:color w:val="000000" w:themeColor="text1"/>
                <w:kern w:val="0"/>
                <w:sz w:val="24"/>
                <w:szCs w:val="24"/>
                <w:lang w:val="en-US" w:eastAsia="zh-CN"/>
                <w14:textFill>
                  <w14:solidFill>
                    <w14:schemeClr w14:val="tx1"/>
                  </w14:solidFill>
                </w14:textFill>
              </w:rPr>
              <w:t>40t</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单车平均运载量30t/</w:t>
            </w:r>
            <w:r>
              <w:rPr>
                <w:rFonts w:hint="eastAsia" w:cs="Times New Roman"/>
                <w:color w:val="000000" w:themeColor="text1"/>
                <w:kern w:val="0"/>
                <w:sz w:val="24"/>
                <w:szCs w:val="24"/>
                <w:lang w:val="en-US" w:eastAsia="zh-CN"/>
                <w14:textFill>
                  <w14:solidFill>
                    <w14:schemeClr w14:val="tx1"/>
                  </w14:solidFill>
                </w14:textFill>
              </w:rPr>
              <w:t>车；</w:t>
            </w:r>
          </w:p>
          <w:p w14:paraId="70B89061">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w:t>
            </w:r>
            <w:r>
              <w:rPr>
                <w:rFonts w:hint="default"/>
                <w:color w:val="000000" w:themeColor="text1"/>
                <w:kern w:val="0"/>
                <w:sz w:val="24"/>
                <w:szCs w:val="24"/>
                <w:lang w:val="en-US" w:eastAsia="zh-CN"/>
                <w14:textFill>
                  <w14:solidFill>
                    <w14:schemeClr w14:val="tx1"/>
                  </w14:solidFill>
                </w14:textFill>
              </w:rPr>
              <w:t>a/b</w:t>
            </w:r>
            <w:r>
              <w:rPr>
                <w:rFonts w:hint="eastAsia"/>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装卸扬尘概化系数，</w:t>
            </w:r>
            <w:r>
              <w:rPr>
                <w:rFonts w:hint="default"/>
                <w:color w:val="000000" w:themeColor="text1"/>
                <w:kern w:val="0"/>
                <w:sz w:val="24"/>
                <w:szCs w:val="24"/>
                <w:lang w:val="en-US" w:eastAsia="zh-CN"/>
                <w14:textFill>
                  <w14:solidFill>
                    <w14:schemeClr w14:val="tx1"/>
                  </w14:solidFill>
                </w14:textFill>
              </w:rPr>
              <w:t>a</w:t>
            </w:r>
            <w:r>
              <w:rPr>
                <w:rFonts w:hint="eastAsia"/>
                <w:color w:val="000000" w:themeColor="text1"/>
                <w:kern w:val="0"/>
                <w:sz w:val="24"/>
                <w:szCs w:val="24"/>
                <w:lang w:val="en-US" w:eastAsia="zh-CN"/>
                <w14:textFill>
                  <w14:solidFill>
                    <w14:schemeClr w14:val="tx1"/>
                  </w14:solidFill>
                </w14:textFill>
              </w:rPr>
              <w:t>指各省风速概化系数（查附录</w:t>
            </w:r>
            <w:r>
              <w:rPr>
                <w:rFonts w:hint="default"/>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lang w:val="en-US" w:eastAsia="zh-CN"/>
                <w14:textFill>
                  <w14:solidFill>
                    <w14:schemeClr w14:val="tx1"/>
                  </w14:solidFill>
                </w14:textFill>
              </w:rPr>
              <w:t>），根据《固体物料堆存颗粒物产排污核算系数手册》附录</w:t>
            </w:r>
            <w:r>
              <w:rPr>
                <w:rFonts w:hint="default"/>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lang w:val="en-US" w:eastAsia="zh-CN"/>
                <w14:textFill>
                  <w14:solidFill>
                    <w14:schemeClr w14:val="tx1"/>
                  </w14:solidFill>
                </w14:textFill>
              </w:rPr>
              <w:t>中江西省风速概化系数为</w:t>
            </w:r>
            <w:r>
              <w:rPr>
                <w:rFonts w:hint="default"/>
                <w:color w:val="000000" w:themeColor="text1"/>
                <w:kern w:val="0"/>
                <w:sz w:val="24"/>
                <w:szCs w:val="24"/>
                <w:lang w:val="en-US" w:eastAsia="zh-CN"/>
                <w14:textFill>
                  <w14:solidFill>
                    <w14:schemeClr w14:val="tx1"/>
                  </w14:solidFill>
                </w14:textFill>
              </w:rPr>
              <w:t>0.000</w:t>
            </w:r>
            <w:r>
              <w:rPr>
                <w:rFonts w:hint="eastAsia"/>
                <w:color w:val="000000" w:themeColor="text1"/>
                <w:kern w:val="0"/>
                <w:sz w:val="24"/>
                <w:szCs w:val="24"/>
                <w:lang w:val="en-US" w:eastAsia="zh-CN"/>
                <w14:textFill>
                  <w14:solidFill>
                    <w14:schemeClr w14:val="tx1"/>
                  </w14:solidFill>
                </w14:textFill>
              </w:rPr>
              <w:t>8，</w:t>
            </w:r>
            <w:r>
              <w:rPr>
                <w:rFonts w:hint="default"/>
                <w:color w:val="000000" w:themeColor="text1"/>
                <w:kern w:val="0"/>
                <w:sz w:val="24"/>
                <w:szCs w:val="24"/>
                <w:lang w:val="en-US" w:eastAsia="zh-CN"/>
                <w14:textFill>
                  <w14:solidFill>
                    <w14:schemeClr w14:val="tx1"/>
                  </w14:solidFill>
                </w14:textFill>
              </w:rPr>
              <w:t>b</w:t>
            </w:r>
            <w:r>
              <w:rPr>
                <w:rFonts w:hint="eastAsia"/>
                <w:color w:val="000000" w:themeColor="text1"/>
                <w:kern w:val="0"/>
                <w:sz w:val="24"/>
                <w:szCs w:val="24"/>
                <w:lang w:val="en-US" w:eastAsia="zh-CN"/>
                <w14:textFill>
                  <w14:solidFill>
                    <w14:schemeClr w14:val="tx1"/>
                  </w14:solidFill>
                </w14:textFill>
              </w:rPr>
              <w:t>指物料含水率概化系数（查附录</w:t>
            </w:r>
            <w:r>
              <w:rPr>
                <w:rFonts w:hint="default"/>
                <w:color w:val="000000" w:themeColor="text1"/>
                <w:kern w:val="0"/>
                <w:sz w:val="24"/>
                <w:szCs w:val="24"/>
                <w:lang w:val="en-US" w:eastAsia="zh-CN"/>
                <w14:textFill>
                  <w14:solidFill>
                    <w14:schemeClr w14:val="tx1"/>
                  </w14:solidFill>
                </w14:textFill>
              </w:rPr>
              <w:t>2</w:t>
            </w:r>
            <w:r>
              <w:rPr>
                <w:rFonts w:hint="eastAsia"/>
                <w:color w:val="000000" w:themeColor="text1"/>
                <w:kern w:val="0"/>
                <w:sz w:val="24"/>
                <w:szCs w:val="24"/>
                <w:lang w:val="en-US" w:eastAsia="zh-CN"/>
                <w14:textFill>
                  <w14:solidFill>
                    <w14:schemeClr w14:val="tx1"/>
                  </w14:solidFill>
                </w14:textFill>
              </w:rPr>
              <w:t>），根据《固体物料堆存颗粒物产排污核算系数手册》附录</w:t>
            </w:r>
            <w:r>
              <w:rPr>
                <w:rFonts w:hint="default"/>
                <w:color w:val="000000" w:themeColor="text1"/>
                <w:kern w:val="0"/>
                <w:sz w:val="24"/>
                <w:szCs w:val="24"/>
                <w:lang w:val="en-US" w:eastAsia="zh-CN"/>
                <w14:textFill>
                  <w14:solidFill>
                    <w14:schemeClr w14:val="tx1"/>
                  </w14:solidFill>
                </w14:textFill>
              </w:rPr>
              <w:t>2</w:t>
            </w:r>
            <w:r>
              <w:rPr>
                <w:rFonts w:hint="eastAsia"/>
                <w:color w:val="000000" w:themeColor="text1"/>
                <w:kern w:val="0"/>
                <w:sz w:val="24"/>
                <w:szCs w:val="24"/>
                <w:lang w:val="en-US" w:eastAsia="zh-CN"/>
                <w14:textFill>
                  <w14:solidFill>
                    <w14:schemeClr w14:val="tx1"/>
                  </w14:solidFill>
                </w14:textFill>
              </w:rPr>
              <w:t>中块矿的堆场物料含水率概化系数为</w:t>
            </w:r>
            <w:r>
              <w:rPr>
                <w:rFonts w:hint="default"/>
                <w:color w:val="000000" w:themeColor="text1"/>
                <w:kern w:val="0"/>
                <w:sz w:val="24"/>
                <w:szCs w:val="24"/>
                <w:lang w:val="en-US" w:eastAsia="zh-CN"/>
                <w14:textFill>
                  <w14:solidFill>
                    <w14:schemeClr w14:val="tx1"/>
                  </w14:solidFill>
                </w14:textFill>
              </w:rPr>
              <w:t>0.00</w:t>
            </w:r>
            <w:r>
              <w:rPr>
                <w:rFonts w:hint="eastAsia"/>
                <w:color w:val="000000" w:themeColor="text1"/>
                <w:kern w:val="0"/>
                <w:sz w:val="24"/>
                <w:szCs w:val="24"/>
                <w:lang w:val="en-US" w:eastAsia="zh-CN"/>
                <w14:textFill>
                  <w14:solidFill>
                    <w14:schemeClr w14:val="tx1"/>
                  </w14:solidFill>
                </w14:textFill>
              </w:rPr>
              <w:t>64，则本项目装卸扬尘概化系数为0.125kg</w:t>
            </w:r>
            <w:r>
              <w:rPr>
                <w:rFonts w:hint="default"/>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t；</w:t>
            </w:r>
          </w:p>
          <w:p w14:paraId="3119D2BD">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lang w:val="en-US" w:eastAsia="zh-CN"/>
                <w14:textFill>
                  <w14:solidFill>
                    <w14:schemeClr w14:val="tx1"/>
                  </w14:solidFill>
                </w14:textFill>
              </w:rPr>
              <w:t>Ef</w:t>
            </w:r>
            <w:r>
              <w:rPr>
                <w:rFonts w:hint="default" w:ascii="Times New Roman" w:hAnsi="Times New Roman"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堆场风蚀扬尘概化系数（查附录</w:t>
            </w:r>
            <w:r>
              <w:rPr>
                <w:rFonts w:hint="default"/>
                <w:color w:val="000000" w:themeColor="text1"/>
                <w:kern w:val="0"/>
                <w:sz w:val="24"/>
                <w:szCs w:val="24"/>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），根据《固体物料堆存颗粒物产排污核算系数手册》附录3，本项目</w:t>
            </w:r>
            <w:r>
              <w:rPr>
                <w:rFonts w:hint="default"/>
                <w:color w:val="000000" w:themeColor="text1"/>
                <w:kern w:val="0"/>
                <w:sz w:val="24"/>
                <w:szCs w:val="24"/>
                <w:lang w:val="en-US" w:eastAsia="zh-CN"/>
                <w14:textFill>
                  <w14:solidFill>
                    <w14:schemeClr w14:val="tx1"/>
                  </w14:solidFill>
                </w14:textFill>
              </w:rPr>
              <w:t>Ef</w:t>
            </w:r>
            <w:r>
              <w:rPr>
                <w:rFonts w:hint="eastAsia"/>
                <w:color w:val="000000" w:themeColor="text1"/>
                <w:kern w:val="0"/>
                <w:sz w:val="24"/>
                <w:szCs w:val="24"/>
                <w:lang w:val="en-US" w:eastAsia="zh-CN"/>
                <w14:textFill>
                  <w14:solidFill>
                    <w14:schemeClr w14:val="tx1"/>
                  </w14:solidFill>
                </w14:textFill>
              </w:rPr>
              <w:t>为</w:t>
            </w:r>
            <w:r>
              <w:rPr>
                <w:rFonts w:hint="default"/>
                <w:color w:val="000000" w:themeColor="text1"/>
                <w:kern w:val="0"/>
                <w:sz w:val="24"/>
                <w:szCs w:val="24"/>
                <w:lang w:val="en-US" w:eastAsia="zh-CN"/>
                <w14:textFill>
                  <w14:solidFill>
                    <w14:schemeClr w14:val="tx1"/>
                  </w14:solidFill>
                </w14:textFill>
              </w:rPr>
              <w:t>8.5848kg/m²</w:t>
            </w:r>
            <w:r>
              <w:rPr>
                <w:rFonts w:hint="eastAsia"/>
                <w:color w:val="000000" w:themeColor="text1"/>
                <w:kern w:val="0"/>
                <w:sz w:val="24"/>
                <w:szCs w:val="24"/>
                <w:lang w:val="en-US" w:eastAsia="zh-CN"/>
                <w14:textFill>
                  <w14:solidFill>
                    <w14:schemeClr w14:val="tx1"/>
                  </w14:solidFill>
                </w14:textFill>
              </w:rPr>
              <w:t>；</w:t>
            </w:r>
          </w:p>
          <w:p w14:paraId="3F0E8421">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lang w:val="en-US" w:eastAsia="zh-CN"/>
                <w14:textFill>
                  <w14:solidFill>
                    <w14:schemeClr w14:val="tx1"/>
                  </w14:solidFill>
                </w14:textFill>
              </w:rPr>
              <w:t>S</w:t>
            </w:r>
            <w:r>
              <w:rPr>
                <w:rFonts w:hint="default" w:ascii="Times New Roman" w:hAnsi="Times New Roman"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堆场占地面积（单位：m</w:t>
            </w:r>
            <w:r>
              <w:rPr>
                <w:rFonts w:hint="eastAsia"/>
                <w:color w:val="000000" w:themeColor="text1"/>
                <w:kern w:val="0"/>
                <w:sz w:val="24"/>
                <w:szCs w:val="24"/>
                <w:vertAlign w:val="superscript"/>
                <w:lang w:val="en-US" w:eastAsia="zh-CN"/>
                <w14:textFill>
                  <w14:solidFill>
                    <w14:schemeClr w14:val="tx1"/>
                  </w14:solidFill>
                </w14:textFill>
              </w:rPr>
              <w:t>2</w:t>
            </w:r>
            <w:r>
              <w:rPr>
                <w:rFonts w:hint="eastAsia"/>
                <w:color w:val="000000" w:themeColor="text1"/>
                <w:kern w:val="0"/>
                <w:sz w:val="24"/>
                <w:szCs w:val="24"/>
                <w:lang w:val="en-US" w:eastAsia="zh-CN"/>
                <w14:textFill>
                  <w14:solidFill>
                    <w14:schemeClr w14:val="tx1"/>
                  </w14:solidFill>
                </w14:textFill>
              </w:rPr>
              <w:t>），本项目设置2个料仓，料仓骨料堆存面积约料仓占地面积的60%，则本项目堆场占地面积约10980</w:t>
            </w:r>
            <w:r>
              <w:rPr>
                <w:rFonts w:hint="default"/>
                <w:color w:val="000000" w:themeColor="text1"/>
                <w:kern w:val="0"/>
                <w:sz w:val="24"/>
                <w:szCs w:val="24"/>
                <w:lang w:val="en-US" w:eastAsia="zh-CN"/>
                <w14:textFill>
                  <w14:solidFill>
                    <w14:schemeClr w14:val="tx1"/>
                  </w14:solidFill>
                </w14:textFill>
              </w:rPr>
              <w:t>m</w:t>
            </w:r>
            <w:r>
              <w:rPr>
                <w:rFonts w:hint="default"/>
                <w:color w:val="000000" w:themeColor="text1"/>
                <w:kern w:val="0"/>
                <w:sz w:val="24"/>
                <w:szCs w:val="24"/>
                <w:vertAlign w:val="superscript"/>
                <w:lang w:val="en-US" w:eastAsia="zh-CN"/>
                <w14:textFill>
                  <w14:solidFill>
                    <w14:schemeClr w14:val="tx1"/>
                  </w14:solidFill>
                </w14:textFill>
              </w:rPr>
              <w:t>2</w:t>
            </w:r>
            <w:r>
              <w:rPr>
                <w:rFonts w:hint="eastAsia"/>
                <w:color w:val="000000" w:themeColor="text1"/>
                <w:kern w:val="0"/>
                <w:sz w:val="24"/>
                <w:szCs w:val="24"/>
                <w:lang w:val="en-US" w:eastAsia="zh-CN"/>
                <w14:textFill>
                  <w14:solidFill>
                    <w14:schemeClr w14:val="tx1"/>
                  </w14:solidFill>
                </w14:textFill>
              </w:rPr>
              <w:t>。</w:t>
            </w:r>
          </w:p>
          <w:p w14:paraId="79D175E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本项目原料堆场粉尘产生量为0.323t/a，产生速率为</w:t>
            </w:r>
            <w:r>
              <w:rPr>
                <w:rFonts w:hint="default" w:ascii="Times New Roman" w:hAnsi="Times New Roman" w:eastAsia="宋体" w:cs="Times New Roman"/>
                <w:snapToGrid w:val="0"/>
                <w:kern w:val="0"/>
                <w:sz w:val="24"/>
              </w:rPr>
              <w:t>0.0</w:t>
            </w:r>
            <w:r>
              <w:rPr>
                <w:rFonts w:hint="eastAsia" w:ascii="Times New Roman" w:hAnsi="Times New Roman" w:eastAsia="宋体" w:cs="Times New Roman"/>
                <w:snapToGrid w:val="0"/>
                <w:kern w:val="0"/>
                <w:sz w:val="24"/>
                <w:lang w:val="en-US" w:eastAsia="zh-CN"/>
              </w:rPr>
              <w:t>67</w:t>
            </w:r>
            <w:r>
              <w:rPr>
                <w:rFonts w:hint="default" w:ascii="Times New Roman" w:hAnsi="Times New Roman" w:eastAsia="宋体" w:cs="Times New Roman"/>
                <w:snapToGrid w:val="0"/>
                <w:kern w:val="0"/>
                <w:sz w:val="24"/>
              </w:rPr>
              <w:t>kg/h</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lang w:val="en-US" w:eastAsia="zh-CN"/>
              </w:rPr>
              <w:t>300d，每天16h计</w:t>
            </w:r>
            <w:r>
              <w:rPr>
                <w:rFonts w:hint="eastAsia" w:ascii="Times New Roman" w:hAnsi="Times New Roman" w:eastAsia="宋体" w:cs="Times New Roman"/>
                <w:snapToGrid w:val="0"/>
                <w:kern w:val="0"/>
                <w:sz w:val="24"/>
                <w:lang w:eastAsia="zh-CN"/>
              </w:rPr>
              <w:t>）</w:t>
            </w:r>
            <w:r>
              <w:rPr>
                <w:rFonts w:hint="eastAsia"/>
                <w:color w:val="000000" w:themeColor="text1"/>
                <w:kern w:val="0"/>
                <w:sz w:val="24"/>
                <w:szCs w:val="24"/>
                <w:lang w:val="en-US" w:eastAsia="zh-CN"/>
                <w14:textFill>
                  <w14:solidFill>
                    <w14:schemeClr w14:val="tx1"/>
                  </w14:solidFill>
                </w14:textFill>
              </w:rPr>
              <w:t>。</w:t>
            </w:r>
          </w:p>
          <w:p w14:paraId="5E90132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②防治措施</w:t>
            </w:r>
          </w:p>
          <w:p w14:paraId="012E2AF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原料堆场地面进行硬化处理，来往运输车辆用篷布覆盖。原料堆场修建于生产厂房内，设置车辆进出口通道，堆料区、进出口通道安装喷雾装置进行喷淋作业。原料堆场安装固定式喷雾装置，下料区设置喷雾装置，物料装卸时进行喷淋作业，进出车辆需进行冲洗。根据《固体物料堆存颗粒物产排污核算系数手册》附录4、5，半封闭式堆场粉尘控制效率为60%，洒水粉尘控制效率为74%，出入车辆冲洗控制效率为78%，</w:t>
            </w:r>
            <w:r>
              <w:rPr>
                <w:rFonts w:hint="default" w:ascii="Times New Roman" w:hAnsi="Times New Roman" w:eastAsia="宋体" w:cs="Times New Roman"/>
                <w:snapToGrid w:val="0"/>
                <w:kern w:val="0"/>
                <w:sz w:val="24"/>
              </w:rPr>
              <w:t>则</w:t>
            </w:r>
            <w:r>
              <w:rPr>
                <w:rFonts w:hint="eastAsia" w:ascii="Times New Roman" w:hAnsi="Times New Roman" w:eastAsia="宋体" w:cs="Times New Roman"/>
                <w:snapToGrid w:val="0"/>
                <w:kern w:val="0"/>
                <w:sz w:val="24"/>
                <w:lang w:val="en-US" w:eastAsia="zh-CN"/>
              </w:rPr>
              <w:t>本项目</w:t>
            </w:r>
            <w:r>
              <w:rPr>
                <w:rFonts w:hint="eastAsia"/>
                <w:color w:val="000000" w:themeColor="text1"/>
                <w:kern w:val="0"/>
                <w:sz w:val="24"/>
                <w:szCs w:val="24"/>
                <w:lang w:val="en-US" w:eastAsia="zh-CN"/>
                <w14:textFill>
                  <w14:solidFill>
                    <w14:schemeClr w14:val="tx1"/>
                  </w14:solidFill>
                </w14:textFill>
              </w:rPr>
              <w:t>原料堆场粉尘</w:t>
            </w:r>
            <w:r>
              <w:rPr>
                <w:rFonts w:hint="default" w:ascii="Times New Roman" w:hAnsi="Times New Roman" w:eastAsia="宋体" w:cs="Times New Roman"/>
                <w:snapToGrid w:val="0"/>
                <w:kern w:val="0"/>
                <w:sz w:val="24"/>
              </w:rPr>
              <w:t>治理效率=1-（1-</w:t>
            </w:r>
            <w:r>
              <w:rPr>
                <w:rFonts w:hint="eastAsia" w:ascii="Times New Roman" w:hAnsi="Times New Roman" w:eastAsia="宋体" w:cs="Times New Roman"/>
                <w:snapToGrid w:val="0"/>
                <w:kern w:val="0"/>
                <w:sz w:val="24"/>
                <w:lang w:val="en-US" w:eastAsia="zh-CN"/>
              </w:rPr>
              <w:t>6</w:t>
            </w:r>
            <w:r>
              <w:rPr>
                <w:rFonts w:hint="default" w:ascii="Times New Roman" w:hAnsi="Times New Roman" w:eastAsia="宋体" w:cs="Times New Roman"/>
                <w:snapToGrid w:val="0"/>
                <w:kern w:val="0"/>
                <w:sz w:val="24"/>
              </w:rPr>
              <w:t>0%）×（1-</w:t>
            </w:r>
            <w:r>
              <w:rPr>
                <w:rFonts w:hint="eastAsia" w:ascii="Times New Roman" w:hAnsi="Times New Roman" w:eastAsia="宋体" w:cs="Times New Roman"/>
                <w:snapToGrid w:val="0"/>
                <w:kern w:val="0"/>
                <w:sz w:val="24"/>
                <w:lang w:val="en-US" w:eastAsia="zh-CN"/>
              </w:rPr>
              <w:t>74</w:t>
            </w:r>
            <w:r>
              <w:rPr>
                <w:rFonts w:hint="default" w:ascii="Times New Roman" w:hAnsi="Times New Roman" w:eastAsia="宋体" w:cs="Times New Roman"/>
                <w:snapToGrid w:val="0"/>
                <w:kern w:val="0"/>
                <w:sz w:val="24"/>
              </w:rPr>
              <w:t>%）×（1-</w:t>
            </w:r>
            <w:r>
              <w:rPr>
                <w:rFonts w:hint="eastAsia" w:ascii="Times New Roman" w:hAnsi="Times New Roman" w:eastAsia="宋体" w:cs="Times New Roman"/>
                <w:snapToGrid w:val="0"/>
                <w:kern w:val="0"/>
                <w:sz w:val="24"/>
                <w:lang w:val="en-US" w:eastAsia="zh-CN"/>
              </w:rPr>
              <w:t>78</w:t>
            </w:r>
            <w:r>
              <w:rPr>
                <w:rFonts w:hint="default" w:ascii="Times New Roman" w:hAnsi="Times New Roman" w:eastAsia="宋体" w:cs="Times New Roman"/>
                <w:snapToGrid w:val="0"/>
                <w:kern w:val="0"/>
                <w:sz w:val="24"/>
              </w:rPr>
              <w:t>%）=</w:t>
            </w:r>
            <w:r>
              <w:rPr>
                <w:rFonts w:hint="eastAsia" w:ascii="Times New Roman" w:hAnsi="Times New Roman" w:eastAsia="宋体" w:cs="Times New Roman"/>
                <w:snapToGrid w:val="0"/>
                <w:kern w:val="0"/>
                <w:sz w:val="24"/>
                <w:lang w:val="en-US" w:eastAsia="zh-CN"/>
              </w:rPr>
              <w:t>97.7</w:t>
            </w:r>
            <w:r>
              <w:rPr>
                <w:rFonts w:hint="default" w:ascii="Times New Roman" w:hAnsi="Times New Roman" w:eastAsia="宋体" w:cs="Times New Roman"/>
                <w:snapToGrid w:val="0"/>
                <w:kern w:val="0"/>
                <w:sz w:val="24"/>
              </w:rPr>
              <w:t>%，</w:t>
            </w:r>
            <w:r>
              <w:rPr>
                <w:rFonts w:hint="eastAsia" w:ascii="Times New Roman" w:hAnsi="Times New Roman" w:eastAsia="宋体" w:cs="Times New Roman"/>
                <w:snapToGrid w:val="0"/>
                <w:kern w:val="0"/>
                <w:sz w:val="24"/>
                <w:lang w:val="en-US" w:eastAsia="zh-CN"/>
              </w:rPr>
              <w:t>本项目</w:t>
            </w:r>
            <w:r>
              <w:rPr>
                <w:rFonts w:hint="eastAsia"/>
                <w:color w:val="000000" w:themeColor="text1"/>
                <w:kern w:val="0"/>
                <w:sz w:val="24"/>
                <w:szCs w:val="24"/>
                <w:lang w:val="en-US" w:eastAsia="zh-CN"/>
                <w14:textFill>
                  <w14:solidFill>
                    <w14:schemeClr w14:val="tx1"/>
                  </w14:solidFill>
                </w14:textFill>
              </w:rPr>
              <w:t>原料堆场粉尘</w:t>
            </w:r>
            <w:r>
              <w:rPr>
                <w:rFonts w:hint="default" w:ascii="Times New Roman" w:hAnsi="Times New Roman" w:eastAsia="宋体" w:cs="Times New Roman"/>
                <w:snapToGrid w:val="0"/>
                <w:kern w:val="0"/>
                <w:sz w:val="24"/>
              </w:rPr>
              <w:t>排放量为0.0</w:t>
            </w:r>
            <w:r>
              <w:rPr>
                <w:rFonts w:hint="eastAsia" w:ascii="Times New Roman" w:hAnsi="Times New Roman" w:eastAsia="宋体" w:cs="Times New Roman"/>
                <w:snapToGrid w:val="0"/>
                <w:kern w:val="0"/>
                <w:sz w:val="24"/>
                <w:lang w:val="en-US" w:eastAsia="zh-CN"/>
              </w:rPr>
              <w:t>07</w:t>
            </w:r>
            <w:r>
              <w:rPr>
                <w:rFonts w:hint="default" w:ascii="Times New Roman" w:hAnsi="Times New Roman" w:eastAsia="宋体" w:cs="Times New Roman"/>
                <w:snapToGrid w:val="0"/>
                <w:kern w:val="0"/>
                <w:sz w:val="24"/>
              </w:rPr>
              <w:t>t/a，排放速率为0.0</w:t>
            </w:r>
            <w:r>
              <w:rPr>
                <w:rFonts w:hint="eastAsia" w:ascii="Times New Roman" w:hAnsi="Times New Roman" w:eastAsia="宋体" w:cs="Times New Roman"/>
                <w:snapToGrid w:val="0"/>
                <w:kern w:val="0"/>
                <w:sz w:val="24"/>
                <w:lang w:val="en-US" w:eastAsia="zh-CN"/>
              </w:rPr>
              <w:t>015</w:t>
            </w:r>
            <w:r>
              <w:rPr>
                <w:rFonts w:hint="default" w:ascii="Times New Roman" w:hAnsi="Times New Roman" w:eastAsia="宋体" w:cs="Times New Roman"/>
                <w:snapToGrid w:val="0"/>
                <w:kern w:val="0"/>
                <w:sz w:val="24"/>
              </w:rPr>
              <w:t>kg/h</w:t>
            </w:r>
            <w:r>
              <w:rPr>
                <w:rFonts w:hint="eastAsia" w:ascii="Times New Roman" w:hAnsi="Times New Roman" w:eastAsia="宋体" w:cs="Times New Roman"/>
                <w:snapToGrid w:val="0"/>
                <w:kern w:val="0"/>
                <w:sz w:val="24"/>
                <w:lang w:eastAsia="zh-CN"/>
              </w:rPr>
              <w:t>。</w:t>
            </w:r>
          </w:p>
          <w:p w14:paraId="2CECF1F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）筒仓粉尘</w:t>
            </w:r>
          </w:p>
          <w:p w14:paraId="1FE6795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源强核算</w:t>
            </w:r>
          </w:p>
          <w:p w14:paraId="498C199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本项目水泥、矿粉、煤灰及膨胀剂均有筒仓暂存，水泥、矿粉、煤灰及膨胀剂年用量为213896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/a。根据《排放源统计调查产排污核算方法和系数手册》中（</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3021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水泥制品制造（含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3022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础结构构件制造、</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3029</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其他水泥类似制品制造）行业系数手册）可知，物料输送、储存工序粉尘产污系数为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0.12kg/t·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产品，则本项目筒仓粉尘产生量约25.668</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产生速率为</w:t>
            </w:r>
            <w:r>
              <w:rPr>
                <w:rFonts w:hint="eastAsia" w:ascii="Times New Roman" w:hAnsi="Times New Roman" w:eastAsia="宋体" w:cs="Times New Roman"/>
                <w:snapToGrid w:val="0"/>
                <w:kern w:val="0"/>
                <w:sz w:val="24"/>
                <w:lang w:val="en-US" w:eastAsia="zh-CN"/>
              </w:rPr>
              <w:t>5.347</w:t>
            </w:r>
            <w:r>
              <w:rPr>
                <w:rFonts w:hint="default" w:ascii="Times New Roman" w:hAnsi="Times New Roman" w:eastAsia="宋体" w:cs="Times New Roman"/>
                <w:snapToGrid w:val="0"/>
                <w:kern w:val="0"/>
                <w:sz w:val="24"/>
              </w:rPr>
              <w:t>kg/h</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lang w:val="en-US" w:eastAsia="zh-CN"/>
              </w:rPr>
              <w:t>300d，每天16h计</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1D208F4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防治措施</w:t>
            </w:r>
          </w:p>
          <w:p w14:paraId="641F21A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共设置11个筒仓，水泥、矿粉、煤灰及膨胀剂通过罐车空压机产生的气压从送料管压入筒仓内。筒仓置于设备楼内，筒仓顶部均设置脉冲式布袋除尘器（共11个）。根据《排放源统计调查产排污核算方法和系数手册》中（</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3021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水泥制品制造（含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3022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础结构构件制造、</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3029</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其他水泥类似制品制造）行业系数手册），脉冲式布袋除尘器去除率约为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99</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筒仓进料粉尘经脉冲式布袋除尘器收集处理后在厂房中自然沉降，以无组织方式排放。除尘器收集的粉尘直接返回筒仓内作为原料。筒仓设置在半封闭的设备楼内，根据《固体物料堆存颗粒物产排污核算系数手册》附录</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半封闭式堆场粉尘控制效率为60%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。则筒仓粉尘排放量为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，排放速率为</w:t>
            </w:r>
            <w:r>
              <w:rPr>
                <w:rFonts w:hint="eastAsia" w:ascii="Times New Roman" w:hAnsi="Times New Roman" w:eastAsia="宋体" w:cs="Times New Roman"/>
                <w:snapToGrid w:val="0"/>
                <w:kern w:val="0"/>
                <w:sz w:val="24"/>
                <w:lang w:val="en-US" w:eastAsia="zh-CN"/>
              </w:rPr>
              <w:t>0.0064</w:t>
            </w:r>
            <w:r>
              <w:rPr>
                <w:rFonts w:hint="default" w:ascii="Times New Roman" w:hAnsi="Times New Roman" w:eastAsia="宋体" w:cs="Times New Roman"/>
                <w:snapToGrid w:val="0"/>
                <w:kern w:val="0"/>
                <w:sz w:val="24"/>
              </w:rPr>
              <w:t>kg/h</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3FB3DFB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3）搅拌粉尘</w:t>
            </w:r>
          </w:p>
          <w:p w14:paraId="3EA603B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源强核算</w:t>
            </w:r>
          </w:p>
          <w:p w14:paraId="0670798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根据《排放源统计调查产排污核算方法和系数手册》中（</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3021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水泥制品制造（含 </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3022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砼结构构件制造、</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3029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其他水泥类似制品制造）行业系数手册）可知，物料混合搅拌工序粉尘产污系数为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0.13kg/t·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产品。</w:t>
            </w:r>
          </w:p>
          <w:p w14:paraId="0B27D3D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A.混凝土搅拌粉尘</w:t>
            </w:r>
          </w:p>
          <w:p w14:paraId="3C98B0D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本项目混凝土生产过程设置搅拌机2台，均位于1#设备楼内。项目混凝土年产量为1194000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，则混凝土搅拌粉尘产生量约为155.22</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，产生速率为32.33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kg/h</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lang w:val="en-US" w:eastAsia="zh-CN"/>
              </w:rPr>
              <w:t>300d，每天16h计</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4200E1D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B.预拌砂浆搅拌粉尘</w:t>
            </w:r>
          </w:p>
          <w:p w14:paraId="727B444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本项目预拌砂浆生产过程设置搅拌机1台，位于2#设备楼内。项目预拌砂浆年产量为204000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，则预拌砂浆搅拌粉尘产生量约为26.52</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，产生速率为5.525</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kg/h</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lang w:val="en-US" w:eastAsia="zh-CN"/>
              </w:rPr>
              <w:t>300d，每天16h计</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4334AE9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防治措施</w:t>
            </w:r>
          </w:p>
          <w:p w14:paraId="6AC043D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本项目搅拌机顶部设置脉冲式布袋除尘器。产生的粉尘经收集后由脉冲式布袋除尘器处理后，在厂房内无组织排放。脉冲式布袋除尘器去除率约为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99</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，项目搅拌机在半封闭的设备楼内，隔间处理粉尘沉降效果约为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60%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6B1982A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A.混凝土搅拌粉尘</w:t>
            </w:r>
          </w:p>
          <w:p w14:paraId="2FA3703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混凝土搅拌粉尘排放量为0.186t/a，排放速率为0.039kg/h。</w:t>
            </w:r>
          </w:p>
          <w:p w14:paraId="6D8F3B1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B.预拌砂浆搅拌粉尘</w:t>
            </w:r>
          </w:p>
          <w:p w14:paraId="7082272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预拌砂浆搅拌粉尘排放量为0.032t/a，排放速率为0.0066kg/h。</w:t>
            </w:r>
          </w:p>
          <w:p w14:paraId="2FC961E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4）运输车辆扬尘</w:t>
            </w:r>
          </w:p>
          <w:p w14:paraId="4DE7929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源强核算</w:t>
            </w:r>
          </w:p>
          <w:p w14:paraId="140C1A3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本项目原料、产品在运输过程中会产生扬尘。车辆行驶产生的扬尘，在道路完全干燥的情况下，可按下列经验公式计算：</w:t>
            </w:r>
          </w:p>
          <w:p w14:paraId="05ED8526">
            <w:pPr>
              <w:keepNext w:val="0"/>
              <w:keepLines w:val="0"/>
              <w:pageBreakBefore w:val="0"/>
              <w:widowControl w:val="0"/>
              <w:kinsoku/>
              <w:wordWrap/>
              <w:overflowPunct/>
              <w:topLinePunct w:val="0"/>
              <w:autoSpaceDE/>
              <w:autoSpaceDN/>
              <w:bidi w:val="0"/>
              <w:adjustRightInd/>
              <w:snapToGrid/>
              <w:spacing w:line="360" w:lineRule="auto"/>
              <w:ind w:right="0" w:firstLine="1200" w:firstLineChars="5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Q=0.123×</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V/5</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W/6.8</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0.85</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P/0.5</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0.75</w:t>
            </w:r>
          </w:p>
          <w:p w14:paraId="2F9892F2">
            <w:pPr>
              <w:keepNext w:val="0"/>
              <w:keepLines w:val="0"/>
              <w:pageBreakBefore w:val="0"/>
              <w:widowControl w:val="0"/>
              <w:kinsoku/>
              <w:wordWrap/>
              <w:overflowPunct/>
              <w:topLinePunct w:val="0"/>
              <w:autoSpaceDE/>
              <w:autoSpaceDN/>
              <w:bidi w:val="0"/>
              <w:adjustRightInd/>
              <w:snapToGrid/>
              <w:spacing w:line="360" w:lineRule="auto"/>
              <w:ind w:right="0" w:firstLine="1200" w:firstLineChars="5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Qi=Q×L×Y</w:t>
            </w:r>
          </w:p>
          <w:p w14:paraId="6ECE435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式中：</w:t>
            </w:r>
          </w:p>
          <w:p w14:paraId="10520D31">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—汽车行驶时的扬尘，</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kg/km·</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辆；</w:t>
            </w:r>
          </w:p>
          <w:p w14:paraId="02C9D317">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Qi</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—总扬尘量（</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4BDDFB0E">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V</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—汽车速度，本次评价</w:t>
            </w:r>
            <w:r>
              <w:rPr>
                <w:color w:val="000000" w:themeColor="text1"/>
                <w:sz w:val="24"/>
                <w14:textFill>
                  <w14:solidFill>
                    <w14:schemeClr w14:val="tx1"/>
                  </w14:solidFill>
                </w14:textFill>
              </w:rPr>
              <w:t>以速度5km/h行驶</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4EC5602C">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—汽车载重量，本项目</w:t>
            </w:r>
            <w:r>
              <w:rPr>
                <w:color w:val="000000" w:themeColor="text1"/>
                <w:sz w:val="24"/>
                <w14:textFill>
                  <w14:solidFill>
                    <w14:schemeClr w14:val="tx1"/>
                  </w14:solidFill>
                </w14:textFill>
              </w:rPr>
              <w:t>空车重约10.0t，重车重约</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0.0t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7E0764FD">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P</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—道路表面粉尘量，项目区内道路硬化处理，道路表面颗粒物量以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0.1kg/m</w:t>
            </w:r>
            <w:r>
              <w:rPr>
                <w:rFonts w:hint="eastAsia"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计；</w:t>
            </w:r>
          </w:p>
          <w:p w14:paraId="217E9BD2">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L</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—车</w:t>
            </w:r>
            <w:r>
              <w:rPr>
                <w:rFonts w:hint="eastAsia" w:cs="Times New Roman"/>
                <w:color w:val="000000" w:themeColor="text1"/>
                <w:kern w:val="0"/>
                <w:sz w:val="24"/>
                <w:szCs w:val="24"/>
                <w:lang w:val="en-US" w:eastAsia="zh-CN"/>
                <w14:textFill>
                  <w14:solidFill>
                    <w14:schemeClr w14:val="tx1"/>
                  </w14:solidFill>
                </w14:textFill>
              </w:rPr>
              <w:t>辆在</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厂区的运送距离（</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km</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r>
              <w:rPr>
                <w:color w:val="000000" w:themeColor="text1"/>
                <w:sz w:val="24"/>
                <w14:textFill>
                  <w14:solidFill>
                    <w14:schemeClr w14:val="tx1"/>
                  </w14:solidFill>
                </w14:textFill>
              </w:rPr>
              <w:t>本项目车辆在厂区内行驶距离按</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w:t>
            </w:r>
            <w:r>
              <w:rPr>
                <w:color w:val="000000" w:themeColor="text1"/>
                <w:sz w:val="24"/>
                <w14:textFill>
                  <w14:solidFill>
                    <w14:schemeClr w14:val="tx1"/>
                  </w14:solidFill>
                </w14:textFill>
              </w:rPr>
              <w:t>m计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3CB1336D">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Y</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—运送货物共需车辆数，</w:t>
            </w:r>
            <w:r>
              <w:rPr>
                <w:color w:val="000000" w:themeColor="text1"/>
                <w:sz w:val="24"/>
                <w14:textFill>
                  <w14:solidFill>
                    <w14:schemeClr w14:val="tx1"/>
                  </w14:solidFill>
                </w14:textFill>
              </w:rPr>
              <w:t>项目原材料及产品运输量为</w:t>
            </w:r>
            <w:r>
              <w:rPr>
                <w:rFonts w:hint="eastAsia"/>
                <w:color w:val="000000" w:themeColor="text1"/>
                <w:sz w:val="24"/>
                <w:lang w:val="en-US" w:eastAsia="zh-CN"/>
                <w14:textFill>
                  <w14:solidFill>
                    <w14:schemeClr w14:val="tx1"/>
                  </w14:solidFill>
                </w14:textFill>
              </w:rPr>
              <w:t>269.31</w:t>
            </w:r>
            <w:r>
              <w:rPr>
                <w:color w:val="000000" w:themeColor="text1"/>
                <w:sz w:val="24"/>
                <w14:textFill>
                  <w14:solidFill>
                    <w14:schemeClr w14:val="tx1"/>
                  </w14:solidFill>
                </w14:textFill>
              </w:rPr>
              <w:t>万t/a，项目发车空、重载各</w:t>
            </w:r>
            <w:r>
              <w:rPr>
                <w:rFonts w:hint="eastAsia"/>
                <w:color w:val="000000" w:themeColor="text1"/>
                <w:sz w:val="24"/>
                <w:lang w:val="en-US" w:eastAsia="zh-CN"/>
                <w14:textFill>
                  <w14:solidFill>
                    <w14:schemeClr w14:val="tx1"/>
                  </w14:solidFill>
                </w14:textFill>
              </w:rPr>
              <w:t>89770</w:t>
            </w:r>
            <w:r>
              <w:rPr>
                <w:color w:val="000000" w:themeColor="text1"/>
                <w:sz w:val="24"/>
                <w14:textFill>
                  <w14:solidFill>
                    <w14:schemeClr w14:val="tx1"/>
                  </w14:solidFill>
                </w14:textFill>
              </w:rPr>
              <w:t>辆</w:t>
            </w:r>
            <w:r>
              <w:rPr>
                <w:rFonts w:hint="default"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年。</w:t>
            </w:r>
          </w:p>
          <w:p w14:paraId="133298E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color w:val="000000" w:themeColor="text1"/>
                <w:sz w:val="24"/>
                <w14:textFill>
                  <w14:solidFill>
                    <w14:schemeClr w14:val="tx1"/>
                  </w14:solidFill>
                </w14:textFill>
              </w:rPr>
              <w:t>经计算，</w:t>
            </w:r>
            <w:r>
              <w:rPr>
                <w:rFonts w:hint="eastAsia"/>
                <w:color w:val="000000" w:themeColor="text1"/>
                <w:sz w:val="24"/>
                <w:lang w:val="en-US" w:eastAsia="zh-CN"/>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kern w:val="0"/>
                <w:sz w:val="24"/>
                <w:szCs w:val="24"/>
                <w:lang w:val="en-US" w:eastAsia="zh-CN"/>
                <w14:textFill>
                  <w14:solidFill>
                    <w14:schemeClr w14:val="tx1"/>
                  </w14:solidFill>
                </w14:textFill>
              </w:rPr>
              <w:t>空车</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行驶时的扬尘量为0.457t/a（0.051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kg/km·</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辆），重车行驶时的扬尘量为1.489t/a（0.166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kg/km·</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辆）。汽车行驶时的扬尘产生量为1.946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4734255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防治措施</w:t>
            </w:r>
          </w:p>
          <w:p w14:paraId="22086F5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要求厂区道路全部硬化，运输车辆加盖篷布，严禁超载，杜绝汽车抛洒，保持车体整洁，净车上路。每日进行地面清洁，减少地面扬尘，道路两侧设置固定喷雾降尘或移动式雾炮降尘。进出车辆需进行冲洗。</w:t>
            </w:r>
          </w:p>
          <w:p w14:paraId="6F1460A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建设单位采取</w:t>
            </w:r>
            <w:r>
              <w:rPr>
                <w:rFonts w:hint="eastAsia"/>
                <w:color w:val="000000" w:themeColor="text1"/>
                <w:sz w:val="24"/>
                <w:lang w:val="en-US" w:eastAsia="zh-CN"/>
                <w14:textFill>
                  <w14:solidFill>
                    <w14:schemeClr w14:val="tx1"/>
                  </w14:solidFill>
                </w14:textFill>
              </w:rPr>
              <w:t>以上</w:t>
            </w:r>
            <w:r>
              <w:rPr>
                <w:color w:val="000000" w:themeColor="text1"/>
                <w:sz w:val="24"/>
                <w14:textFill>
                  <w14:solidFill>
                    <w14:schemeClr w14:val="tx1"/>
                  </w14:solidFill>
                </w14:textFill>
              </w:rPr>
              <w:t>降尘措施，</w:t>
            </w:r>
            <w:r>
              <w:rPr>
                <w:rFonts w:hint="eastAsia"/>
                <w:color w:val="000000" w:themeColor="text1"/>
                <w:sz w:val="24"/>
                <w14:textFill>
                  <w14:solidFill>
                    <w14:schemeClr w14:val="tx1"/>
                  </w14:solidFill>
                </w14:textFill>
              </w:rPr>
              <w:t>运输扬尘</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减少80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左右（本项目以80%计）</w:t>
            </w:r>
            <w:r>
              <w:rPr>
                <w:color w:val="000000" w:themeColor="text1"/>
                <w:sz w:val="24"/>
                <w14:textFill>
                  <w14:solidFill>
                    <w14:schemeClr w14:val="tx1"/>
                  </w14:solidFill>
                </w14:textFill>
              </w:rPr>
              <w:t>，则</w:t>
            </w:r>
            <w:r>
              <w:rPr>
                <w:rFonts w:hint="eastAsia"/>
                <w:color w:val="000000" w:themeColor="text1"/>
                <w:kern w:val="0"/>
                <w:sz w:val="24"/>
                <w:szCs w:val="24"/>
                <w:lang w:val="en-US" w:eastAsia="zh-CN"/>
                <w14:textFill>
                  <w14:solidFill>
                    <w14:schemeClr w14:val="tx1"/>
                  </w14:solidFill>
                </w14:textFill>
              </w:rPr>
              <w:t>运输车辆扬尘</w:t>
            </w:r>
            <w:r>
              <w:rPr>
                <w:color w:val="000000" w:themeColor="text1"/>
                <w:sz w:val="24"/>
                <w14:textFill>
                  <w14:solidFill>
                    <w14:schemeClr w14:val="tx1"/>
                  </w14:solidFill>
                </w14:textFill>
              </w:rPr>
              <w:t>排</w:t>
            </w:r>
            <w:r>
              <w:rPr>
                <w:rFonts w:hint="eastAsia"/>
                <w:color w:val="000000" w:themeColor="text1"/>
                <w:sz w:val="24"/>
                <w14:textFill>
                  <w14:solidFill>
                    <w14:schemeClr w14:val="tx1"/>
                  </w14:solidFill>
                </w14:textFill>
              </w:rPr>
              <w:t>放量为</w:t>
            </w:r>
            <w:r>
              <w:rPr>
                <w:rFonts w:hint="eastAsia"/>
                <w:color w:val="000000" w:themeColor="text1"/>
                <w:sz w:val="24"/>
                <w:lang w:val="en-US" w:eastAsia="zh-CN"/>
                <w14:textFill>
                  <w14:solidFill>
                    <w14:schemeClr w14:val="tx1"/>
                  </w14:solidFill>
                </w14:textFill>
              </w:rPr>
              <w:t>0.389</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p>
          <w:p w14:paraId="456F155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0"/>
                <w:sz w:val="24"/>
                <w:szCs w:val="24"/>
                <w:lang w:val="en-US" w:eastAsia="zh-CN" w:bidi="ar-SA"/>
                <w14:textFill>
                  <w14:solidFill>
                    <w14:schemeClr w14:val="tx1"/>
                  </w14:solidFill>
                </w14:textFill>
              </w:rPr>
              <w:t>（2）</w:t>
            </w:r>
            <w:r>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t>非正常工况废气排放量核算</w:t>
            </w:r>
          </w:p>
          <w:p w14:paraId="4B6A2DB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r>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t>根据项目污染物源强及治理措施情况，非正常工况主要考虑废气处理装置失效，导致项目</w:t>
            </w:r>
            <w:r>
              <w:rPr>
                <w:rFonts w:hint="eastAsia" w:cs="Times New Roman"/>
                <w:color w:val="000000" w:themeColor="text1"/>
                <w:spacing w:val="0"/>
                <w:kern w:val="0"/>
                <w:sz w:val="24"/>
                <w:szCs w:val="24"/>
                <w:lang w:val="en-US" w:eastAsia="zh-CN" w:bidi="ar-SA"/>
                <w14:textFill>
                  <w14:solidFill>
                    <w14:schemeClr w14:val="tx1"/>
                  </w14:solidFill>
                </w14:textFill>
              </w:rPr>
              <w:t>布袋除尘器</w:t>
            </w:r>
            <w:r>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t>处理效率为0</w:t>
            </w:r>
            <w:r>
              <w:rPr>
                <w:rFonts w:hint="eastAsia" w:cs="Times New Roman"/>
                <w:color w:val="000000" w:themeColor="text1"/>
                <w:spacing w:val="0"/>
                <w:kern w:val="0"/>
                <w:sz w:val="24"/>
                <w:szCs w:val="24"/>
                <w:lang w:val="en-US" w:eastAsia="zh-CN" w:bidi="ar-SA"/>
                <w14:textFill>
                  <w14:solidFill>
                    <w14:schemeClr w14:val="tx1"/>
                  </w14:solidFill>
                </w14:textFill>
              </w:rPr>
              <w:t>。</w:t>
            </w:r>
          </w:p>
          <w:p w14:paraId="1E63EBC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t>当搅拌机、粉料筒仓布袋除尘器故障时，粉尘未处理直接以无组织方式溢出车间。企业</w:t>
            </w:r>
            <w:r>
              <w:rPr>
                <w:rFonts w:hint="eastAsia" w:cs="Times New Roman"/>
                <w:color w:val="000000" w:themeColor="text1"/>
                <w:spacing w:val="0"/>
                <w:kern w:val="0"/>
                <w:sz w:val="24"/>
                <w:szCs w:val="24"/>
                <w:lang w:val="en-US" w:eastAsia="zh-CN" w:bidi="ar-SA"/>
                <w14:textFill>
                  <w14:solidFill>
                    <w14:schemeClr w14:val="tx1"/>
                  </w14:solidFill>
                </w14:textFill>
              </w:rPr>
              <w:t>应</w:t>
            </w:r>
            <w:r>
              <w:rPr>
                <w:rFonts w:hint="eastAsia"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t>定期对废气设施进行检查，发现堵塞或损坏等及时更换。</w:t>
            </w:r>
          </w:p>
          <w:p w14:paraId="76B8B440">
            <w:pPr>
              <w:pStyle w:val="18"/>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3E94A8A7">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686B932A">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03612934">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2069800D">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47E30502">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5D8DC868">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79B74236">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30A433E5">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01ADCF62">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0FD134C4">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762AD484">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292B99F3">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48F35AEC">
            <w:pPr>
              <w:pStyle w:val="19"/>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79781246">
            <w:pPr>
              <w:pStyle w:val="19"/>
              <w:rPr>
                <w:rFonts w:hint="default"/>
                <w:color w:val="000000" w:themeColor="text1"/>
                <w:lang w:val="en-US" w:eastAsia="zh-CN"/>
                <w14:textFill>
                  <w14:solidFill>
                    <w14:schemeClr w14:val="tx1"/>
                  </w14:solidFill>
                </w14:textFill>
              </w:rPr>
            </w:pPr>
          </w:p>
          <w:p w14:paraId="57B1807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p w14:paraId="7B47E6D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kern w:val="0"/>
                <w:sz w:val="24"/>
                <w:szCs w:val="24"/>
                <w:lang w:val="en-US" w:eastAsia="zh-CN" w:bidi="ar-SA"/>
                <w14:textFill>
                  <w14:solidFill>
                    <w14:schemeClr w14:val="tx1"/>
                  </w14:solidFill>
                </w14:textFill>
              </w:rPr>
            </w:pPr>
          </w:p>
        </w:tc>
      </w:tr>
    </w:tbl>
    <w:p w14:paraId="4D908DEF">
      <w:pPr>
        <w:pStyle w:val="10"/>
        <w:ind w:left="0" w:leftChars="0" w:firstLine="0" w:firstLineChars="0"/>
        <w:rPr>
          <w:rFonts w:hint="eastAsia"/>
          <w:snapToGrid/>
          <w:color w:val="000000" w:themeColor="text1"/>
          <w:spacing w:val="0"/>
          <w:kern w:val="0"/>
          <w:position w:val="0"/>
          <w14:textFill>
            <w14:solidFill>
              <w14:schemeClr w14:val="tx1"/>
            </w14:solidFill>
          </w14:textFill>
        </w:rPr>
        <w:sectPr>
          <w:pgSz w:w="11907" w:h="16840"/>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4375"/>
      </w:tblGrid>
      <w:tr w14:paraId="7199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tcPr>
          <w:p w14:paraId="4CF4F763">
            <w:pPr>
              <w:pStyle w:val="10"/>
              <w:keepNext w:val="0"/>
              <w:keepLines w:val="0"/>
              <w:pageBreakBefore w:val="0"/>
              <w:widowControl w:val="0"/>
              <w:kinsoku/>
              <w:wordWrap/>
              <w:overflowPunct/>
              <w:topLinePunct w:val="0"/>
              <w:autoSpaceDE/>
              <w:autoSpaceDN/>
              <w:bidi w:val="0"/>
              <w:adjustRightInd/>
              <w:snapToGrid/>
              <w:spacing w:after="0"/>
              <w:jc w:val="both"/>
              <w:textAlignment w:val="auto"/>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pPr>
          </w:p>
        </w:tc>
        <w:tc>
          <w:tcPr>
            <w:tcW w:w="14313" w:type="dxa"/>
          </w:tcPr>
          <w:p w14:paraId="32AD11CA">
            <w:pPr>
              <w:pStyle w:val="10"/>
              <w:keepNext w:val="0"/>
              <w:keepLines w:val="0"/>
              <w:pageBreakBefore w:val="0"/>
              <w:widowControl w:val="0"/>
              <w:kinsoku/>
              <w:wordWrap/>
              <w:overflowPunct/>
              <w:topLinePunct w:val="0"/>
              <w:autoSpaceDE/>
              <w:autoSpaceDN/>
              <w:bidi w:val="0"/>
              <w:adjustRightInd/>
              <w:snapToGrid/>
              <w:spacing w:before="157" w:beforeLines="50" w:after="0"/>
              <w:ind w:left="0" w:leftChars="0" w:firstLine="0" w:firstLineChars="0"/>
              <w:jc w:val="center"/>
              <w:textAlignment w:val="auto"/>
              <w:rPr>
                <w:rFonts w:hint="eastAsia"/>
                <w:b/>
                <w:bCs/>
                <w:snapToGrid/>
                <w:color w:val="000000" w:themeColor="text1"/>
                <w:spacing w:val="0"/>
                <w:kern w:val="0"/>
                <w:position w:val="0"/>
                <w:sz w:val="21"/>
                <w:szCs w:val="21"/>
                <w:lang w:val="en-US" w:eastAsia="zh-CN"/>
                <w14:textFill>
                  <w14:solidFill>
                    <w14:schemeClr w14:val="tx1"/>
                  </w14:solidFill>
                </w14:textFill>
              </w:rPr>
            </w:pPr>
            <w:r>
              <w:rPr>
                <w:rFonts w:hint="eastAsia"/>
                <w:b/>
                <w:bCs/>
                <w:snapToGrid/>
                <w:color w:val="000000" w:themeColor="text1"/>
                <w:spacing w:val="0"/>
                <w:kern w:val="0"/>
                <w:position w:val="0"/>
                <w:sz w:val="21"/>
                <w:szCs w:val="21"/>
                <w:lang w:val="en-US" w:eastAsia="zh-CN"/>
                <w14:textFill>
                  <w14:solidFill>
                    <w14:schemeClr w14:val="tx1"/>
                  </w14:solidFill>
                </w14:textFill>
              </w:rPr>
              <w:t>表</w:t>
            </w:r>
            <w:r>
              <w:rPr>
                <w:rFonts w:hint="default"/>
                <w:b/>
                <w:bCs/>
                <w:snapToGrid/>
                <w:color w:val="000000" w:themeColor="text1"/>
                <w:spacing w:val="0"/>
                <w:kern w:val="0"/>
                <w:position w:val="0"/>
                <w:sz w:val="21"/>
                <w:szCs w:val="21"/>
                <w:lang w:val="en-US" w:eastAsia="zh-CN"/>
                <w14:textFill>
                  <w14:solidFill>
                    <w14:schemeClr w14:val="tx1"/>
                  </w14:solidFill>
                </w14:textFill>
              </w:rPr>
              <w:t>4-</w:t>
            </w:r>
            <w:r>
              <w:rPr>
                <w:rFonts w:hint="eastAsia"/>
                <w:b/>
                <w:bCs/>
                <w:snapToGrid/>
                <w:color w:val="000000" w:themeColor="text1"/>
                <w:spacing w:val="0"/>
                <w:kern w:val="0"/>
                <w:position w:val="0"/>
                <w:sz w:val="21"/>
                <w:szCs w:val="21"/>
                <w:lang w:val="en-US" w:eastAsia="zh-CN"/>
                <w14:textFill>
                  <w14:solidFill>
                    <w14:schemeClr w14:val="tx1"/>
                  </w14:solidFill>
                </w14:textFill>
              </w:rPr>
              <w:t xml:space="preserve">1 </w:t>
            </w:r>
            <w:r>
              <w:rPr>
                <w:rFonts w:hint="default"/>
                <w:b/>
                <w:bCs/>
                <w:snapToGrid/>
                <w:color w:val="000000" w:themeColor="text1"/>
                <w:spacing w:val="0"/>
                <w:kern w:val="0"/>
                <w:position w:val="0"/>
                <w:sz w:val="21"/>
                <w:szCs w:val="21"/>
                <w:lang w:val="en-US" w:eastAsia="zh-CN"/>
                <w14:textFill>
                  <w14:solidFill>
                    <w14:schemeClr w14:val="tx1"/>
                  </w14:solidFill>
                </w14:textFill>
              </w:rPr>
              <w:t xml:space="preserve"> </w:t>
            </w:r>
            <w:r>
              <w:rPr>
                <w:rFonts w:hint="eastAsia"/>
                <w:b/>
                <w:bCs/>
                <w:snapToGrid/>
                <w:color w:val="000000" w:themeColor="text1"/>
                <w:spacing w:val="0"/>
                <w:kern w:val="0"/>
                <w:position w:val="0"/>
                <w:sz w:val="21"/>
                <w:szCs w:val="21"/>
                <w:lang w:val="en-US" w:eastAsia="zh-CN"/>
                <w14:textFill>
                  <w14:solidFill>
                    <w14:schemeClr w14:val="tx1"/>
                  </w14:solidFill>
                </w14:textFill>
              </w:rPr>
              <w:t>无组织废气污染物产生及排放情况</w:t>
            </w:r>
          </w:p>
          <w:tbl>
            <w:tblPr>
              <w:tblStyle w:val="81"/>
              <w:tblW w:w="14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6"/>
              <w:gridCol w:w="844"/>
              <w:gridCol w:w="1283"/>
              <w:gridCol w:w="1104"/>
              <w:gridCol w:w="5147"/>
              <w:gridCol w:w="762"/>
              <w:gridCol w:w="1594"/>
              <w:gridCol w:w="1062"/>
              <w:gridCol w:w="1337"/>
            </w:tblGrid>
            <w:tr w14:paraId="07DAF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Merge w:val="restart"/>
                  <w:vAlign w:val="center"/>
                </w:tcPr>
                <w:p w14:paraId="2C817B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pPr>
                  <w:r>
                    <w:rPr>
                      <w:rFonts w:hint="eastAsia" w:cs="Times New Roman"/>
                      <w:b/>
                      <w:bCs/>
                      <w:color w:val="000000" w:themeColor="text1"/>
                      <w:spacing w:val="0"/>
                      <w:kern w:val="0"/>
                      <w:position w:val="0"/>
                      <w:sz w:val="21"/>
                      <w:szCs w:val="21"/>
                      <w:lang w:val="en-US" w:eastAsia="zh-CN"/>
                      <w14:textFill>
                        <w14:solidFill>
                          <w14:schemeClr w14:val="tx1"/>
                        </w14:solidFill>
                      </w14:textFill>
                    </w:rPr>
                    <w:t>废气来源</w:t>
                  </w:r>
                </w:p>
              </w:tc>
              <w:tc>
                <w:tcPr>
                  <w:tcW w:w="298" w:type="pct"/>
                  <w:vMerge w:val="restart"/>
                  <w:tcBorders>
                    <w:bottom w:val="nil"/>
                  </w:tcBorders>
                  <w:vAlign w:val="center"/>
                </w:tcPr>
                <w:p w14:paraId="3D91A4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污染物名称</w:t>
                  </w:r>
                </w:p>
              </w:tc>
              <w:tc>
                <w:tcPr>
                  <w:tcW w:w="843" w:type="pct"/>
                  <w:gridSpan w:val="2"/>
                  <w:vAlign w:val="center"/>
                </w:tcPr>
                <w:p w14:paraId="251817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产生情况</w:t>
                  </w:r>
                </w:p>
              </w:tc>
              <w:tc>
                <w:tcPr>
                  <w:tcW w:w="1818" w:type="pct"/>
                  <w:vMerge w:val="restart"/>
                  <w:tcBorders>
                    <w:bottom w:val="nil"/>
                  </w:tcBorders>
                  <w:vAlign w:val="center"/>
                </w:tcPr>
                <w:p w14:paraId="268112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治理措施</w:t>
                  </w:r>
                </w:p>
              </w:tc>
              <w:tc>
                <w:tcPr>
                  <w:tcW w:w="269" w:type="pct"/>
                  <w:vMerge w:val="restart"/>
                  <w:tcBorders>
                    <w:bottom w:val="nil"/>
                  </w:tcBorders>
                  <w:vAlign w:val="center"/>
                </w:tcPr>
                <w:p w14:paraId="17345F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去除效率%</w:t>
                  </w:r>
                </w:p>
              </w:tc>
              <w:tc>
                <w:tcPr>
                  <w:tcW w:w="938" w:type="pct"/>
                  <w:gridSpan w:val="2"/>
                  <w:vAlign w:val="center"/>
                </w:tcPr>
                <w:p w14:paraId="6B7B07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排放状况</w:t>
                  </w:r>
                </w:p>
              </w:tc>
              <w:tc>
                <w:tcPr>
                  <w:tcW w:w="472" w:type="pct"/>
                  <w:vAlign w:val="center"/>
                </w:tcPr>
                <w:p w14:paraId="6366EA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执行标准</w:t>
                  </w:r>
                </w:p>
              </w:tc>
            </w:tr>
            <w:tr w14:paraId="31526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Merge w:val="continue"/>
                  <w:vAlign w:val="center"/>
                </w:tcPr>
                <w:p w14:paraId="3DA224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000000" w:themeColor="text1"/>
                      <w:spacing w:val="0"/>
                      <w:kern w:val="0"/>
                      <w:position w:val="0"/>
                      <w:sz w:val="21"/>
                      <w:szCs w:val="21"/>
                      <w14:textFill>
                        <w14:solidFill>
                          <w14:schemeClr w14:val="tx1"/>
                        </w14:solidFill>
                      </w14:textFill>
                    </w:rPr>
                  </w:pPr>
                </w:p>
              </w:tc>
              <w:tc>
                <w:tcPr>
                  <w:tcW w:w="298" w:type="pct"/>
                  <w:vMerge w:val="continue"/>
                  <w:tcBorders>
                    <w:top w:val="nil"/>
                  </w:tcBorders>
                  <w:vAlign w:val="center"/>
                </w:tcPr>
                <w:p w14:paraId="0709E9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000000" w:themeColor="text1"/>
                      <w:spacing w:val="0"/>
                      <w:kern w:val="0"/>
                      <w:position w:val="0"/>
                      <w:sz w:val="21"/>
                      <w:szCs w:val="21"/>
                      <w14:textFill>
                        <w14:solidFill>
                          <w14:schemeClr w14:val="tx1"/>
                        </w14:solidFill>
                      </w14:textFill>
                    </w:rPr>
                  </w:pPr>
                </w:p>
              </w:tc>
              <w:tc>
                <w:tcPr>
                  <w:tcW w:w="453" w:type="pct"/>
                  <w:vAlign w:val="center"/>
                </w:tcPr>
                <w:p w14:paraId="0BB299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速率kg/h</w:t>
                  </w:r>
                </w:p>
              </w:tc>
              <w:tc>
                <w:tcPr>
                  <w:tcW w:w="390" w:type="pct"/>
                  <w:vAlign w:val="center"/>
                </w:tcPr>
                <w:p w14:paraId="749636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产生量t</w:t>
                  </w:r>
                  <w:r>
                    <w:rPr>
                      <w:rFonts w:hint="eastAsia"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a</w:t>
                  </w:r>
                </w:p>
              </w:tc>
              <w:tc>
                <w:tcPr>
                  <w:tcW w:w="1818" w:type="pct"/>
                  <w:vMerge w:val="continue"/>
                  <w:tcBorders>
                    <w:top w:val="nil"/>
                  </w:tcBorders>
                  <w:vAlign w:val="center"/>
                </w:tcPr>
                <w:p w14:paraId="7F5699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000000" w:themeColor="text1"/>
                      <w:spacing w:val="0"/>
                      <w:kern w:val="0"/>
                      <w:position w:val="0"/>
                      <w:sz w:val="21"/>
                      <w:szCs w:val="21"/>
                      <w14:textFill>
                        <w14:solidFill>
                          <w14:schemeClr w14:val="tx1"/>
                        </w14:solidFill>
                      </w14:textFill>
                    </w:rPr>
                  </w:pPr>
                </w:p>
              </w:tc>
              <w:tc>
                <w:tcPr>
                  <w:tcW w:w="269" w:type="pct"/>
                  <w:vMerge w:val="continue"/>
                  <w:tcBorders>
                    <w:top w:val="nil"/>
                  </w:tcBorders>
                  <w:vAlign w:val="center"/>
                </w:tcPr>
                <w:p w14:paraId="6E07DD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000000" w:themeColor="text1"/>
                      <w:spacing w:val="0"/>
                      <w:kern w:val="0"/>
                      <w:position w:val="0"/>
                      <w:sz w:val="21"/>
                      <w:szCs w:val="21"/>
                      <w14:textFill>
                        <w14:solidFill>
                          <w14:schemeClr w14:val="tx1"/>
                        </w14:solidFill>
                      </w14:textFill>
                    </w:rPr>
                  </w:pPr>
                </w:p>
              </w:tc>
              <w:tc>
                <w:tcPr>
                  <w:tcW w:w="563" w:type="pct"/>
                  <w:vAlign w:val="center"/>
                </w:tcPr>
                <w:p w14:paraId="3743EA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排放速率kg/h</w:t>
                  </w:r>
                </w:p>
              </w:tc>
              <w:tc>
                <w:tcPr>
                  <w:tcW w:w="375" w:type="pct"/>
                  <w:vAlign w:val="center"/>
                </w:tcPr>
                <w:p w14:paraId="00D7DF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排放量t/a</w:t>
                  </w:r>
                </w:p>
              </w:tc>
              <w:tc>
                <w:tcPr>
                  <w:tcW w:w="472" w:type="pct"/>
                  <w:vAlign w:val="center"/>
                </w:tcPr>
                <w:p w14:paraId="3371D2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浓度mg/m³</w:t>
                  </w:r>
                </w:p>
              </w:tc>
            </w:tr>
            <w:tr w14:paraId="18542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4F2226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原料堆场</w:t>
                  </w:r>
                </w:p>
              </w:tc>
              <w:tc>
                <w:tcPr>
                  <w:tcW w:w="298" w:type="pct"/>
                  <w:vAlign w:val="center"/>
                </w:tcPr>
                <w:p w14:paraId="68E1AE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TSP</w:t>
                  </w:r>
                </w:p>
              </w:tc>
              <w:tc>
                <w:tcPr>
                  <w:tcW w:w="453" w:type="pct"/>
                  <w:vAlign w:val="center"/>
                </w:tcPr>
                <w:p w14:paraId="7644A7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14:textFill>
                        <w14:solidFill>
                          <w14:schemeClr w14:val="tx1"/>
                        </w14:solidFill>
                      </w14:textFill>
                    </w:rPr>
                    <w:t>0.067</w:t>
                  </w:r>
                </w:p>
              </w:tc>
              <w:tc>
                <w:tcPr>
                  <w:tcW w:w="390" w:type="pct"/>
                  <w:vAlign w:val="center"/>
                </w:tcPr>
                <w:p w14:paraId="473D3E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0.323</w:t>
                  </w:r>
                </w:p>
              </w:tc>
              <w:tc>
                <w:tcPr>
                  <w:tcW w:w="1818" w:type="pct"/>
                  <w:vAlign w:val="center"/>
                </w:tcPr>
                <w:p w14:paraId="30FF67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地面进行硬化处理，设置于生产厂房内，原料堆场安装固定式喷雾装置，下料区设置喷雾装置，物料装卸时进行喷淋作业，进出车辆需进行冲洗。</w:t>
                  </w:r>
                </w:p>
              </w:tc>
              <w:tc>
                <w:tcPr>
                  <w:tcW w:w="269" w:type="pct"/>
                  <w:vAlign w:val="center"/>
                </w:tcPr>
                <w:p w14:paraId="084FCA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99.7</w:t>
                  </w:r>
                </w:p>
              </w:tc>
              <w:tc>
                <w:tcPr>
                  <w:tcW w:w="563" w:type="pct"/>
                  <w:vAlign w:val="center"/>
                </w:tcPr>
                <w:p w14:paraId="4DAED7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0.0015</w:t>
                  </w:r>
                </w:p>
              </w:tc>
              <w:tc>
                <w:tcPr>
                  <w:tcW w:w="375" w:type="pct"/>
                  <w:vAlign w:val="center"/>
                </w:tcPr>
                <w:p w14:paraId="2660F1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0.007</w:t>
                  </w:r>
                </w:p>
              </w:tc>
              <w:tc>
                <w:tcPr>
                  <w:tcW w:w="472" w:type="pct"/>
                  <w:vMerge w:val="restart"/>
                  <w:vAlign w:val="center"/>
                </w:tcPr>
                <w:p w14:paraId="54463C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0.5</w:t>
                  </w:r>
                </w:p>
              </w:tc>
            </w:tr>
            <w:tr w14:paraId="0C2EA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3EDABC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筒仓</w:t>
                  </w:r>
                </w:p>
              </w:tc>
              <w:tc>
                <w:tcPr>
                  <w:tcW w:w="298" w:type="pct"/>
                  <w:vAlign w:val="center"/>
                </w:tcPr>
                <w:p w14:paraId="7096FB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TSP</w:t>
                  </w:r>
                </w:p>
              </w:tc>
              <w:tc>
                <w:tcPr>
                  <w:tcW w:w="453" w:type="pct"/>
                  <w:vAlign w:val="center"/>
                </w:tcPr>
                <w:p w14:paraId="1C3B76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14:textFill>
                        <w14:solidFill>
                          <w14:schemeClr w14:val="tx1"/>
                        </w14:solidFill>
                      </w14:textFill>
                    </w:rPr>
                    <w:t>5.347</w:t>
                  </w:r>
                </w:p>
              </w:tc>
              <w:tc>
                <w:tcPr>
                  <w:tcW w:w="390" w:type="pct"/>
                  <w:vAlign w:val="center"/>
                </w:tcPr>
                <w:p w14:paraId="761614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25.668</w:t>
                  </w:r>
                </w:p>
              </w:tc>
              <w:tc>
                <w:tcPr>
                  <w:tcW w:w="1818" w:type="pct"/>
                  <w:vAlign w:val="center"/>
                </w:tcPr>
                <w:p w14:paraId="4E95BD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筒仓置于设备楼内，筒仓顶部均设置脉冲式布袋除尘器</w:t>
                  </w:r>
                </w:p>
              </w:tc>
              <w:tc>
                <w:tcPr>
                  <w:tcW w:w="269" w:type="pct"/>
                  <w:vAlign w:val="center"/>
                </w:tcPr>
                <w:p w14:paraId="105E7C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99.88</w:t>
                  </w:r>
                </w:p>
              </w:tc>
              <w:tc>
                <w:tcPr>
                  <w:tcW w:w="563" w:type="pct"/>
                  <w:vAlign w:val="center"/>
                </w:tcPr>
                <w:p w14:paraId="1C0514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0.0064</w:t>
                  </w:r>
                </w:p>
              </w:tc>
              <w:tc>
                <w:tcPr>
                  <w:tcW w:w="375" w:type="pct"/>
                  <w:vAlign w:val="center"/>
                </w:tcPr>
                <w:p w14:paraId="11C2D5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14:textFill>
                        <w14:solidFill>
                          <w14:schemeClr w14:val="tx1"/>
                        </w14:solidFill>
                      </w14:textFill>
                    </w:rPr>
                    <w:t>0.0</w:t>
                  </w:r>
                  <w:r>
                    <w:rPr>
                      <w:rFonts w:hint="eastAsia" w:cs="Times New Roman"/>
                      <w:color w:val="000000" w:themeColor="text1"/>
                      <w:spacing w:val="0"/>
                      <w:kern w:val="0"/>
                      <w:position w:val="0"/>
                      <w:sz w:val="21"/>
                      <w:szCs w:val="21"/>
                      <w:lang w:val="en-US" w:eastAsia="zh-CN"/>
                      <w14:textFill>
                        <w14:solidFill>
                          <w14:schemeClr w14:val="tx1"/>
                        </w14:solidFill>
                      </w14:textFill>
                    </w:rPr>
                    <w:t>31</w:t>
                  </w:r>
                </w:p>
              </w:tc>
              <w:tc>
                <w:tcPr>
                  <w:tcW w:w="472" w:type="pct"/>
                  <w:vMerge w:val="continue"/>
                  <w:vAlign w:val="center"/>
                </w:tcPr>
                <w:p w14:paraId="22884D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14:textFill>
                        <w14:solidFill>
                          <w14:schemeClr w14:val="tx1"/>
                        </w14:solidFill>
                      </w14:textFill>
                    </w:rPr>
                  </w:pPr>
                </w:p>
              </w:tc>
            </w:tr>
            <w:tr w14:paraId="76CB8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0C341F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混凝土搅拌</w:t>
                  </w:r>
                </w:p>
              </w:tc>
              <w:tc>
                <w:tcPr>
                  <w:tcW w:w="298" w:type="pct"/>
                  <w:vAlign w:val="center"/>
                </w:tcPr>
                <w:p w14:paraId="6C019A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TSP</w:t>
                  </w:r>
                </w:p>
              </w:tc>
              <w:tc>
                <w:tcPr>
                  <w:tcW w:w="453" w:type="pct"/>
                  <w:vAlign w:val="center"/>
                </w:tcPr>
                <w:p w14:paraId="7E8DE7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32.33</w:t>
                  </w:r>
                </w:p>
              </w:tc>
              <w:tc>
                <w:tcPr>
                  <w:tcW w:w="390" w:type="pct"/>
                  <w:vAlign w:val="center"/>
                </w:tcPr>
                <w:p w14:paraId="69967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155.22</w:t>
                  </w:r>
                </w:p>
              </w:tc>
              <w:tc>
                <w:tcPr>
                  <w:tcW w:w="1818" w:type="pct"/>
                  <w:vMerge w:val="restart"/>
                  <w:vAlign w:val="center"/>
                </w:tcPr>
                <w:p w14:paraId="1F202E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搅拌机在半封闭的设备楼内，搅拌机顶部设置脉冲式布袋除尘器。</w:t>
                  </w:r>
                </w:p>
              </w:tc>
              <w:tc>
                <w:tcPr>
                  <w:tcW w:w="269" w:type="pct"/>
                  <w:vAlign w:val="center"/>
                </w:tcPr>
                <w:p w14:paraId="2DD11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99.88</w:t>
                  </w:r>
                </w:p>
              </w:tc>
              <w:tc>
                <w:tcPr>
                  <w:tcW w:w="563" w:type="pct"/>
                  <w:vAlign w:val="center"/>
                </w:tcPr>
                <w:p w14:paraId="359911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0.039</w:t>
                  </w:r>
                </w:p>
              </w:tc>
              <w:tc>
                <w:tcPr>
                  <w:tcW w:w="375" w:type="pct"/>
                  <w:vAlign w:val="center"/>
                </w:tcPr>
                <w:p w14:paraId="1CEE3D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0.186</w:t>
                  </w:r>
                </w:p>
              </w:tc>
              <w:tc>
                <w:tcPr>
                  <w:tcW w:w="472" w:type="pct"/>
                  <w:vMerge w:val="continue"/>
                  <w:vAlign w:val="center"/>
                </w:tcPr>
                <w:p w14:paraId="6BA669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14:textFill>
                        <w14:solidFill>
                          <w14:schemeClr w14:val="tx1"/>
                        </w14:solidFill>
                      </w14:textFill>
                    </w:rPr>
                  </w:pPr>
                </w:p>
              </w:tc>
            </w:tr>
            <w:tr w14:paraId="57217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0AFBE3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预拌砂浆搅拌</w:t>
                  </w:r>
                </w:p>
              </w:tc>
              <w:tc>
                <w:tcPr>
                  <w:tcW w:w="298" w:type="pct"/>
                  <w:vAlign w:val="center"/>
                </w:tcPr>
                <w:p w14:paraId="7D1416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TSP</w:t>
                  </w:r>
                </w:p>
              </w:tc>
              <w:tc>
                <w:tcPr>
                  <w:tcW w:w="453" w:type="pct"/>
                  <w:vAlign w:val="center"/>
                </w:tcPr>
                <w:p w14:paraId="6A0A66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5.525</w:t>
                  </w:r>
                </w:p>
              </w:tc>
              <w:tc>
                <w:tcPr>
                  <w:tcW w:w="390" w:type="pct"/>
                  <w:vAlign w:val="center"/>
                </w:tcPr>
                <w:p w14:paraId="226FB5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26.52</w:t>
                  </w:r>
                </w:p>
              </w:tc>
              <w:tc>
                <w:tcPr>
                  <w:tcW w:w="1818" w:type="pct"/>
                  <w:vMerge w:val="continue"/>
                  <w:vAlign w:val="center"/>
                </w:tcPr>
                <w:p w14:paraId="550F2E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p>
              </w:tc>
              <w:tc>
                <w:tcPr>
                  <w:tcW w:w="269" w:type="pct"/>
                  <w:vAlign w:val="center"/>
                </w:tcPr>
                <w:p w14:paraId="11A171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99.88</w:t>
                  </w:r>
                </w:p>
              </w:tc>
              <w:tc>
                <w:tcPr>
                  <w:tcW w:w="563" w:type="pct"/>
                  <w:vAlign w:val="center"/>
                </w:tcPr>
                <w:p w14:paraId="0E38D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0.0066</w:t>
                  </w:r>
                </w:p>
              </w:tc>
              <w:tc>
                <w:tcPr>
                  <w:tcW w:w="375" w:type="pct"/>
                  <w:vAlign w:val="center"/>
                </w:tcPr>
                <w:p w14:paraId="73DE2E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0.032</w:t>
                  </w:r>
                </w:p>
              </w:tc>
              <w:tc>
                <w:tcPr>
                  <w:tcW w:w="472" w:type="pct"/>
                  <w:vMerge w:val="continue"/>
                  <w:vAlign w:val="center"/>
                </w:tcPr>
                <w:p w14:paraId="00BD70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p>
              </w:tc>
            </w:tr>
            <w:tr w14:paraId="5AE0E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4591BD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运输车辆</w:t>
                  </w:r>
                </w:p>
              </w:tc>
              <w:tc>
                <w:tcPr>
                  <w:tcW w:w="298" w:type="pct"/>
                  <w:vAlign w:val="center"/>
                </w:tcPr>
                <w:p w14:paraId="647419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TSP</w:t>
                  </w:r>
                </w:p>
              </w:tc>
              <w:tc>
                <w:tcPr>
                  <w:tcW w:w="453" w:type="pct"/>
                  <w:vAlign w:val="center"/>
                </w:tcPr>
                <w:p w14:paraId="52EAFB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0.405</w:t>
                  </w:r>
                </w:p>
              </w:tc>
              <w:tc>
                <w:tcPr>
                  <w:tcW w:w="390" w:type="pct"/>
                  <w:vAlign w:val="center"/>
                </w:tcPr>
                <w:p w14:paraId="6BCE31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1.946</w:t>
                  </w:r>
                </w:p>
              </w:tc>
              <w:tc>
                <w:tcPr>
                  <w:tcW w:w="1818" w:type="pct"/>
                  <w:vAlign w:val="center"/>
                </w:tcPr>
                <w:p w14:paraId="1C15BE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14:textFill>
                        <w14:solidFill>
                          <w14:schemeClr w14:val="tx1"/>
                        </w14:solidFill>
                      </w14:textFill>
                    </w:rPr>
                    <w:t>厂区道路全部硬化，运输车辆加盖篷布，严禁超载，杜绝汽车抛洒，保持车体整洁，净车上路。每日进行地面清洁，减少地面扬尘，道路两侧设置固定喷雾降尘或移动式雾炮降尘。进出车辆需进行冲洗。</w:t>
                  </w:r>
                </w:p>
              </w:tc>
              <w:tc>
                <w:tcPr>
                  <w:tcW w:w="269" w:type="pct"/>
                  <w:vAlign w:val="center"/>
                </w:tcPr>
                <w:p w14:paraId="2CADB1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80</w:t>
                  </w:r>
                </w:p>
              </w:tc>
              <w:tc>
                <w:tcPr>
                  <w:tcW w:w="563" w:type="pct"/>
                  <w:vAlign w:val="center"/>
                </w:tcPr>
                <w:p w14:paraId="2A34C5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0.081</w:t>
                  </w:r>
                </w:p>
              </w:tc>
              <w:tc>
                <w:tcPr>
                  <w:tcW w:w="375" w:type="pct"/>
                  <w:vAlign w:val="center"/>
                </w:tcPr>
                <w:p w14:paraId="674941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color w:val="000000" w:themeColor="text1"/>
                      <w:spacing w:val="0"/>
                      <w:kern w:val="0"/>
                      <w:position w:val="0"/>
                      <w:sz w:val="21"/>
                      <w:szCs w:val="21"/>
                      <w:lang w:val="en-US" w:eastAsia="zh-CN"/>
                      <w14:textFill>
                        <w14:solidFill>
                          <w14:schemeClr w14:val="tx1"/>
                        </w14:solidFill>
                      </w14:textFill>
                    </w:rPr>
                    <w:t>0.389</w:t>
                  </w:r>
                </w:p>
              </w:tc>
              <w:tc>
                <w:tcPr>
                  <w:tcW w:w="472" w:type="pct"/>
                  <w:vMerge w:val="continue"/>
                  <w:vAlign w:val="center"/>
                </w:tcPr>
                <w:p w14:paraId="5FCD80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themeColor="text1"/>
                      <w:spacing w:val="0"/>
                      <w:kern w:val="0"/>
                      <w:position w:val="0"/>
                      <w:sz w:val="21"/>
                      <w:szCs w:val="21"/>
                      <w:lang w:val="en-US" w:eastAsia="zh-CN"/>
                      <w14:textFill>
                        <w14:solidFill>
                          <w14:schemeClr w14:val="tx1"/>
                        </w14:solidFill>
                      </w14:textFill>
                    </w:rPr>
                  </w:pPr>
                </w:p>
              </w:tc>
            </w:tr>
          </w:tbl>
          <w:p w14:paraId="616B8F79">
            <w:pPr>
              <w:pStyle w:val="10"/>
              <w:keepNext w:val="0"/>
              <w:keepLines w:val="0"/>
              <w:pageBreakBefore w:val="0"/>
              <w:widowControl w:val="0"/>
              <w:kinsoku/>
              <w:wordWrap/>
              <w:overflowPunct/>
              <w:topLinePunct w:val="0"/>
              <w:autoSpaceDE/>
              <w:autoSpaceDN/>
              <w:bidi w:val="0"/>
              <w:adjustRightInd/>
              <w:snapToGrid/>
              <w:spacing w:before="157" w:beforeLines="50" w:after="0"/>
              <w:ind w:left="0" w:leftChars="0" w:firstLine="0" w:firstLineChars="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表4-2  污染面源统计情况一览表</w:t>
            </w:r>
          </w:p>
          <w:tbl>
            <w:tblPr>
              <w:tblStyle w:val="2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0"/>
              <w:gridCol w:w="1380"/>
              <w:gridCol w:w="1899"/>
              <w:gridCol w:w="1899"/>
              <w:gridCol w:w="1899"/>
              <w:gridCol w:w="1380"/>
              <w:gridCol w:w="1380"/>
              <w:gridCol w:w="1380"/>
              <w:gridCol w:w="1554"/>
            </w:tblGrid>
            <w:tr w14:paraId="682C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87" w:type="pct"/>
                  <w:tcBorders>
                    <w:top w:val="single" w:color="auto" w:sz="2" w:space="0"/>
                    <w:left w:val="single" w:color="auto" w:sz="0" w:space="0"/>
                    <w:bottom w:val="single" w:color="auto" w:sz="2" w:space="0"/>
                    <w:right w:val="single" w:color="auto" w:sz="2" w:space="0"/>
                  </w:tcBorders>
                  <w:shd w:val="clear" w:color="auto" w:fill="auto"/>
                  <w:vAlign w:val="center"/>
                </w:tcPr>
                <w:p w14:paraId="7829D70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面源名称</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38B210E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面源起点坐标x,y</w:t>
                  </w:r>
                </w:p>
              </w:tc>
              <w:tc>
                <w:tcPr>
                  <w:tcW w:w="670" w:type="pct"/>
                  <w:tcBorders>
                    <w:top w:val="single" w:color="auto" w:sz="2" w:space="0"/>
                    <w:left w:val="single" w:color="auto" w:sz="2" w:space="0"/>
                    <w:bottom w:val="single" w:color="auto" w:sz="2" w:space="0"/>
                    <w:right w:val="single" w:color="auto" w:sz="2" w:space="0"/>
                  </w:tcBorders>
                  <w:shd w:val="clear" w:color="auto" w:fill="auto"/>
                  <w:vAlign w:val="center"/>
                </w:tcPr>
                <w:p w14:paraId="02E89A2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w:t>
                  </w:r>
                  <w:r>
                    <w:rPr>
                      <w:rFonts w:hint="eastAsia" w:cs="Times New Roman"/>
                      <w:b/>
                      <w:bCs/>
                      <w:i w:val="0"/>
                      <w:iCs w:val="0"/>
                      <w:color w:val="000000" w:themeColor="text1"/>
                      <w:kern w:val="0"/>
                      <w:sz w:val="21"/>
                      <w:szCs w:val="21"/>
                      <w:u w:val="none"/>
                      <w:lang w:val="en-US" w:eastAsia="zh-CN" w:bidi="ar"/>
                      <w14:textFill>
                        <w14:solidFill>
                          <w14:schemeClr w14:val="tx1"/>
                        </w14:solidFill>
                      </w14:textFill>
                    </w:rPr>
                    <w:t>海拔</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/m</w:t>
                  </w:r>
                </w:p>
              </w:tc>
              <w:tc>
                <w:tcPr>
                  <w:tcW w:w="670" w:type="pct"/>
                  <w:tcBorders>
                    <w:top w:val="single" w:color="auto" w:sz="2" w:space="0"/>
                    <w:left w:val="single" w:color="auto" w:sz="2" w:space="0"/>
                    <w:bottom w:val="single" w:color="auto" w:sz="2" w:space="0"/>
                    <w:right w:val="single" w:color="auto" w:sz="2" w:space="0"/>
                  </w:tcBorders>
                  <w:shd w:val="clear" w:color="auto" w:fill="auto"/>
                  <w:vAlign w:val="center"/>
                </w:tcPr>
                <w:p w14:paraId="61956F2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面源长度/m</w:t>
                  </w:r>
                </w:p>
              </w:tc>
              <w:tc>
                <w:tcPr>
                  <w:tcW w:w="670" w:type="pct"/>
                  <w:tcBorders>
                    <w:top w:val="single" w:color="auto" w:sz="2" w:space="0"/>
                    <w:left w:val="single" w:color="auto" w:sz="2" w:space="0"/>
                    <w:bottom w:val="single" w:color="auto" w:sz="2" w:space="0"/>
                    <w:right w:val="single" w:color="auto" w:sz="2" w:space="0"/>
                  </w:tcBorders>
                  <w:shd w:val="clear" w:color="auto" w:fill="auto"/>
                  <w:vAlign w:val="center"/>
                </w:tcPr>
                <w:p w14:paraId="28A6542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面源宽度/m</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2DACC93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与正北向夹角/°</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0B3B53AD">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面源有效排放高度/m</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1A06881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年排放小时数/h</w:t>
                  </w:r>
                </w:p>
              </w:tc>
              <w:tc>
                <w:tcPr>
                  <w:tcW w:w="548" w:type="pct"/>
                  <w:tcBorders>
                    <w:top w:val="single" w:color="auto" w:sz="2" w:space="0"/>
                    <w:left w:val="single" w:color="auto" w:sz="2" w:space="0"/>
                    <w:bottom w:val="single" w:color="auto" w:sz="2" w:space="0"/>
                    <w:right w:val="single" w:color="auto" w:sz="2" w:space="0"/>
                  </w:tcBorders>
                  <w:shd w:val="clear" w:color="auto" w:fill="auto"/>
                  <w:vAlign w:val="center"/>
                </w:tcPr>
                <w:p w14:paraId="3A4E1B8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污染物排放速率kg/h</w:t>
                  </w:r>
                </w:p>
              </w:tc>
            </w:tr>
            <w:tr w14:paraId="6FC37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87" w:type="pct"/>
                  <w:tcBorders>
                    <w:top w:val="single" w:color="auto" w:sz="2" w:space="0"/>
                    <w:left w:val="single" w:color="auto" w:sz="4" w:space="0"/>
                    <w:bottom w:val="single" w:color="auto" w:sz="2" w:space="0"/>
                    <w:right w:val="single" w:color="auto" w:sz="2" w:space="0"/>
                  </w:tcBorders>
                  <w:shd w:val="clear" w:color="auto" w:fill="auto"/>
                  <w:noWrap/>
                  <w:vAlign w:val="center"/>
                </w:tcPr>
                <w:p w14:paraId="51D63703">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生产区域</w:t>
                  </w:r>
                </w:p>
              </w:tc>
              <w:tc>
                <w:tcPr>
                  <w:tcW w:w="487"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215D6A9">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0</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r>
                    <w:rPr>
                      <w:rFonts w:hint="eastAsia" w:cs="Times New Roman"/>
                      <w:i w:val="0"/>
                      <w:iCs w:val="0"/>
                      <w:color w:val="000000" w:themeColor="text1"/>
                      <w:sz w:val="21"/>
                      <w:szCs w:val="21"/>
                      <w:u w:val="none"/>
                      <w:lang w:val="en-US" w:eastAsia="zh-CN"/>
                      <w14:textFill>
                        <w14:solidFill>
                          <w14:schemeClr w14:val="tx1"/>
                        </w14:solidFill>
                      </w14:textFill>
                    </w:rPr>
                    <w:t>0</w:t>
                  </w:r>
                </w:p>
              </w:tc>
              <w:tc>
                <w:tcPr>
                  <w:tcW w:w="670"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082E148">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233</w:t>
                  </w:r>
                </w:p>
              </w:tc>
              <w:tc>
                <w:tcPr>
                  <w:tcW w:w="670"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C0E2776">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170</w:t>
                  </w:r>
                </w:p>
              </w:tc>
              <w:tc>
                <w:tcPr>
                  <w:tcW w:w="670"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038F66B">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116</w:t>
                  </w:r>
                </w:p>
              </w:tc>
              <w:tc>
                <w:tcPr>
                  <w:tcW w:w="487"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355A8AB">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20</w:t>
                  </w:r>
                </w:p>
              </w:tc>
              <w:tc>
                <w:tcPr>
                  <w:tcW w:w="487"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1C17EE3">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10</w:t>
                  </w:r>
                </w:p>
              </w:tc>
              <w:tc>
                <w:tcPr>
                  <w:tcW w:w="487"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14673AA">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4800</w:t>
                  </w:r>
                </w:p>
              </w:tc>
              <w:tc>
                <w:tcPr>
                  <w:tcW w:w="548" w:type="pct"/>
                  <w:tcBorders>
                    <w:top w:val="single" w:color="auto" w:sz="2" w:space="0"/>
                    <w:left w:val="single" w:color="auto" w:sz="2" w:space="0"/>
                    <w:bottom w:val="single" w:color="auto" w:sz="2" w:space="0"/>
                    <w:right w:val="single" w:color="auto" w:sz="2" w:space="0"/>
                  </w:tcBorders>
                  <w:shd w:val="clear" w:color="auto" w:fill="auto"/>
                  <w:noWrap/>
                  <w:vAlign w:val="center"/>
                </w:tcPr>
                <w:p w14:paraId="33F6056D">
                  <w:pPr>
                    <w:jc w:val="both"/>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TSP</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r>
                    <w:rPr>
                      <w:rFonts w:hint="eastAsia" w:ascii="Times New Roman" w:hAnsi="Times New Roman" w:cs="Times New Roman"/>
                      <w:color w:val="000000" w:themeColor="text1"/>
                      <w:spacing w:val="0"/>
                      <w:kern w:val="0"/>
                      <w:position w:val="0"/>
                      <w:sz w:val="21"/>
                      <w:szCs w:val="21"/>
                      <w:lang w:val="en-US" w:eastAsia="zh-CN"/>
                      <w14:textFill>
                        <w14:solidFill>
                          <w14:schemeClr w14:val="tx1"/>
                        </w14:solidFill>
                      </w14:textFill>
                    </w:rPr>
                    <w:t>0.</w:t>
                  </w:r>
                  <w:r>
                    <w:rPr>
                      <w:rFonts w:hint="eastAsia" w:cs="Times New Roman"/>
                      <w:color w:val="000000" w:themeColor="text1"/>
                      <w:spacing w:val="0"/>
                      <w:kern w:val="0"/>
                      <w:position w:val="0"/>
                      <w:sz w:val="21"/>
                      <w:szCs w:val="21"/>
                      <w:lang w:val="en-US" w:eastAsia="zh-CN"/>
                      <w14:textFill>
                        <w14:solidFill>
                          <w14:schemeClr w14:val="tx1"/>
                        </w14:solidFill>
                      </w14:textFill>
                    </w:rPr>
                    <w:t>134</w:t>
                  </w:r>
                </w:p>
              </w:tc>
            </w:tr>
          </w:tbl>
          <w:p w14:paraId="00CB97D4">
            <w:pPr>
              <w:pStyle w:val="10"/>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注：上表中的</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轴坐标值系以项目中心点</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东经</w:t>
            </w:r>
            <w:r>
              <w:rPr>
                <w:rFonts w:hint="default" w:ascii="Times New Roman" w:hAnsi="Times New Roman" w:cs="Times New Roman"/>
                <w:snapToGrid/>
                <w:color w:val="000000" w:themeColor="text1"/>
                <w:spacing w:val="0"/>
                <w:kern w:val="0"/>
                <w:position w:val="0"/>
                <w:sz w:val="21"/>
                <w:szCs w:val="21"/>
                <w:u w:val="none"/>
                <w:shd w:val="clear" w:color="auto" w:fill="auto"/>
                <w:lang w:eastAsia="zh-CN"/>
                <w14:textFill>
                  <w14:solidFill>
                    <w14:schemeClr w14:val="tx1"/>
                  </w14:solidFill>
                </w14:textFill>
              </w:rPr>
              <w:t>115°59′2.044″</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，北纬</w:t>
            </w:r>
            <w:r>
              <w:rPr>
                <w:rFonts w:hint="default" w:ascii="Times New Roman" w:hAnsi="Times New Roman" w:cs="Times New Roman"/>
                <w:snapToGrid/>
                <w:color w:val="000000" w:themeColor="text1"/>
                <w:spacing w:val="0"/>
                <w:kern w:val="0"/>
                <w:position w:val="0"/>
                <w:sz w:val="21"/>
                <w:szCs w:val="21"/>
                <w:u w:val="none"/>
                <w:shd w:val="clear" w:color="auto" w:fill="auto"/>
                <w:lang w:val="en-US" w:eastAsia="zh-CN"/>
                <w14:textFill>
                  <w14:solidFill>
                    <w14:schemeClr w14:val="tx1"/>
                  </w14:solidFill>
                </w14:textFill>
              </w:rPr>
              <w:t>26°27′3.983″</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）为坐标原点（</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），自西向东为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轴正方向，自南向北为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轴的正方向，本项目污染面源以整个生产区计，污染物排放速率以全厂粉尘无组织排放速率计。</w:t>
            </w:r>
          </w:p>
          <w:p w14:paraId="24EA8CD9">
            <w:pP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70674FAB">
            <w:pPr>
              <w:pStyle w:val="36"/>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592F3D19">
            <w:pPr>
              <w:pStyle w:val="26"/>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76CDACE3">
            <w:pPr>
              <w:rPr>
                <w:rFonts w:hint="eastAsia"/>
                <w:lang w:val="en-US" w:eastAsia="zh-CN"/>
              </w:rPr>
            </w:pPr>
          </w:p>
          <w:p w14:paraId="737BC7FB">
            <w:pPr>
              <w:pStyle w:val="36"/>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7728C5BF">
            <w:pPr>
              <w:pStyle w:val="26"/>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2DA6785D">
            <w:pP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2107BD9D">
            <w:pPr>
              <w:pStyle w:val="36"/>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56898004">
            <w:pPr>
              <w:pStyle w:val="26"/>
              <w:rPr>
                <w:rFonts w:hint="eastAsia"/>
                <w:lang w:val="en-US" w:eastAsia="zh-CN"/>
              </w:rPr>
            </w:pPr>
          </w:p>
        </w:tc>
      </w:tr>
    </w:tbl>
    <w:p w14:paraId="670C5765">
      <w:pPr>
        <w:pStyle w:val="10"/>
        <w:ind w:left="0" w:leftChars="0" w:firstLine="0" w:firstLineChars="0"/>
        <w:rPr>
          <w:rFonts w:hint="eastAsia"/>
          <w:color w:val="000000" w:themeColor="text1"/>
          <w14:textFill>
            <w14:solidFill>
              <w14:schemeClr w14:val="tx1"/>
            </w14:solidFill>
          </w14:textFill>
        </w:rPr>
        <w:sectPr>
          <w:headerReference r:id="rId8" w:type="default"/>
          <w:pgSz w:w="16840" w:h="11907" w:orient="landscape"/>
          <w:pgMar w:top="1440" w:right="1080" w:bottom="1440" w:left="1080" w:header="1077" w:footer="1247"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442"/>
      </w:tblGrid>
      <w:tr w14:paraId="6281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dxa"/>
          </w:tcPr>
          <w:p w14:paraId="02533881">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bookmarkStart w:id="9" w:name="_Toc25517"/>
          </w:p>
        </w:tc>
        <w:tc>
          <w:tcPr>
            <w:tcW w:w="8442" w:type="dxa"/>
          </w:tcPr>
          <w:p w14:paraId="3AEA21C4">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废气污染治理设施可行性分析</w:t>
            </w:r>
          </w:p>
          <w:p w14:paraId="25DF9F0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1）布袋除尘</w:t>
            </w:r>
          </w:p>
          <w:p w14:paraId="3B6097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袋式除尘器也称为过滤式除尘器，是一种干式高效除尘器，它是利用纤维编</w:t>
            </w:r>
            <w:r>
              <w:rPr>
                <w:rFonts w:hint="eastAsia" w:cs="Times New Roman"/>
                <w:smallCaps w:val="0"/>
                <w:snapToGrid/>
                <w:color w:val="000000" w:themeColor="text1"/>
                <w:spacing w:val="0"/>
                <w:w w:val="100"/>
                <w:kern w:val="0"/>
                <w:position w:val="0"/>
                <w:sz w:val="24"/>
                <w:lang w:val="en-US" w:eastAsia="zh-CN"/>
                <w14:textFill>
                  <w14:solidFill>
                    <w14:schemeClr w14:val="tx1"/>
                  </w14:solidFill>
                </w14:textFill>
              </w:rPr>
              <w:t>织</w:t>
            </w: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物制作的袋式过滤元件来捕集含尘气体中固体颗粒物的除尘装置。其作用原理是尘粒在绕过滤布纤维时因惯性力作用与纤维碰撞而被拦截。细微的尘粒（粒径为</w:t>
            </w:r>
            <w:r>
              <w:rPr>
                <w:rFonts w:hint="default"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1</w:t>
            </w: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微米或更小）则受气体分子冲击（布朗运动）不断改变着运动方向，由于纤维间的空隙小于气体分子布朗运动的自由路径，尘粒便与纤维碰撞接触而被分离出来。其工作过程与滤料的编织方法、纤维的密度及粉尘的扩散、惯性、遮挡、重力和静电作用等因素及其清灰方法有关。</w:t>
            </w:r>
          </w:p>
          <w:p w14:paraId="3106A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pP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布袋除尘器优点：除尘效率高，可达</w:t>
            </w:r>
            <w:r>
              <w:rPr>
                <w:rFonts w:hint="default"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99%</w:t>
            </w: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以上；附属设备少，投资省，技术要求没有电除尘器那样高；能捕集比电阻高，电除尘难以回收的粉尘；袋式除尘器性能稳定可靠，对负荷变化适应性好，运行管理简便，特别适宜捕集细微而干燥的粉尘，所收的干尘便于处理和回收利用；能适合生产全过程除尘新理论，降低总量排放；袋式除尘器适于净化含有爆炸危险或带有火花的含尘气体。</w:t>
            </w:r>
          </w:p>
          <w:p w14:paraId="52F917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pPr>
            <w:r>
              <w:rPr>
                <w:rFonts w:hint="eastAsia" w:cs="Times New Roman"/>
                <w:smallCaps w:val="0"/>
                <w:snapToGrid/>
                <w:color w:val="000000" w:themeColor="text1"/>
                <w:spacing w:val="0"/>
                <w:w w:val="100"/>
                <w:kern w:val="0"/>
                <w:position w:val="0"/>
                <w:sz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《排放源统计调查产排污核算方法和系数手册》中（</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 xml:space="preserve">3021 </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水泥制品制造），</w:t>
            </w:r>
            <w:r>
              <w:rPr>
                <w:rFonts w:hint="eastAsia" w:ascii="Times New Roman" w:hAnsi="Times New Roman" w:eastAsia="宋体" w:cs="Times New Roman"/>
                <w:smallCaps w:val="0"/>
                <w:snapToGrid/>
                <w:color w:val="000000" w:themeColor="text1"/>
                <w:spacing w:val="0"/>
                <w:w w:val="100"/>
                <w:kern w:val="0"/>
                <w:position w:val="0"/>
                <w:sz w:val="24"/>
                <w:lang w:val="en-US" w:eastAsia="zh-CN"/>
                <w14:textFill>
                  <w14:solidFill>
                    <w14:schemeClr w14:val="tx1"/>
                  </w14:solidFill>
                </w14:textFill>
              </w:rPr>
              <w:t>袋式除尘器属于可行技术。因此，本项目粉尘的治理措施可行。</w:t>
            </w:r>
          </w:p>
          <w:p w14:paraId="54C392F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2）雾化水喷淋</w:t>
            </w:r>
          </w:p>
          <w:p w14:paraId="3F06DC7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雾化喷淋系统是一种高效的降尘加湿设备，适用于建筑工地、矿区、砂石场、料仓、砖瓦厂等扬尘量大需要降尘除尘和加湿的区域。该系统采用高压柱塞泵将水加压后经喷头输出，形成雨水状或雾气状的水流，实现降尘和加湿的功能。</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喷淋设备采用的是高压pa管，可以承受高压水流，保证喷淋效果。同时，系统中采用的全通电机动力足，可以保证喷淋系统的正常运行。当电机启动时，高压柱塞泵开始工作，将水加压后经喷头输出，形成雨水状或雾气状的水流，实现降尘和加湿的功能。</w:t>
            </w:r>
          </w:p>
          <w:p w14:paraId="5700601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该系统的喷头可以根据需要调节喷水的角度和强度，可以将水喷洒到扬尘源的周围，有效地降低空气中的尘埃浓度，减少对人体健康的影响。同时，喷淋系统还可以加湿，保持空气湿度适宜，提高工作环境的舒适度。</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该系统采用的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材料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喷头均为不锈钢材质，具有稳定性和可靠性，可以保证系统的长期稳定运行。</w:t>
            </w:r>
          </w:p>
          <w:p w14:paraId="56B614D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（4）污染物达标排放可行性分析</w:t>
            </w:r>
          </w:p>
          <w:p w14:paraId="297FF88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本项目在加强废气污染物</w:t>
            </w:r>
            <w:r>
              <w:rPr>
                <w:rFonts w:hint="eastAsia"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处理后</w:t>
            </w: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，无组织排放量较少，</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根据</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AERSCREEN模式计算项目污染源的最大环境影响</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本项目所有污染源的正常排放的污染物的P</w:t>
            </w:r>
            <w:r>
              <w:rPr>
                <w:rFonts w:hint="default" w:ascii="Times New Roman" w:hAnsi="Times New Roman" w:eastAsia="宋体" w:cs="Times New Roman"/>
                <w:smallCaps w:val="0"/>
                <w:snapToGrid/>
                <w:color w:val="000000" w:themeColor="text1"/>
                <w:spacing w:val="0"/>
                <w:w w:val="100"/>
                <w:kern w:val="0"/>
                <w:position w:val="0"/>
                <w:sz w:val="24"/>
                <w:szCs w:val="24"/>
                <w:vertAlign w:val="subscript"/>
                <w:lang w:val="en-US" w:eastAsia="zh-CN"/>
                <w14:textFill>
                  <w14:solidFill>
                    <w14:schemeClr w14:val="tx1"/>
                  </w14:solidFill>
                </w14:textFill>
              </w:rPr>
              <w:t>max</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和D</w:t>
            </w:r>
            <w:r>
              <w:rPr>
                <w:rFonts w:hint="default" w:ascii="Times New Roman" w:hAnsi="Times New Roman" w:eastAsia="宋体" w:cs="Times New Roman"/>
                <w:smallCaps w:val="0"/>
                <w:snapToGrid/>
                <w:color w:val="000000" w:themeColor="text1"/>
                <w:spacing w:val="0"/>
                <w:w w:val="100"/>
                <w:kern w:val="0"/>
                <w:position w:val="0"/>
                <w:sz w:val="24"/>
                <w:szCs w:val="24"/>
                <w:vertAlign w:val="subscript"/>
                <w:lang w:val="en-US" w:eastAsia="zh-CN"/>
                <w14:textFill>
                  <w14:solidFill>
                    <w14:schemeClr w14:val="tx1"/>
                  </w14:solidFill>
                </w14:textFill>
              </w:rPr>
              <w:t>10%</w:t>
            </w:r>
            <w:r>
              <w:rPr>
                <w:rFonts w:hint="default"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预测</w:t>
            </w:r>
            <w:r>
              <w:rPr>
                <w:rFonts w:hint="eastAsia" w:ascii="Times New Roman" w:hAnsi="Times New Roman" w:eastAsia="宋体" w:cs="Times New Roman"/>
                <w:smallCaps w:val="0"/>
                <w:snapToGrid/>
                <w:color w:val="000000" w:themeColor="text1"/>
                <w:spacing w:val="0"/>
                <w:w w:val="100"/>
                <w:kern w:val="0"/>
                <w:position w:val="0"/>
                <w:sz w:val="24"/>
                <w:szCs w:val="24"/>
                <w:lang w:val="en-US" w:eastAsia="zh-CN"/>
                <w14:textFill>
                  <w14:solidFill>
                    <w14:schemeClr w14:val="tx1"/>
                  </w14:solidFill>
                </w14:textFill>
              </w:rPr>
              <w:t>如下：</w:t>
            </w:r>
          </w:p>
          <w:p w14:paraId="489F5863">
            <w:pPr>
              <w:widowControl w:val="0"/>
              <w:snapToGrid/>
              <w:spacing w:line="240" w:lineRule="auto"/>
              <w:ind w:right="0"/>
              <w:jc w:val="center"/>
              <w:rPr>
                <w:rFonts w:hint="eastAsia"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表</w:t>
            </w: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4-</w:t>
            </w:r>
            <w:r>
              <w:rPr>
                <w:rFonts w:hint="eastAsia" w:eastAsia="宋体" w:cs="Times New Roman"/>
                <w:b/>
                <w:bCs/>
                <w:color w:val="000000" w:themeColor="text1"/>
                <w:kern w:val="0"/>
                <w:sz w:val="21"/>
                <w:szCs w:val="21"/>
                <w:lang w:val="en-US" w:eastAsia="zh-CN"/>
                <w14:textFill>
                  <w14:solidFill>
                    <w14:schemeClr w14:val="tx1"/>
                  </w14:solidFill>
                </w14:textFill>
              </w:rPr>
              <w:t>3</w:t>
            </w:r>
            <w:r>
              <w:rPr>
                <w:rFonts w:hint="eastAsia" w:ascii="Times New Roman" w:hAnsi="Times New Roman" w:eastAsia="宋体" w:cs="Times New Roman"/>
                <w:b/>
                <w:bCs/>
                <w:color w:val="000000" w:themeColor="text1"/>
                <w:kern w:val="0"/>
                <w:sz w:val="21"/>
                <w:szCs w:val="21"/>
                <w14:textFill>
                  <w14:solidFill>
                    <w14:schemeClr w14:val="tx1"/>
                  </w14:solidFill>
                </w14:textFill>
              </w:rPr>
              <w:t xml:space="preserve">  </w:t>
            </w:r>
            <w:r>
              <w:rPr>
                <w:rFonts w:hint="eastAsia" w:ascii="Times New Roman" w:hAnsi="Times New Roman" w:eastAsia="宋体" w:cs="Times New Roman"/>
                <w:b/>
                <w:bCs/>
                <w:smallCaps w:val="0"/>
                <w:snapToGrid/>
                <w:color w:val="000000" w:themeColor="text1"/>
                <w:spacing w:val="0"/>
                <w:w w:val="100"/>
                <w:kern w:val="0"/>
                <w:position w:val="0"/>
                <w:sz w:val="21"/>
                <w:szCs w:val="21"/>
                <w:lang w:val="en-US" w:eastAsia="zh-CN"/>
                <w14:textFill>
                  <w14:solidFill>
                    <w14:schemeClr w14:val="tx1"/>
                  </w14:solidFill>
                </w14:textFill>
              </w:rPr>
              <w:t>正常排放的污染物（面源）的P</w:t>
            </w:r>
            <w:r>
              <w:rPr>
                <w:rFonts w:hint="eastAsia" w:ascii="Times New Roman" w:hAnsi="Times New Roman" w:eastAsia="宋体" w:cs="Times New Roman"/>
                <w:b/>
                <w:bCs/>
                <w:smallCaps w:val="0"/>
                <w:snapToGrid/>
                <w:color w:val="000000" w:themeColor="text1"/>
                <w:spacing w:val="0"/>
                <w:w w:val="100"/>
                <w:kern w:val="0"/>
                <w:position w:val="0"/>
                <w:sz w:val="21"/>
                <w:szCs w:val="21"/>
                <w:vertAlign w:val="baseline"/>
                <w:lang w:val="en-US" w:eastAsia="zh-CN"/>
                <w14:textFill>
                  <w14:solidFill>
                    <w14:schemeClr w14:val="tx1"/>
                  </w14:solidFill>
                </w14:textFill>
              </w:rPr>
              <w:t>max</w:t>
            </w:r>
            <w:r>
              <w:rPr>
                <w:rFonts w:hint="eastAsia" w:ascii="Times New Roman" w:hAnsi="Times New Roman" w:eastAsia="宋体" w:cs="Times New Roman"/>
                <w:b/>
                <w:bCs/>
                <w:smallCaps w:val="0"/>
                <w:snapToGrid/>
                <w:color w:val="000000" w:themeColor="text1"/>
                <w:spacing w:val="0"/>
                <w:w w:val="100"/>
                <w:kern w:val="0"/>
                <w:position w:val="0"/>
                <w:sz w:val="21"/>
                <w:szCs w:val="21"/>
                <w:lang w:val="en-US" w:eastAsia="zh-CN"/>
                <w14:textFill>
                  <w14:solidFill>
                    <w14:schemeClr w14:val="tx1"/>
                  </w14:solidFill>
                </w14:textFill>
              </w:rPr>
              <w:t>和D</w:t>
            </w:r>
            <w:r>
              <w:rPr>
                <w:rFonts w:hint="eastAsia" w:ascii="Times New Roman" w:hAnsi="Times New Roman" w:eastAsia="宋体" w:cs="Times New Roman"/>
                <w:b/>
                <w:bCs/>
                <w:smallCaps w:val="0"/>
                <w:snapToGrid/>
                <w:color w:val="000000" w:themeColor="text1"/>
                <w:spacing w:val="0"/>
                <w:w w:val="100"/>
                <w:kern w:val="0"/>
                <w:position w:val="0"/>
                <w:sz w:val="21"/>
                <w:szCs w:val="21"/>
                <w:vertAlign w:val="baseline"/>
                <w:lang w:val="en-US" w:eastAsia="zh-CN"/>
                <w14:textFill>
                  <w14:solidFill>
                    <w14:schemeClr w14:val="tx1"/>
                  </w14:solidFill>
                </w14:textFill>
              </w:rPr>
              <w:t>10%</w:t>
            </w:r>
            <w:r>
              <w:rPr>
                <w:rFonts w:hint="eastAsia" w:ascii="Times New Roman" w:hAnsi="Times New Roman" w:eastAsia="宋体" w:cs="Times New Roman"/>
                <w:b/>
                <w:bCs/>
                <w:smallCaps w:val="0"/>
                <w:snapToGrid/>
                <w:color w:val="000000" w:themeColor="text1"/>
                <w:spacing w:val="0"/>
                <w:w w:val="100"/>
                <w:kern w:val="0"/>
                <w:position w:val="0"/>
                <w:sz w:val="21"/>
                <w:szCs w:val="21"/>
                <w:lang w:val="en-US" w:eastAsia="zh-CN"/>
                <w14:textFill>
                  <w14:solidFill>
                    <w14:schemeClr w14:val="tx1"/>
                  </w14:solidFill>
                </w14:textFill>
              </w:rPr>
              <w:t>预测</w:t>
            </w:r>
            <w:r>
              <w:rPr>
                <w:rFonts w:hint="eastAsia" w:ascii="Times New Roman" w:hAnsi="Times New Roman" w:eastAsia="宋体" w:cs="Times New Roman"/>
                <w:b/>
                <w:bCs/>
                <w:color w:val="000000" w:themeColor="text1"/>
                <w:kern w:val="0"/>
                <w:sz w:val="21"/>
                <w:szCs w:val="21"/>
                <w14:textFill>
                  <w14:solidFill>
                    <w14:schemeClr w14:val="tx1"/>
                  </w14:solidFill>
                </w14:textFill>
              </w:rPr>
              <w:t>一览表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66"/>
              <w:gridCol w:w="1366"/>
              <w:gridCol w:w="1509"/>
              <w:gridCol w:w="1226"/>
              <w:gridCol w:w="1367"/>
            </w:tblGrid>
            <w:tr w14:paraId="5CA6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6" w:type="dxa"/>
                  <w:vAlign w:val="center"/>
                </w:tcPr>
                <w:p w14:paraId="00C006C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t>污染源</w:t>
                  </w:r>
                </w:p>
              </w:tc>
              <w:tc>
                <w:tcPr>
                  <w:tcW w:w="1366" w:type="dxa"/>
                  <w:vAlign w:val="center"/>
                </w:tcPr>
                <w:p w14:paraId="35EC9D6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t>评价因子</w:t>
                  </w:r>
                </w:p>
              </w:tc>
              <w:tc>
                <w:tcPr>
                  <w:tcW w:w="1366" w:type="dxa"/>
                  <w:vAlign w:val="center"/>
                </w:tcPr>
                <w:p w14:paraId="2683BF2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0"/>
                      <w:w w:val="100"/>
                      <w:position w:val="0"/>
                      <w:sz w:val="21"/>
                      <w:szCs w:val="21"/>
                      <w:vertAlign w:val="baseline"/>
                      <w:lang w:val="en-US" w:eastAsia="zh-CN"/>
                      <w14:textFill>
                        <w14:solidFill>
                          <w14:schemeClr w14:val="tx1"/>
                        </w14:solidFill>
                      </w14:textFill>
                    </w:rPr>
                    <w:t>Ci</w:t>
                  </w:r>
                  <w:r>
                    <w:rPr>
                      <w:rFonts w:hint="eastAsia" w:cs="Times New Roman"/>
                      <w:b/>
                      <w:bCs/>
                      <w:snapToGrid/>
                      <w:color w:val="000000" w:themeColor="text1"/>
                      <w:spacing w:val="0"/>
                      <w:w w:val="100"/>
                      <w:position w:val="0"/>
                      <w:sz w:val="21"/>
                      <w:szCs w:val="21"/>
                      <w:vertAlign w:val="baseline"/>
                      <w:lang w:val="en-US" w:eastAsia="zh-CN"/>
                      <w14:textFill>
                        <w14:solidFill>
                          <w14:schemeClr w14:val="tx1"/>
                        </w14:solidFill>
                      </w14:textFill>
                    </w:rPr>
                    <w:t>(</w:t>
                  </w:r>
                  <w:r>
                    <w:rPr>
                      <w:rFonts w:hint="default" w:ascii="Times New Roman" w:hAnsi="Times New Roman" w:eastAsia="宋体" w:cs="Times New Roman"/>
                      <w:b/>
                      <w:bCs/>
                      <w:smallCaps w:val="0"/>
                      <w:snapToGrid/>
                      <w:color w:val="000000" w:themeColor="text1"/>
                      <w:spacing w:val="0"/>
                      <w:w w:val="100"/>
                      <w:kern w:val="0"/>
                      <w:position w:val="0"/>
                      <w:sz w:val="21"/>
                      <w:szCs w:val="21"/>
                      <w14:textFill>
                        <w14:solidFill>
                          <w14:schemeClr w14:val="tx1"/>
                        </w14:solidFill>
                      </w14:textFill>
                    </w:rPr>
                    <w:t>μg/m</w:t>
                  </w:r>
                  <w:r>
                    <w:rPr>
                      <w:rFonts w:hint="default" w:ascii="Times New Roman" w:hAnsi="Times New Roman" w:eastAsia="宋体" w:cs="Times New Roman"/>
                      <w:b/>
                      <w:bCs/>
                      <w:smallCaps w:val="0"/>
                      <w:snapToGrid/>
                      <w:color w:val="000000" w:themeColor="text1"/>
                      <w:spacing w:val="0"/>
                      <w:w w:val="100"/>
                      <w:kern w:val="0"/>
                      <w:position w:val="0"/>
                      <w:sz w:val="21"/>
                      <w:szCs w:val="21"/>
                      <w:vertAlign w:val="superscript"/>
                      <w14:textFill>
                        <w14:solidFill>
                          <w14:schemeClr w14:val="tx1"/>
                        </w14:solidFill>
                      </w14:textFill>
                    </w:rPr>
                    <w:t>3</w:t>
                  </w:r>
                  <w:r>
                    <w:rPr>
                      <w:rFonts w:hint="eastAsia" w:cs="Times New Roman"/>
                      <w:b/>
                      <w:bCs/>
                      <w:smallCaps w:val="0"/>
                      <w:snapToGrid/>
                      <w:color w:val="000000" w:themeColor="text1"/>
                      <w:spacing w:val="0"/>
                      <w:w w:val="100"/>
                      <w:kern w:val="0"/>
                      <w:position w:val="0"/>
                      <w:sz w:val="21"/>
                      <w:szCs w:val="21"/>
                      <w:vertAlign w:val="superscript"/>
                      <w:lang w:eastAsia="zh-CN"/>
                      <w14:textFill>
                        <w14:solidFill>
                          <w14:schemeClr w14:val="tx1"/>
                        </w14:solidFill>
                      </w14:textFill>
                    </w:rPr>
                    <w:t>)</w:t>
                  </w:r>
                </w:p>
              </w:tc>
              <w:tc>
                <w:tcPr>
                  <w:tcW w:w="1509" w:type="dxa"/>
                  <w:vAlign w:val="center"/>
                </w:tcPr>
                <w:p w14:paraId="46C6F95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0"/>
                      <w:w w:val="100"/>
                      <w:position w:val="0"/>
                      <w:sz w:val="21"/>
                      <w:szCs w:val="21"/>
                      <w:vertAlign w:val="baseline"/>
                      <w:lang w:val="en-US" w:eastAsia="zh-CN"/>
                      <w14:textFill>
                        <w14:solidFill>
                          <w14:schemeClr w14:val="tx1"/>
                        </w14:solidFill>
                      </w14:textFill>
                    </w:rPr>
                    <w:t>Coi</w:t>
                  </w:r>
                  <w:r>
                    <w:rPr>
                      <w:rFonts w:hint="eastAsia" w:cs="Times New Roman"/>
                      <w:b/>
                      <w:bCs/>
                      <w:snapToGrid/>
                      <w:color w:val="000000" w:themeColor="text1"/>
                      <w:spacing w:val="0"/>
                      <w:w w:val="100"/>
                      <w:position w:val="0"/>
                      <w:sz w:val="21"/>
                      <w:szCs w:val="21"/>
                      <w:vertAlign w:val="baseline"/>
                      <w:lang w:val="en-US" w:eastAsia="zh-CN"/>
                      <w14:textFill>
                        <w14:solidFill>
                          <w14:schemeClr w14:val="tx1"/>
                        </w14:solidFill>
                      </w14:textFill>
                    </w:rPr>
                    <w:t>(</w:t>
                  </w:r>
                  <w:r>
                    <w:rPr>
                      <w:rFonts w:hint="default" w:ascii="Times New Roman" w:hAnsi="Times New Roman" w:eastAsia="宋体" w:cs="Times New Roman"/>
                      <w:b/>
                      <w:bCs/>
                      <w:smallCaps w:val="0"/>
                      <w:snapToGrid/>
                      <w:color w:val="000000" w:themeColor="text1"/>
                      <w:spacing w:val="0"/>
                      <w:w w:val="100"/>
                      <w:kern w:val="0"/>
                      <w:position w:val="0"/>
                      <w:sz w:val="21"/>
                      <w:szCs w:val="21"/>
                      <w14:textFill>
                        <w14:solidFill>
                          <w14:schemeClr w14:val="tx1"/>
                        </w14:solidFill>
                      </w14:textFill>
                    </w:rPr>
                    <w:t>μg/m</w:t>
                  </w:r>
                  <w:r>
                    <w:rPr>
                      <w:rFonts w:hint="default" w:ascii="Times New Roman" w:hAnsi="Times New Roman" w:eastAsia="宋体" w:cs="Times New Roman"/>
                      <w:b/>
                      <w:bCs/>
                      <w:smallCaps w:val="0"/>
                      <w:snapToGrid/>
                      <w:color w:val="000000" w:themeColor="text1"/>
                      <w:spacing w:val="0"/>
                      <w:w w:val="100"/>
                      <w:kern w:val="0"/>
                      <w:position w:val="0"/>
                      <w:sz w:val="21"/>
                      <w:szCs w:val="21"/>
                      <w:vertAlign w:val="superscript"/>
                      <w14:textFill>
                        <w14:solidFill>
                          <w14:schemeClr w14:val="tx1"/>
                        </w14:solidFill>
                      </w14:textFill>
                    </w:rPr>
                    <w:t>3</w:t>
                  </w:r>
                  <w:r>
                    <w:rPr>
                      <w:rFonts w:hint="eastAsia" w:cs="Times New Roman"/>
                      <w:b/>
                      <w:bCs/>
                      <w:smallCaps w:val="0"/>
                      <w:snapToGrid/>
                      <w:color w:val="000000" w:themeColor="text1"/>
                      <w:spacing w:val="0"/>
                      <w:w w:val="100"/>
                      <w:kern w:val="0"/>
                      <w:position w:val="0"/>
                      <w:sz w:val="21"/>
                      <w:szCs w:val="21"/>
                      <w:vertAlign w:val="superscript"/>
                      <w:lang w:eastAsia="zh-CN"/>
                      <w14:textFill>
                        <w14:solidFill>
                          <w14:schemeClr w14:val="tx1"/>
                        </w14:solidFill>
                      </w14:textFill>
                    </w:rPr>
                    <w:t>)</w:t>
                  </w:r>
                </w:p>
              </w:tc>
              <w:tc>
                <w:tcPr>
                  <w:tcW w:w="1226" w:type="dxa"/>
                  <w:vAlign w:val="center"/>
                </w:tcPr>
                <w:p w14:paraId="066BA8B3">
                  <w:pPr>
                    <w:pStyle w:val="21"/>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spacing w:val="0"/>
                      <w:w w:val="100"/>
                      <w:position w:val="0"/>
                      <w:sz w:val="21"/>
                      <w:szCs w:val="21"/>
                      <w:vertAlign w:val="baseline"/>
                      <w:lang w:val="en-US" w:eastAsia="zh-CN"/>
                      <w14:textFill>
                        <w14:solidFill>
                          <w14:schemeClr w14:val="tx1"/>
                        </w14:solidFill>
                      </w14:textFill>
                    </w:rPr>
                    <w:t>P</w:t>
                  </w:r>
                  <w:r>
                    <w:rPr>
                      <w:rFonts w:hint="default" w:ascii="Times New Roman" w:hAnsi="Times New Roman" w:eastAsia="宋体" w:cs="Times New Roman"/>
                      <w:b/>
                      <w:bCs/>
                      <w:snapToGrid/>
                      <w:color w:val="000000" w:themeColor="text1"/>
                      <w:spacing w:val="0"/>
                      <w:w w:val="100"/>
                      <w:position w:val="0"/>
                      <w:sz w:val="21"/>
                      <w:szCs w:val="21"/>
                      <w:vertAlign w:val="subscript"/>
                      <w:lang w:val="en-US" w:eastAsia="zh-CN"/>
                      <w14:textFill>
                        <w14:solidFill>
                          <w14:schemeClr w14:val="tx1"/>
                        </w14:solidFill>
                      </w14:textFill>
                    </w:rPr>
                    <w:t>max</w:t>
                  </w:r>
                  <w:r>
                    <w:rPr>
                      <w:rFonts w:hint="eastAsia" w:ascii="Times New Roman" w:eastAsia="宋体" w:cs="Times New Roman"/>
                      <w:b/>
                      <w:bCs/>
                      <w:snapToGrid/>
                      <w:color w:val="000000" w:themeColor="text1"/>
                      <w:spacing w:val="0"/>
                      <w:w w:val="100"/>
                      <w:position w:val="0"/>
                      <w:sz w:val="21"/>
                      <w:szCs w:val="21"/>
                      <w:vertAlign w:val="baseline"/>
                      <w:lang w:val="en-US" w:eastAsia="zh-CN"/>
                      <w14:textFill>
                        <w14:solidFill>
                          <w14:schemeClr w14:val="tx1"/>
                        </w14:solidFill>
                      </w14:textFill>
                    </w:rPr>
                    <w:t>（%）</w:t>
                  </w:r>
                </w:p>
              </w:tc>
              <w:tc>
                <w:tcPr>
                  <w:tcW w:w="1367" w:type="dxa"/>
                  <w:vAlign w:val="center"/>
                </w:tcPr>
                <w:p w14:paraId="450B83A8">
                  <w:pPr>
                    <w:pStyle w:val="21"/>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b/>
                      <w:bCs/>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smallCaps w:val="0"/>
                      <w:snapToGrid/>
                      <w:color w:val="000000" w:themeColor="text1"/>
                      <w:spacing w:val="0"/>
                      <w:w w:val="100"/>
                      <w:kern w:val="0"/>
                      <w:position w:val="0"/>
                      <w:sz w:val="21"/>
                      <w:szCs w:val="21"/>
                      <w:lang w:val="en-US" w:eastAsia="zh-CN"/>
                      <w14:textFill>
                        <w14:solidFill>
                          <w14:schemeClr w14:val="tx1"/>
                        </w14:solidFill>
                      </w14:textFill>
                    </w:rPr>
                    <w:t>D</w:t>
                  </w:r>
                  <w:r>
                    <w:rPr>
                      <w:rFonts w:hint="default" w:ascii="Times New Roman" w:hAnsi="Times New Roman" w:eastAsia="宋体" w:cs="Times New Roman"/>
                      <w:b/>
                      <w:bCs/>
                      <w:smallCaps w:val="0"/>
                      <w:snapToGrid/>
                      <w:color w:val="000000" w:themeColor="text1"/>
                      <w:spacing w:val="0"/>
                      <w:w w:val="100"/>
                      <w:kern w:val="0"/>
                      <w:position w:val="0"/>
                      <w:sz w:val="21"/>
                      <w:szCs w:val="21"/>
                      <w:vertAlign w:val="subscript"/>
                      <w:lang w:val="en-US" w:eastAsia="zh-CN"/>
                      <w14:textFill>
                        <w14:solidFill>
                          <w14:schemeClr w14:val="tx1"/>
                        </w14:solidFill>
                      </w14:textFill>
                    </w:rPr>
                    <w:t>10%</w:t>
                  </w:r>
                </w:p>
              </w:tc>
            </w:tr>
            <w:tr w14:paraId="0845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6" w:type="dxa"/>
                  <w:vAlign w:val="center"/>
                </w:tcPr>
                <w:p w14:paraId="6AC5157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生产区域</w:t>
                  </w:r>
                </w:p>
              </w:tc>
              <w:tc>
                <w:tcPr>
                  <w:tcW w:w="1366" w:type="dxa"/>
                  <w:vAlign w:val="center"/>
                </w:tcPr>
                <w:p w14:paraId="3E47BE7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t>颗粒物</w:t>
                  </w:r>
                </w:p>
              </w:tc>
              <w:tc>
                <w:tcPr>
                  <w:tcW w:w="1366" w:type="dxa"/>
                  <w:vAlign w:val="center"/>
                </w:tcPr>
                <w:p w14:paraId="060E2DD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t>31.9750</w:t>
                  </w:r>
                </w:p>
              </w:tc>
              <w:tc>
                <w:tcPr>
                  <w:tcW w:w="1509" w:type="dxa"/>
                  <w:vAlign w:val="center"/>
                </w:tcPr>
                <w:p w14:paraId="4204A8A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t>900</w:t>
                  </w:r>
                </w:p>
              </w:tc>
              <w:tc>
                <w:tcPr>
                  <w:tcW w:w="1226" w:type="dxa"/>
                  <w:vAlign w:val="center"/>
                </w:tcPr>
                <w:p w14:paraId="6FAE41B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t>3.55</w:t>
                  </w:r>
                </w:p>
              </w:tc>
              <w:tc>
                <w:tcPr>
                  <w:tcW w:w="1367" w:type="dxa"/>
                  <w:vAlign w:val="center"/>
                </w:tcPr>
                <w:p w14:paraId="07D5736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pPr>
                  <w:r>
                    <w:rPr>
                      <w:rFonts w:hint="eastAsia" w:ascii="Times New Roman" w:hAnsi="Times New Roman" w:cs="Times New Roman"/>
                      <w:snapToGrid/>
                      <w:color w:val="000000" w:themeColor="text1"/>
                      <w:spacing w:val="0"/>
                      <w:w w:val="100"/>
                      <w:kern w:val="0"/>
                      <w:position w:val="0"/>
                      <w:sz w:val="21"/>
                      <w:szCs w:val="21"/>
                      <w:vertAlign w:val="baseline"/>
                      <w:lang w:val="en-US" w:eastAsia="zh-CN" w:bidi="ar-SA"/>
                      <w14:textFill>
                        <w14:solidFill>
                          <w14:schemeClr w14:val="tx1"/>
                        </w14:solidFill>
                      </w14:textFill>
                    </w:rPr>
                    <w:t>/</w:t>
                  </w:r>
                </w:p>
              </w:tc>
            </w:tr>
          </w:tbl>
          <w:p w14:paraId="68410E0B">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default"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w w:val="100"/>
                <w:kern w:val="0"/>
                <w:position w:val="0"/>
                <w:sz w:val="24"/>
                <w:szCs w:val="24"/>
                <w:lang w:val="en-US" w:eastAsia="zh-CN" w:bidi="ar-SA"/>
                <w14:textFill>
                  <w14:solidFill>
                    <w14:schemeClr w14:val="tx1"/>
                  </w14:solidFill>
                </w14:textFill>
              </w:rPr>
              <w:t>由表4-3可知，</w:t>
            </w: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项目下风向颗粒物最大落地浓度均小于相应环境质量标准的10%，</w:t>
            </w:r>
            <w:r>
              <w:rPr>
                <w:rFonts w:hint="eastAsia" w:cs="Times New Roman"/>
                <w:snapToGrid/>
                <w:color w:val="000000" w:themeColor="text1"/>
                <w:spacing w:val="0"/>
                <w:w w:val="100"/>
                <w:kern w:val="0"/>
                <w:position w:val="0"/>
                <w:sz w:val="24"/>
                <w:szCs w:val="24"/>
                <w:lang w:val="en-US" w:eastAsia="zh-CN" w:bidi="ar-SA"/>
                <w14:textFill>
                  <w14:solidFill>
                    <w14:schemeClr w14:val="tx1"/>
                  </w14:solidFill>
                </w14:textFill>
              </w:rPr>
              <w:t>厂区</w:t>
            </w: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无组织排放的颗粒物满足</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《水泥工业大气污染物排放标准》（GB</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4915</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2013</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）表</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3排放限值要求</w:t>
            </w: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w:t>
            </w:r>
          </w:p>
          <w:p w14:paraId="0FB26DE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5</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）防护距离</w:t>
            </w:r>
          </w:p>
          <w:p w14:paraId="4AFF624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大气环境</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防护距离</w:t>
            </w:r>
          </w:p>
          <w:p w14:paraId="441A8C58">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b w:val="0"/>
                <w:bC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由表4</w:t>
            </w:r>
            <w:r>
              <w:rPr>
                <w:rFonts w:hint="eastAsia"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spacing w:val="0"/>
                <w:w w:val="100"/>
                <w:kern w:val="0"/>
                <w:position w:val="0"/>
                <w:sz w:val="24"/>
                <w:szCs w:val="24"/>
                <w:lang w:val="en-US" w:eastAsia="zh-CN" w:bidi="ar-SA"/>
                <w14:textFill>
                  <w14:solidFill>
                    <w14:schemeClr w14:val="tx1"/>
                  </w14:solidFill>
                </w14:textFill>
              </w:rPr>
              <w:t>可知，</w:t>
            </w:r>
            <w:r>
              <w:rPr>
                <w:rFonts w:hint="eastAsia" w:cs="Times New Roman"/>
                <w:snapToGrid/>
                <w:color w:val="000000" w:themeColor="text1"/>
                <w:spacing w:val="0"/>
                <w:w w:val="100"/>
                <w:kern w:val="0"/>
                <w:position w:val="0"/>
                <w:sz w:val="24"/>
                <w:szCs w:val="24"/>
                <w:lang w:val="en-US" w:eastAsia="zh-CN" w:bidi="ar-SA"/>
                <w14:textFill>
                  <w14:solidFill>
                    <w14:schemeClr w14:val="tx1"/>
                  </w14:solidFill>
                </w14:textFill>
              </w:rPr>
              <w:t>项目</w:t>
            </w:r>
            <w:r>
              <w:rPr>
                <w:rFonts w:hint="default" w:ascii="Times New Roman" w:hAnsi="Times New Roman" w:eastAsia="宋体" w:cs="Times New Roman"/>
                <w:smallCaps w:val="0"/>
                <w:snapToGrid/>
                <w:color w:val="000000" w:themeColor="text1"/>
                <w:spacing w:val="0"/>
                <w:w w:val="100"/>
                <w:position w:val="0"/>
                <w:sz w:val="24"/>
                <w:lang w:val="en-US" w:eastAsia="zh-CN"/>
                <w14:textFill>
                  <w14:solidFill>
                    <w14:schemeClr w14:val="tx1"/>
                  </w14:solidFill>
                </w14:textFill>
              </w:rPr>
              <w:t>各污染因子在厂界外贡献浓度均未超过环境空气质量标准，故本项目不需设大气环境防护距离</w:t>
            </w:r>
            <w:r>
              <w:rPr>
                <w:rFonts w:hint="default" w:ascii="宋体" w:hAnsi="宋体" w:eastAsia="宋体"/>
                <w:smallCaps w:val="0"/>
                <w:snapToGrid/>
                <w:color w:val="000000" w:themeColor="text1"/>
                <w:spacing w:val="0"/>
                <w:w w:val="100"/>
                <w:position w:val="0"/>
                <w:sz w:val="24"/>
                <w14:textFill>
                  <w14:solidFill>
                    <w14:schemeClr w14:val="tx1"/>
                  </w14:solidFill>
                </w14:textFill>
              </w:rPr>
              <w:t>。</w:t>
            </w:r>
          </w:p>
          <w:p w14:paraId="735BB46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）卫生防护距离</w:t>
            </w:r>
          </w:p>
          <w:p w14:paraId="105A93E1">
            <w:pPr>
              <w:spacing w:line="360" w:lineRule="auto"/>
              <w:ind w:firstLine="480" w:firstLineChars="2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根据</w:t>
            </w:r>
            <w:r>
              <w:rPr>
                <w:rFonts w:hint="eastAsia" w:ascii="宋体" w:hAnsi="宋体" w:eastAsia="宋体"/>
                <w:snapToGrid/>
                <w:color w:val="000000" w:themeColor="text1"/>
                <w:spacing w:val="0"/>
                <w:kern w:val="0"/>
                <w:position w:val="0"/>
                <w:sz w:val="24"/>
                <w:lang w:eastAsia="zh-CN"/>
                <w14:textFill>
                  <w14:solidFill>
                    <w14:schemeClr w14:val="tx1"/>
                  </w14:solidFill>
                </w14:textFill>
              </w:rPr>
              <w:t>《大气有害物质无组织排放卫生防护距离推导技术导则》</w:t>
            </w:r>
            <w:r>
              <w:rPr>
                <w:rFonts w:hint="default"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GB/T39499-2020</w:t>
            </w:r>
            <w:r>
              <w:rPr>
                <w:rFonts w:hint="default"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中计算公式再次进行项目卫生防护距离的计算，计算公式如下：</w:t>
            </w:r>
          </w:p>
          <w:p w14:paraId="57A09AC6">
            <w:pPr>
              <w:spacing w:line="360" w:lineRule="auto"/>
              <w:ind w:firstLine="480" w:firstLineChars="200"/>
              <w:jc w:val="center"/>
              <w:rPr>
                <w:snapToGrid/>
                <w:color w:val="000000" w:themeColor="text1"/>
                <w:spacing w:val="0"/>
                <w:kern w:val="0"/>
                <w:position w:val="0"/>
                <w:sz w:val="24"/>
                <w14:textFill>
                  <w14:solidFill>
                    <w14:schemeClr w14:val="tx1"/>
                  </w14:solidFill>
                </w14:textFill>
              </w:rPr>
            </w:pPr>
            <w:r>
              <w:rPr>
                <w:rFonts w:hint="eastAsia"/>
                <w:snapToGrid/>
                <w:color w:val="000000" w:themeColor="text1"/>
                <w:spacing w:val="0"/>
                <w:kern w:val="0"/>
                <w:position w:val="0"/>
                <w:sz w:val="24"/>
                <w:lang w:val="en-US" w:eastAsia="zh-CN"/>
                <w14:textFill>
                  <w14:solidFill>
                    <w14:schemeClr w14:val="tx1"/>
                  </w14:solidFill>
                </w14:textFill>
              </w:rPr>
              <w:t>等标排放量（</w:t>
            </w:r>
            <w:r>
              <w:rPr>
                <w:snapToGrid/>
                <w:color w:val="000000" w:themeColor="text1"/>
                <w:spacing w:val="0"/>
                <w:kern w:val="0"/>
                <w:position w:val="0"/>
                <w:sz w:val="24"/>
                <w14:textFill>
                  <w14:solidFill>
                    <w14:schemeClr w14:val="tx1"/>
                  </w14:solidFill>
                </w14:textFill>
              </w:rPr>
              <w:t>Q</w:t>
            </w:r>
            <w:r>
              <w:rPr>
                <w:snapToGrid/>
                <w:color w:val="000000" w:themeColor="text1"/>
                <w:spacing w:val="0"/>
                <w:kern w:val="0"/>
                <w:position w:val="0"/>
                <w:sz w:val="24"/>
                <w:vertAlign w:val="subscript"/>
                <w14:textFill>
                  <w14:solidFill>
                    <w14:schemeClr w14:val="tx1"/>
                  </w14:solidFill>
                </w14:textFill>
              </w:rPr>
              <w:t>C</w:t>
            </w:r>
            <w:r>
              <w:rPr>
                <w:snapToGrid/>
                <w:color w:val="000000" w:themeColor="text1"/>
                <w:spacing w:val="0"/>
                <w:kern w:val="0"/>
                <w:position w:val="0"/>
                <w:sz w:val="24"/>
                <w14:textFill>
                  <w14:solidFill>
                    <w14:schemeClr w14:val="tx1"/>
                  </w14:solidFill>
                </w14:textFill>
              </w:rPr>
              <w:t>/C</w:t>
            </w:r>
            <w:r>
              <w:rPr>
                <w:snapToGrid/>
                <w:color w:val="000000" w:themeColor="text1"/>
                <w:spacing w:val="0"/>
                <w:kern w:val="0"/>
                <w:position w:val="0"/>
                <w:sz w:val="24"/>
                <w:vertAlign w:val="subscript"/>
                <w14:textFill>
                  <w14:solidFill>
                    <w14:schemeClr w14:val="tx1"/>
                  </w14:solidFill>
                </w14:textFill>
              </w:rPr>
              <w:t>m</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w:t>
            </w:r>
            <w:r>
              <w:rPr>
                <w:snapToGrid/>
                <w:color w:val="000000" w:themeColor="text1"/>
                <w:spacing w:val="0"/>
                <w:kern w:val="0"/>
                <w:position w:val="0"/>
                <w:sz w:val="24"/>
                <w14:textFill>
                  <w14:solidFill>
                    <w14:schemeClr w14:val="tx1"/>
                  </w14:solidFill>
                </w14:textFill>
              </w:rPr>
              <w:drawing>
                <wp:inline distT="0" distB="0" distL="114300" distR="114300">
                  <wp:extent cx="190500" cy="388620"/>
                  <wp:effectExtent l="0" t="0" r="0" b="1206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5"/>
                          <a:stretch>
                            <a:fillRect/>
                          </a:stretch>
                        </pic:blipFill>
                        <pic:spPr>
                          <a:xfrm>
                            <a:off x="0" y="0"/>
                            <a:ext cx="190500" cy="388620"/>
                          </a:xfrm>
                          <a:prstGeom prst="rect">
                            <a:avLst/>
                          </a:prstGeom>
                          <a:noFill/>
                          <a:ln>
                            <a:noFill/>
                          </a:ln>
                        </pic:spPr>
                      </pic:pic>
                    </a:graphicData>
                  </a:graphic>
                </wp:inline>
              </w:drawing>
            </w:r>
            <w:r>
              <w:rPr>
                <w:snapToGrid/>
                <w:color w:val="000000" w:themeColor="text1"/>
                <w:spacing w:val="0"/>
                <w:kern w:val="0"/>
                <w:position w:val="0"/>
                <w:sz w:val="24"/>
                <w14:textFill>
                  <w14:solidFill>
                    <w14:schemeClr w14:val="tx1"/>
                  </w14:solidFill>
                </w14:textFill>
              </w:rPr>
              <w:t>（BL</w:t>
            </w:r>
            <w:r>
              <w:rPr>
                <w:snapToGrid/>
                <w:color w:val="000000" w:themeColor="text1"/>
                <w:spacing w:val="0"/>
                <w:kern w:val="0"/>
                <w:position w:val="0"/>
                <w:sz w:val="24"/>
                <w:vertAlign w:val="superscript"/>
                <w14:textFill>
                  <w14:solidFill>
                    <w14:schemeClr w14:val="tx1"/>
                  </w14:solidFill>
                </w14:textFill>
              </w:rPr>
              <w:t>C</w:t>
            </w:r>
            <w:r>
              <w:rPr>
                <w:snapToGrid/>
                <w:color w:val="000000" w:themeColor="text1"/>
                <w:spacing w:val="0"/>
                <w:kern w:val="0"/>
                <w:position w:val="0"/>
                <w:sz w:val="24"/>
                <w14:textFill>
                  <w14:solidFill>
                    <w14:schemeClr w14:val="tx1"/>
                  </w14:solidFill>
                </w14:textFill>
              </w:rPr>
              <w:t>+0.25r</w:t>
            </w:r>
            <w:r>
              <w:rPr>
                <w:snapToGrid/>
                <w:color w:val="000000" w:themeColor="text1"/>
                <w:spacing w:val="0"/>
                <w:kern w:val="0"/>
                <w:position w:val="0"/>
                <w:sz w:val="24"/>
                <w:vertAlign w:val="superscript"/>
                <w14:textFill>
                  <w14:solidFill>
                    <w14:schemeClr w14:val="tx1"/>
                  </w14:solidFill>
                </w14:textFill>
              </w:rPr>
              <w:t>2</w:t>
            </w:r>
            <w:r>
              <w:rPr>
                <w:snapToGrid/>
                <w:color w:val="000000" w:themeColor="text1"/>
                <w:spacing w:val="0"/>
                <w:kern w:val="0"/>
                <w:position w:val="0"/>
                <w:sz w:val="24"/>
                <w14:textFill>
                  <w14:solidFill>
                    <w14:schemeClr w14:val="tx1"/>
                  </w14:solidFill>
                </w14:textFill>
              </w:rPr>
              <w:t>）</w:t>
            </w:r>
            <w:r>
              <w:rPr>
                <w:snapToGrid/>
                <w:color w:val="000000" w:themeColor="text1"/>
                <w:spacing w:val="0"/>
                <w:kern w:val="0"/>
                <w:position w:val="0"/>
                <w:sz w:val="24"/>
                <w:vertAlign w:val="superscript"/>
                <w14:textFill>
                  <w14:solidFill>
                    <w14:schemeClr w14:val="tx1"/>
                  </w14:solidFill>
                </w14:textFill>
              </w:rPr>
              <w:t>0.50</w:t>
            </w:r>
            <w:r>
              <w:rPr>
                <w:snapToGrid/>
                <w:color w:val="000000" w:themeColor="text1"/>
                <w:spacing w:val="0"/>
                <w:kern w:val="0"/>
                <w:position w:val="0"/>
                <w:sz w:val="24"/>
                <w14:textFill>
                  <w14:solidFill>
                    <w14:schemeClr w14:val="tx1"/>
                  </w14:solidFill>
                </w14:textFill>
              </w:rPr>
              <w:t>L</w:t>
            </w:r>
            <w:r>
              <w:rPr>
                <w:snapToGrid/>
                <w:color w:val="000000" w:themeColor="text1"/>
                <w:spacing w:val="0"/>
                <w:kern w:val="0"/>
                <w:position w:val="0"/>
                <w:sz w:val="24"/>
                <w:vertAlign w:val="superscript"/>
                <w14:textFill>
                  <w14:solidFill>
                    <w14:schemeClr w14:val="tx1"/>
                  </w14:solidFill>
                </w14:textFill>
              </w:rPr>
              <w:t>D</w:t>
            </w:r>
          </w:p>
          <w:p w14:paraId="4E241197">
            <w:pPr>
              <w:spacing w:line="360" w:lineRule="auto"/>
              <w:ind w:firstLine="480" w:firstLineChars="2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式中：C</w:t>
            </w:r>
            <w:r>
              <w:rPr>
                <w:snapToGrid/>
                <w:color w:val="000000" w:themeColor="text1"/>
                <w:spacing w:val="0"/>
                <w:kern w:val="0"/>
                <w:position w:val="0"/>
                <w:sz w:val="24"/>
                <w:vertAlign w:val="subscript"/>
                <w14:textFill>
                  <w14:solidFill>
                    <w14:schemeClr w14:val="tx1"/>
                  </w14:solidFill>
                </w14:textFill>
              </w:rPr>
              <w:t>m</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标准浓度限值，mg/m</w:t>
            </w:r>
            <w:r>
              <w:rPr>
                <w:snapToGrid/>
                <w:color w:val="000000" w:themeColor="text1"/>
                <w:spacing w:val="0"/>
                <w:kern w:val="0"/>
                <w:position w:val="0"/>
                <w:sz w:val="24"/>
                <w:vertAlign w:val="superscript"/>
                <w14:textFill>
                  <w14:solidFill>
                    <w14:schemeClr w14:val="tx1"/>
                  </w14:solidFill>
                </w14:textFill>
              </w:rPr>
              <w:t>3</w:t>
            </w:r>
            <w:r>
              <w:rPr>
                <w:snapToGrid/>
                <w:color w:val="000000" w:themeColor="text1"/>
                <w:spacing w:val="0"/>
                <w:kern w:val="0"/>
                <w:position w:val="0"/>
                <w:sz w:val="24"/>
                <w14:textFill>
                  <w14:solidFill>
                    <w14:schemeClr w14:val="tx1"/>
                  </w14:solidFill>
                </w14:textFill>
              </w:rPr>
              <w:t>；</w:t>
            </w:r>
          </w:p>
          <w:p w14:paraId="5ADD8E7B">
            <w:pPr>
              <w:spacing w:line="360" w:lineRule="auto"/>
              <w:ind w:firstLine="1200" w:firstLineChars="5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L</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工业企业所需卫生防护距离，m；</w:t>
            </w:r>
          </w:p>
          <w:p w14:paraId="7F162C03">
            <w:pPr>
              <w:spacing w:line="360" w:lineRule="auto"/>
              <w:ind w:firstLine="1200" w:firstLineChars="5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r</w:t>
            </w:r>
            <w:r>
              <w:rPr>
                <w:rFonts w:hint="eastAsia"/>
                <w:snapToGrid/>
                <w:color w:val="000000" w:themeColor="text1"/>
                <w:spacing w:val="0"/>
                <w:kern w:val="0"/>
                <w:position w:val="0"/>
                <w:sz w:val="24"/>
                <w:lang w:val="en-US" w:eastAsia="zh-CN"/>
                <w14:textFill>
                  <w14:solidFill>
                    <w14:schemeClr w14:val="tx1"/>
                  </w14:solidFill>
                </w14:textFill>
              </w:rPr>
              <w:t>---</w:t>
            </w:r>
            <w:r>
              <w:rPr>
                <w:snapToGrid/>
                <w:color w:val="000000" w:themeColor="text1"/>
                <w:spacing w:val="0"/>
                <w:kern w:val="0"/>
                <w:position w:val="0"/>
                <w:sz w:val="24"/>
                <w14:textFill>
                  <w14:solidFill>
                    <w14:schemeClr w14:val="tx1"/>
                  </w14:solidFill>
                </w14:textFill>
              </w:rPr>
              <w:t>有害气体无组织排放源所在生产单元的等效半径，m；</w:t>
            </w:r>
          </w:p>
          <w:p w14:paraId="234E391B">
            <w:pPr>
              <w:spacing w:line="360" w:lineRule="auto"/>
              <w:ind w:firstLine="1200" w:firstLineChars="5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A、B、C、D—卫生防护距离计算系数，从</w:t>
            </w:r>
            <w:r>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GB/T39499-2020</w:t>
            </w:r>
            <w:r>
              <w:rPr>
                <w:snapToGrid/>
                <w:color w:val="000000" w:themeColor="text1"/>
                <w:spacing w:val="0"/>
                <w:kern w:val="0"/>
                <w:position w:val="0"/>
                <w:sz w:val="24"/>
                <w14:textFill>
                  <w14:solidFill>
                    <w14:schemeClr w14:val="tx1"/>
                  </w14:solidFill>
                </w14:textFill>
              </w:rPr>
              <w:t>中查取；</w:t>
            </w:r>
          </w:p>
          <w:p w14:paraId="31EE9F10">
            <w:pPr>
              <w:spacing w:line="360" w:lineRule="auto"/>
              <w:ind w:firstLine="1200" w:firstLineChars="500"/>
              <w:rPr>
                <w:snapToGrid/>
                <w:color w:val="000000" w:themeColor="text1"/>
                <w:spacing w:val="0"/>
                <w:kern w:val="0"/>
                <w:position w:val="0"/>
                <w:sz w:val="24"/>
                <w14:textFill>
                  <w14:solidFill>
                    <w14:schemeClr w14:val="tx1"/>
                  </w14:solidFill>
                </w14:textFill>
              </w:rPr>
            </w:pPr>
            <w:r>
              <w:rPr>
                <w:snapToGrid/>
                <w:color w:val="000000" w:themeColor="text1"/>
                <w:spacing w:val="0"/>
                <w:kern w:val="0"/>
                <w:position w:val="0"/>
                <w:sz w:val="24"/>
                <w14:textFill>
                  <w14:solidFill>
                    <w14:schemeClr w14:val="tx1"/>
                  </w14:solidFill>
                </w14:textFill>
              </w:rPr>
              <w:t>Qc—工业企业有害气体无组织排放量，kg/h。</w:t>
            </w:r>
          </w:p>
          <w:p w14:paraId="40E22833">
            <w:pPr>
              <w:spacing w:line="360" w:lineRule="auto"/>
              <w:ind w:firstLine="480" w:firstLineChars="200"/>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建设项目大气卫生防护距离计算参数见表</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4-</w:t>
            </w:r>
            <w:r>
              <w:rPr>
                <w:rFonts w:hint="eastAsia" w:cs="Times New Roman"/>
                <w:snapToGrid/>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w:t>
            </w:r>
          </w:p>
          <w:p w14:paraId="4D89D8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4</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卫生防护距离初始计算系数</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5"/>
              <w:gridCol w:w="1448"/>
              <w:gridCol w:w="642"/>
              <w:gridCol w:w="642"/>
              <w:gridCol w:w="635"/>
              <w:gridCol w:w="10"/>
              <w:gridCol w:w="642"/>
              <w:gridCol w:w="642"/>
              <w:gridCol w:w="611"/>
              <w:gridCol w:w="35"/>
              <w:gridCol w:w="642"/>
              <w:gridCol w:w="642"/>
              <w:gridCol w:w="658"/>
            </w:tblGrid>
            <w:tr w14:paraId="319FF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87" w:type="pct"/>
                  <w:vMerge w:val="restart"/>
                  <w:tcBorders>
                    <w:tl2br w:val="nil"/>
                    <w:tr2bl w:val="nil"/>
                  </w:tcBorders>
                  <w:shd w:val="clear" w:color="auto" w:fill="auto"/>
                  <w:noWrap/>
                  <w:vAlign w:val="center"/>
                </w:tcPr>
                <w:p w14:paraId="498E0185">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63"/>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卫生防护距离初值计算系数</w:t>
                  </w:r>
                </w:p>
              </w:tc>
              <w:tc>
                <w:tcPr>
                  <w:tcW w:w="880" w:type="pct"/>
                  <w:vMerge w:val="restart"/>
                  <w:tcBorders>
                    <w:tl2br w:val="nil"/>
                    <w:tr2bl w:val="nil"/>
                  </w:tcBorders>
                  <w:shd w:val="clear" w:color="auto" w:fill="auto"/>
                  <w:noWrap/>
                  <w:vAlign w:val="center"/>
                </w:tcPr>
                <w:p w14:paraId="2AFAB485">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63"/>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工业企业所在地区近</w:t>
                  </w:r>
                  <w:r>
                    <w:rPr>
                      <w:rStyle w:val="92"/>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5</w:t>
                  </w:r>
                  <w:r>
                    <w:rPr>
                      <w:rStyle w:val="63"/>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年平均风速/</w:t>
                  </w:r>
                  <w:r>
                    <w:rPr>
                      <w:rStyle w:val="92"/>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(m/s)</w:t>
                  </w:r>
                </w:p>
              </w:tc>
              <w:tc>
                <w:tcPr>
                  <w:tcW w:w="3532" w:type="pct"/>
                  <w:gridSpan w:val="11"/>
                  <w:tcBorders>
                    <w:tl2br w:val="nil"/>
                    <w:tr2bl w:val="nil"/>
                  </w:tcBorders>
                  <w:shd w:val="clear" w:color="auto" w:fill="auto"/>
                  <w:noWrap/>
                  <w:vAlign w:val="center"/>
                </w:tcPr>
                <w:p w14:paraId="4F3EDB72">
                  <w:pPr>
                    <w:keepNext w:val="0"/>
                    <w:keepLines w:val="0"/>
                    <w:widowControl/>
                    <w:suppressLineNumbers w:val="0"/>
                    <w:jc w:val="center"/>
                    <w:textAlignment w:val="cente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63"/>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卫生防护距离</w:t>
                  </w:r>
                  <w:r>
                    <w:rPr>
                      <w:rStyle w:val="90"/>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L/m</w:t>
                  </w:r>
                </w:p>
              </w:tc>
            </w:tr>
            <w:tr w14:paraId="71B3C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vAlign w:val="center"/>
                </w:tcPr>
                <w:p w14:paraId="7F1E6F98">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vMerge w:val="continue"/>
                  <w:tcBorders>
                    <w:tl2br w:val="nil"/>
                    <w:tr2bl w:val="nil"/>
                  </w:tcBorders>
                  <w:shd w:val="clear" w:color="auto" w:fill="auto"/>
                  <w:vAlign w:val="center"/>
                </w:tcPr>
                <w:p w14:paraId="4D3C38F7">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1169" w:type="pct"/>
                  <w:gridSpan w:val="3"/>
                  <w:tcBorders>
                    <w:tl2br w:val="nil"/>
                    <w:tr2bl w:val="nil"/>
                  </w:tcBorders>
                  <w:shd w:val="clear" w:color="auto" w:fill="auto"/>
                  <w:noWrap/>
                  <w:vAlign w:val="center"/>
                </w:tcPr>
                <w:p w14:paraId="54E9F5B1">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L≤1000</w:t>
                  </w:r>
                </w:p>
              </w:tc>
              <w:tc>
                <w:tcPr>
                  <w:tcW w:w="1160" w:type="pct"/>
                  <w:gridSpan w:val="4"/>
                  <w:tcBorders>
                    <w:tl2br w:val="nil"/>
                    <w:tr2bl w:val="nil"/>
                  </w:tcBorders>
                  <w:shd w:val="clear" w:color="auto" w:fill="auto"/>
                  <w:noWrap/>
                  <w:vAlign w:val="center"/>
                </w:tcPr>
                <w:p w14:paraId="338B40E0">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1000＜L≤2000</w:t>
                  </w:r>
                </w:p>
              </w:tc>
              <w:tc>
                <w:tcPr>
                  <w:tcW w:w="1201" w:type="pct"/>
                  <w:gridSpan w:val="4"/>
                  <w:tcBorders>
                    <w:tl2br w:val="nil"/>
                    <w:tr2bl w:val="nil"/>
                  </w:tcBorders>
                  <w:shd w:val="clear" w:color="auto" w:fill="auto"/>
                  <w:noWrap/>
                  <w:vAlign w:val="center"/>
                </w:tcPr>
                <w:p w14:paraId="7BD46FE3">
                  <w:pPr>
                    <w:keepNext w:val="0"/>
                    <w:keepLines w:val="0"/>
                    <w:widowControl/>
                    <w:suppressLineNumbers w:val="0"/>
                    <w:jc w:val="center"/>
                    <w:textAlignment w:val="top"/>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0"/>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L&gt;2</w:t>
                  </w:r>
                  <w:r>
                    <w:rPr>
                      <w:rStyle w:val="92"/>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000</w:t>
                  </w:r>
                </w:p>
              </w:tc>
            </w:tr>
            <w:tr w14:paraId="49682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vAlign w:val="center"/>
                </w:tcPr>
                <w:p w14:paraId="78A8D782">
                  <w:pPr>
                    <w:jc w:val="cente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vMerge w:val="continue"/>
                  <w:tcBorders>
                    <w:tl2br w:val="nil"/>
                    <w:tr2bl w:val="nil"/>
                  </w:tcBorders>
                  <w:shd w:val="clear" w:color="auto" w:fill="auto"/>
                  <w:vAlign w:val="center"/>
                </w:tcPr>
                <w:p w14:paraId="495BE454">
                  <w:pPr>
                    <w:jc w:val="cente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3532" w:type="pct"/>
                  <w:gridSpan w:val="11"/>
                  <w:tcBorders>
                    <w:tl2br w:val="nil"/>
                    <w:tr2bl w:val="nil"/>
                  </w:tcBorders>
                  <w:shd w:val="clear" w:color="auto" w:fill="auto"/>
                  <w:noWrap/>
                  <w:vAlign w:val="center"/>
                </w:tcPr>
                <w:p w14:paraId="3E326DCA">
                  <w:pPr>
                    <w:keepNext w:val="0"/>
                    <w:keepLines w:val="0"/>
                    <w:widowControl/>
                    <w:suppressLineNumbers w:val="0"/>
                    <w:jc w:val="center"/>
                    <w:textAlignment w:val="cente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63"/>
                      <w:rFonts w:hint="default" w:ascii="Times New Roman" w:hAnsi="Times New Roman" w:eastAsia="宋体" w:cs="Times New Roman"/>
                      <w:b/>
                      <w:bCs/>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工业企业大气污染源构成类型</w:t>
                  </w:r>
                </w:p>
              </w:tc>
            </w:tr>
            <w:tr w14:paraId="0BC90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36A8014E">
                  <w:pPr>
                    <w:jc w:val="left"/>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vMerge w:val="continue"/>
                  <w:tcBorders>
                    <w:tl2br w:val="nil"/>
                    <w:tr2bl w:val="nil"/>
                  </w:tcBorders>
                  <w:shd w:val="clear" w:color="auto" w:fill="auto"/>
                  <w:noWrap/>
                  <w:vAlign w:val="center"/>
                </w:tcPr>
                <w:p w14:paraId="40A02C95">
                  <w:pPr>
                    <w:jc w:val="left"/>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391" w:type="pct"/>
                  <w:tcBorders>
                    <w:tl2br w:val="nil"/>
                    <w:tr2bl w:val="nil"/>
                  </w:tcBorders>
                  <w:shd w:val="clear" w:color="auto" w:fill="auto"/>
                  <w:noWrap/>
                  <w:vAlign w:val="center"/>
                </w:tcPr>
                <w:p w14:paraId="5E8A3117">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w:t>
                  </w:r>
                </w:p>
              </w:tc>
              <w:tc>
                <w:tcPr>
                  <w:tcW w:w="391" w:type="pct"/>
                  <w:tcBorders>
                    <w:tl2br w:val="nil"/>
                    <w:tr2bl w:val="nil"/>
                  </w:tcBorders>
                  <w:shd w:val="clear" w:color="auto" w:fill="auto"/>
                  <w:noWrap/>
                  <w:vAlign w:val="center"/>
                </w:tcPr>
                <w:p w14:paraId="1F1D08F1">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II</w:t>
                  </w:r>
                </w:p>
              </w:tc>
              <w:tc>
                <w:tcPr>
                  <w:tcW w:w="391" w:type="pct"/>
                  <w:gridSpan w:val="2"/>
                  <w:tcBorders>
                    <w:tl2br w:val="nil"/>
                    <w:tr2bl w:val="nil"/>
                  </w:tcBorders>
                  <w:shd w:val="clear" w:color="auto" w:fill="auto"/>
                  <w:noWrap/>
                  <w:vAlign w:val="center"/>
                </w:tcPr>
                <w:p w14:paraId="12BD325E">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lang w:eastAsia="zh-CN"/>
                      <w14:textFill>
                        <w14:solidFill>
                          <w14:schemeClr w14:val="tx1"/>
                        </w14:solidFill>
                      </w14:textFill>
                    </w:rPr>
                    <w:t>Ⅲ</w:t>
                  </w:r>
                </w:p>
              </w:tc>
              <w:tc>
                <w:tcPr>
                  <w:tcW w:w="391" w:type="pct"/>
                  <w:tcBorders>
                    <w:tl2br w:val="nil"/>
                    <w:tr2bl w:val="nil"/>
                  </w:tcBorders>
                  <w:shd w:val="clear" w:color="auto" w:fill="auto"/>
                  <w:noWrap/>
                  <w:vAlign w:val="center"/>
                </w:tcPr>
                <w:p w14:paraId="07A3C408">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w:t>
                  </w:r>
                </w:p>
              </w:tc>
              <w:tc>
                <w:tcPr>
                  <w:tcW w:w="391" w:type="pct"/>
                  <w:tcBorders>
                    <w:tl2br w:val="nil"/>
                    <w:tr2bl w:val="nil"/>
                  </w:tcBorders>
                  <w:shd w:val="clear" w:color="auto" w:fill="auto"/>
                  <w:noWrap/>
                  <w:vAlign w:val="center"/>
                </w:tcPr>
                <w:p w14:paraId="31ACB6D0">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II</w:t>
                  </w:r>
                </w:p>
              </w:tc>
              <w:tc>
                <w:tcPr>
                  <w:tcW w:w="391" w:type="pct"/>
                  <w:gridSpan w:val="2"/>
                  <w:tcBorders>
                    <w:tl2br w:val="nil"/>
                    <w:tr2bl w:val="nil"/>
                  </w:tcBorders>
                  <w:shd w:val="clear" w:color="auto" w:fill="auto"/>
                  <w:noWrap/>
                  <w:vAlign w:val="center"/>
                </w:tcPr>
                <w:p w14:paraId="25444855">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lang w:eastAsia="zh-CN"/>
                      <w14:textFill>
                        <w14:solidFill>
                          <w14:schemeClr w14:val="tx1"/>
                        </w14:solidFill>
                      </w14:textFill>
                    </w:rPr>
                    <w:t>Ⅲ</w:t>
                  </w:r>
                </w:p>
              </w:tc>
              <w:tc>
                <w:tcPr>
                  <w:tcW w:w="391" w:type="pct"/>
                  <w:tcBorders>
                    <w:tl2br w:val="nil"/>
                    <w:tr2bl w:val="nil"/>
                  </w:tcBorders>
                  <w:shd w:val="clear" w:color="auto" w:fill="auto"/>
                  <w:noWrap/>
                  <w:vAlign w:val="center"/>
                </w:tcPr>
                <w:p w14:paraId="3966F259">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w:t>
                  </w:r>
                </w:p>
              </w:tc>
              <w:tc>
                <w:tcPr>
                  <w:tcW w:w="391" w:type="pct"/>
                  <w:tcBorders>
                    <w:tl2br w:val="nil"/>
                    <w:tr2bl w:val="nil"/>
                  </w:tcBorders>
                  <w:shd w:val="clear" w:color="auto" w:fill="auto"/>
                  <w:noWrap/>
                  <w:vAlign w:val="center"/>
                </w:tcPr>
                <w:p w14:paraId="4CF7738A">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II</w:t>
                  </w:r>
                </w:p>
              </w:tc>
              <w:tc>
                <w:tcPr>
                  <w:tcW w:w="396" w:type="pct"/>
                  <w:tcBorders>
                    <w:tl2br w:val="nil"/>
                    <w:tr2bl w:val="nil"/>
                  </w:tcBorders>
                  <w:shd w:val="clear" w:color="auto" w:fill="auto"/>
                  <w:noWrap/>
                  <w:vAlign w:val="center"/>
                </w:tcPr>
                <w:p w14:paraId="3C6BB65C">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bCs/>
                      <w:i w:val="0"/>
                      <w:iCs w:val="0"/>
                      <w:smallCaps w:val="0"/>
                      <w:snapToGrid/>
                      <w:color w:val="000000" w:themeColor="text1"/>
                      <w:spacing w:val="0"/>
                      <w:w w:val="100"/>
                      <w:kern w:val="0"/>
                      <w:position w:val="0"/>
                      <w:sz w:val="21"/>
                      <w:szCs w:val="21"/>
                      <w:u w:val="none"/>
                      <w:vertAlign w:val="baseline"/>
                      <w:lang w:eastAsia="zh-CN"/>
                      <w14:textFill>
                        <w14:solidFill>
                          <w14:schemeClr w14:val="tx1"/>
                        </w14:solidFill>
                      </w14:textFill>
                    </w:rPr>
                    <w:t>Ⅲ</w:t>
                  </w:r>
                </w:p>
              </w:tc>
            </w:tr>
            <w:tr w14:paraId="7A1E5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87" w:type="pct"/>
                  <w:vMerge w:val="restart"/>
                  <w:tcBorders>
                    <w:tl2br w:val="nil"/>
                    <w:tr2bl w:val="nil"/>
                  </w:tcBorders>
                  <w:shd w:val="clear" w:color="auto" w:fill="auto"/>
                  <w:noWrap/>
                  <w:vAlign w:val="center"/>
                </w:tcPr>
                <w:p w14:paraId="12A00EF2">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0"/>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A</w:t>
                  </w:r>
                </w:p>
              </w:tc>
              <w:tc>
                <w:tcPr>
                  <w:tcW w:w="880" w:type="pct"/>
                  <w:tcBorders>
                    <w:tl2br w:val="nil"/>
                    <w:tr2bl w:val="nil"/>
                  </w:tcBorders>
                  <w:shd w:val="clear" w:color="auto" w:fill="auto"/>
                  <w:noWrap/>
                  <w:vAlign w:val="center"/>
                </w:tcPr>
                <w:p w14:paraId="695EE4E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&lt;2</w:t>
                  </w:r>
                </w:p>
              </w:tc>
              <w:tc>
                <w:tcPr>
                  <w:tcW w:w="391" w:type="pct"/>
                  <w:tcBorders>
                    <w:tl2br w:val="nil"/>
                    <w:tr2bl w:val="nil"/>
                  </w:tcBorders>
                  <w:shd w:val="clear" w:color="auto" w:fill="auto"/>
                  <w:noWrap/>
                  <w:vAlign w:val="center"/>
                </w:tcPr>
                <w:p w14:paraId="7F94731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tcBorders>
                    <w:tl2br w:val="nil"/>
                    <w:tr2bl w:val="nil"/>
                  </w:tcBorders>
                  <w:shd w:val="clear" w:color="auto" w:fill="auto"/>
                  <w:noWrap/>
                  <w:vAlign w:val="center"/>
                </w:tcPr>
                <w:p w14:paraId="75306E9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gridSpan w:val="2"/>
                  <w:tcBorders>
                    <w:tl2br w:val="nil"/>
                    <w:tr2bl w:val="nil"/>
                  </w:tcBorders>
                  <w:shd w:val="clear" w:color="auto" w:fill="auto"/>
                  <w:noWrap/>
                  <w:vAlign w:val="center"/>
                </w:tcPr>
                <w:p w14:paraId="4EAF1A5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tcBorders>
                    <w:tl2br w:val="nil"/>
                    <w:tr2bl w:val="nil"/>
                  </w:tcBorders>
                  <w:shd w:val="clear" w:color="auto" w:fill="auto"/>
                  <w:noWrap/>
                  <w:vAlign w:val="center"/>
                </w:tcPr>
                <w:p w14:paraId="64468D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tcBorders>
                    <w:tl2br w:val="nil"/>
                    <w:tr2bl w:val="nil"/>
                  </w:tcBorders>
                  <w:shd w:val="clear" w:color="auto" w:fill="auto"/>
                  <w:noWrap/>
                  <w:vAlign w:val="center"/>
                </w:tcPr>
                <w:p w14:paraId="07667E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gridSpan w:val="2"/>
                  <w:tcBorders>
                    <w:tl2br w:val="nil"/>
                    <w:tr2bl w:val="nil"/>
                  </w:tcBorders>
                  <w:shd w:val="clear" w:color="auto" w:fill="auto"/>
                  <w:noWrap/>
                  <w:vAlign w:val="center"/>
                </w:tcPr>
                <w:p w14:paraId="1AEDF8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400</w:t>
                  </w:r>
                </w:p>
              </w:tc>
              <w:tc>
                <w:tcPr>
                  <w:tcW w:w="391" w:type="pct"/>
                  <w:tcBorders>
                    <w:tl2br w:val="nil"/>
                    <w:tr2bl w:val="nil"/>
                  </w:tcBorders>
                  <w:shd w:val="clear" w:color="auto" w:fill="auto"/>
                  <w:noWrap/>
                  <w:vAlign w:val="center"/>
                </w:tcPr>
                <w:p w14:paraId="299EB59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80</w:t>
                  </w:r>
                </w:p>
              </w:tc>
              <w:tc>
                <w:tcPr>
                  <w:tcW w:w="391" w:type="pct"/>
                  <w:tcBorders>
                    <w:tl2br w:val="nil"/>
                    <w:tr2bl w:val="nil"/>
                  </w:tcBorders>
                  <w:shd w:val="clear" w:color="auto" w:fill="auto"/>
                  <w:noWrap/>
                  <w:vAlign w:val="center"/>
                </w:tcPr>
                <w:p w14:paraId="11306B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80</w:t>
                  </w:r>
                </w:p>
              </w:tc>
              <w:tc>
                <w:tcPr>
                  <w:tcW w:w="396" w:type="pct"/>
                  <w:tcBorders>
                    <w:tl2br w:val="nil"/>
                    <w:tr2bl w:val="nil"/>
                  </w:tcBorders>
                  <w:shd w:val="clear" w:color="auto" w:fill="auto"/>
                  <w:noWrap/>
                  <w:vAlign w:val="center"/>
                </w:tcPr>
                <w:p w14:paraId="288DC8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80</w:t>
                  </w:r>
                </w:p>
              </w:tc>
            </w:tr>
            <w:tr w14:paraId="48A60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3A2FF632">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tcBorders>
                    <w:tl2br w:val="nil"/>
                    <w:tr2bl w:val="nil"/>
                  </w:tcBorders>
                  <w:shd w:val="clear" w:color="auto" w:fill="auto"/>
                  <w:noWrap/>
                  <w:vAlign w:val="center"/>
                </w:tcPr>
                <w:p w14:paraId="1EC43EC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2</w:t>
                  </w:r>
                  <w:r>
                    <w:rPr>
                      <w:rStyle w:val="98"/>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w:t>
                  </w: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4</w:t>
                  </w:r>
                </w:p>
              </w:tc>
              <w:tc>
                <w:tcPr>
                  <w:tcW w:w="391" w:type="pct"/>
                  <w:tcBorders>
                    <w:tl2br w:val="nil"/>
                    <w:tr2bl w:val="nil"/>
                  </w:tcBorders>
                  <w:shd w:val="clear" w:color="auto" w:fill="auto"/>
                  <w:noWrap/>
                  <w:vAlign w:val="center"/>
                </w:tcPr>
                <w:p w14:paraId="58CED5A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700</w:t>
                  </w:r>
                </w:p>
              </w:tc>
              <w:tc>
                <w:tcPr>
                  <w:tcW w:w="391" w:type="pct"/>
                  <w:tcBorders>
                    <w:tl2br w:val="nil"/>
                    <w:tr2bl w:val="nil"/>
                  </w:tcBorders>
                  <w:shd w:val="clear" w:color="auto" w:fill="auto"/>
                  <w:noWrap/>
                  <w:vAlign w:val="center"/>
                </w:tcPr>
                <w:p w14:paraId="2BADF11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470</w:t>
                  </w:r>
                </w:p>
              </w:tc>
              <w:tc>
                <w:tcPr>
                  <w:tcW w:w="391" w:type="pct"/>
                  <w:gridSpan w:val="2"/>
                  <w:tcBorders>
                    <w:tl2br w:val="nil"/>
                    <w:tr2bl w:val="nil"/>
                  </w:tcBorders>
                  <w:shd w:val="clear" w:color="auto" w:fill="auto"/>
                  <w:noWrap/>
                  <w:vAlign w:val="center"/>
                </w:tcPr>
                <w:p w14:paraId="51CADA3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350</w:t>
                  </w:r>
                </w:p>
              </w:tc>
              <w:tc>
                <w:tcPr>
                  <w:tcW w:w="391" w:type="pct"/>
                  <w:tcBorders>
                    <w:tl2br w:val="nil"/>
                    <w:tr2bl w:val="nil"/>
                  </w:tcBorders>
                  <w:shd w:val="clear" w:color="auto" w:fill="auto"/>
                  <w:noWrap/>
                  <w:vAlign w:val="center"/>
                </w:tcPr>
                <w:p w14:paraId="147989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700</w:t>
                  </w:r>
                </w:p>
              </w:tc>
              <w:tc>
                <w:tcPr>
                  <w:tcW w:w="391" w:type="pct"/>
                  <w:tcBorders>
                    <w:tl2br w:val="nil"/>
                    <w:tr2bl w:val="nil"/>
                  </w:tcBorders>
                  <w:shd w:val="clear" w:color="auto" w:fill="auto"/>
                  <w:noWrap/>
                  <w:vAlign w:val="center"/>
                </w:tcPr>
                <w:p w14:paraId="6D00BF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470</w:t>
                  </w:r>
                </w:p>
              </w:tc>
              <w:tc>
                <w:tcPr>
                  <w:tcW w:w="391" w:type="pct"/>
                  <w:gridSpan w:val="2"/>
                  <w:tcBorders>
                    <w:tl2br w:val="nil"/>
                    <w:tr2bl w:val="nil"/>
                  </w:tcBorders>
                  <w:shd w:val="clear" w:color="auto" w:fill="auto"/>
                  <w:noWrap/>
                  <w:vAlign w:val="center"/>
                </w:tcPr>
                <w:p w14:paraId="64D6DD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350</w:t>
                  </w:r>
                </w:p>
              </w:tc>
              <w:tc>
                <w:tcPr>
                  <w:tcW w:w="391" w:type="pct"/>
                  <w:tcBorders>
                    <w:tl2br w:val="nil"/>
                    <w:tr2bl w:val="nil"/>
                  </w:tcBorders>
                  <w:shd w:val="clear" w:color="auto" w:fill="auto"/>
                  <w:noWrap/>
                  <w:vAlign w:val="center"/>
                </w:tcPr>
                <w:p w14:paraId="1829DBB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380</w:t>
                  </w:r>
                </w:p>
              </w:tc>
              <w:tc>
                <w:tcPr>
                  <w:tcW w:w="391" w:type="pct"/>
                  <w:tcBorders>
                    <w:tl2br w:val="nil"/>
                    <w:tr2bl w:val="nil"/>
                  </w:tcBorders>
                  <w:shd w:val="clear" w:color="auto" w:fill="auto"/>
                  <w:noWrap/>
                  <w:vAlign w:val="center"/>
                </w:tcPr>
                <w:p w14:paraId="76EDF5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250</w:t>
                  </w:r>
                </w:p>
              </w:tc>
              <w:tc>
                <w:tcPr>
                  <w:tcW w:w="396" w:type="pct"/>
                  <w:tcBorders>
                    <w:tl2br w:val="nil"/>
                    <w:tr2bl w:val="nil"/>
                  </w:tcBorders>
                  <w:shd w:val="clear" w:color="auto" w:fill="auto"/>
                  <w:noWrap/>
                  <w:vAlign w:val="center"/>
                </w:tcPr>
                <w:p w14:paraId="6CE814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190</w:t>
                  </w:r>
                </w:p>
              </w:tc>
            </w:tr>
            <w:tr w14:paraId="57ECD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458D9935">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tcBorders>
                    <w:tl2br w:val="nil"/>
                    <w:tr2bl w:val="nil"/>
                  </w:tcBorders>
                  <w:shd w:val="clear" w:color="auto" w:fill="auto"/>
                  <w:noWrap/>
                  <w:vAlign w:val="center"/>
                </w:tcPr>
                <w:p w14:paraId="7F5E304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&gt;4</w:t>
                  </w:r>
                </w:p>
              </w:tc>
              <w:tc>
                <w:tcPr>
                  <w:tcW w:w="391" w:type="pct"/>
                  <w:tcBorders>
                    <w:tl2br w:val="nil"/>
                    <w:tr2bl w:val="nil"/>
                  </w:tcBorders>
                  <w:shd w:val="clear" w:color="auto" w:fill="auto"/>
                  <w:noWrap/>
                  <w:vAlign w:val="center"/>
                </w:tcPr>
                <w:p w14:paraId="651B542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530</w:t>
                  </w:r>
                </w:p>
              </w:tc>
              <w:tc>
                <w:tcPr>
                  <w:tcW w:w="391" w:type="pct"/>
                  <w:tcBorders>
                    <w:tl2br w:val="nil"/>
                    <w:tr2bl w:val="nil"/>
                  </w:tcBorders>
                  <w:shd w:val="clear" w:color="auto" w:fill="auto"/>
                  <w:noWrap/>
                  <w:vAlign w:val="center"/>
                </w:tcPr>
                <w:p w14:paraId="5427D9C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350</w:t>
                  </w:r>
                </w:p>
              </w:tc>
              <w:tc>
                <w:tcPr>
                  <w:tcW w:w="391" w:type="pct"/>
                  <w:gridSpan w:val="2"/>
                  <w:tcBorders>
                    <w:tl2br w:val="nil"/>
                    <w:tr2bl w:val="nil"/>
                  </w:tcBorders>
                  <w:shd w:val="clear" w:color="auto" w:fill="auto"/>
                  <w:noWrap/>
                  <w:vAlign w:val="center"/>
                </w:tcPr>
                <w:p w14:paraId="20E39BA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260</w:t>
                  </w:r>
                </w:p>
              </w:tc>
              <w:tc>
                <w:tcPr>
                  <w:tcW w:w="391" w:type="pct"/>
                  <w:tcBorders>
                    <w:tl2br w:val="nil"/>
                    <w:tr2bl w:val="nil"/>
                  </w:tcBorders>
                  <w:shd w:val="clear" w:color="auto" w:fill="auto"/>
                  <w:noWrap/>
                  <w:vAlign w:val="center"/>
                </w:tcPr>
                <w:p w14:paraId="774DB0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530</w:t>
                  </w:r>
                </w:p>
              </w:tc>
              <w:tc>
                <w:tcPr>
                  <w:tcW w:w="391" w:type="pct"/>
                  <w:tcBorders>
                    <w:tl2br w:val="nil"/>
                    <w:tr2bl w:val="nil"/>
                  </w:tcBorders>
                  <w:shd w:val="clear" w:color="auto" w:fill="auto"/>
                  <w:noWrap/>
                  <w:vAlign w:val="center"/>
                </w:tcPr>
                <w:p w14:paraId="2794CF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350</w:t>
                  </w:r>
                </w:p>
              </w:tc>
              <w:tc>
                <w:tcPr>
                  <w:tcW w:w="391" w:type="pct"/>
                  <w:gridSpan w:val="2"/>
                  <w:tcBorders>
                    <w:tl2br w:val="nil"/>
                    <w:tr2bl w:val="nil"/>
                  </w:tcBorders>
                  <w:shd w:val="clear" w:color="auto" w:fill="auto"/>
                  <w:noWrap/>
                  <w:vAlign w:val="center"/>
                </w:tcPr>
                <w:p w14:paraId="266895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260</w:t>
                  </w:r>
                </w:p>
              </w:tc>
              <w:tc>
                <w:tcPr>
                  <w:tcW w:w="391" w:type="pct"/>
                  <w:tcBorders>
                    <w:tl2br w:val="nil"/>
                    <w:tr2bl w:val="nil"/>
                  </w:tcBorders>
                  <w:shd w:val="clear" w:color="auto" w:fill="auto"/>
                  <w:noWrap/>
                  <w:vAlign w:val="center"/>
                </w:tcPr>
                <w:p w14:paraId="5D30EB9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290</w:t>
                  </w:r>
                </w:p>
              </w:tc>
              <w:tc>
                <w:tcPr>
                  <w:tcW w:w="391" w:type="pct"/>
                  <w:tcBorders>
                    <w:tl2br w:val="nil"/>
                    <w:tr2bl w:val="nil"/>
                  </w:tcBorders>
                  <w:shd w:val="clear" w:color="auto" w:fill="auto"/>
                  <w:noWrap/>
                  <w:vAlign w:val="center"/>
                </w:tcPr>
                <w:p w14:paraId="3DD37A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190</w:t>
                  </w:r>
                </w:p>
              </w:tc>
              <w:tc>
                <w:tcPr>
                  <w:tcW w:w="396" w:type="pct"/>
                  <w:tcBorders>
                    <w:tl2br w:val="nil"/>
                    <w:tr2bl w:val="nil"/>
                  </w:tcBorders>
                  <w:shd w:val="clear" w:color="auto" w:fill="auto"/>
                  <w:noWrap/>
                  <w:vAlign w:val="center"/>
                </w:tcPr>
                <w:p w14:paraId="5328E3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110</w:t>
                  </w:r>
                </w:p>
              </w:tc>
            </w:tr>
            <w:tr w14:paraId="4763B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87" w:type="pct"/>
                  <w:vMerge w:val="restart"/>
                  <w:tcBorders>
                    <w:tl2br w:val="nil"/>
                    <w:tr2bl w:val="nil"/>
                  </w:tcBorders>
                  <w:shd w:val="clear" w:color="auto" w:fill="auto"/>
                  <w:noWrap/>
                  <w:vAlign w:val="center"/>
                </w:tcPr>
                <w:p w14:paraId="141706D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0"/>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B</w:t>
                  </w:r>
                </w:p>
              </w:tc>
              <w:tc>
                <w:tcPr>
                  <w:tcW w:w="880" w:type="pct"/>
                  <w:tcBorders>
                    <w:tl2br w:val="nil"/>
                    <w:tr2bl w:val="nil"/>
                  </w:tcBorders>
                  <w:shd w:val="clear" w:color="auto" w:fill="auto"/>
                  <w:noWrap/>
                  <w:vAlign w:val="center"/>
                </w:tcPr>
                <w:p w14:paraId="62ED07C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&lt;2</w:t>
                  </w:r>
                </w:p>
              </w:tc>
              <w:tc>
                <w:tcPr>
                  <w:tcW w:w="1175" w:type="pct"/>
                  <w:gridSpan w:val="4"/>
                  <w:vMerge w:val="restart"/>
                  <w:tcBorders>
                    <w:tl2br w:val="nil"/>
                    <w:tr2bl w:val="nil"/>
                  </w:tcBorders>
                  <w:shd w:val="clear" w:color="auto" w:fill="auto"/>
                  <w:noWrap/>
                  <w:vAlign w:val="center"/>
                </w:tcPr>
                <w:p w14:paraId="18A990D6">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0.01</w:t>
                  </w:r>
                </w:p>
                <w:p w14:paraId="4710E433">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0.021</w:t>
                  </w:r>
                </w:p>
              </w:tc>
              <w:tc>
                <w:tcPr>
                  <w:tcW w:w="1175" w:type="pct"/>
                  <w:gridSpan w:val="4"/>
                  <w:vMerge w:val="restart"/>
                  <w:tcBorders>
                    <w:tl2br w:val="nil"/>
                    <w:tr2bl w:val="nil"/>
                  </w:tcBorders>
                  <w:shd w:val="clear" w:color="auto" w:fill="auto"/>
                  <w:noWrap/>
                  <w:vAlign w:val="center"/>
                </w:tcPr>
                <w:p w14:paraId="1CF2B3AD">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0.015</w:t>
                  </w:r>
                </w:p>
                <w:p w14:paraId="2D18E925">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0.036</w:t>
                  </w:r>
                </w:p>
              </w:tc>
              <w:tc>
                <w:tcPr>
                  <w:tcW w:w="1180" w:type="pct"/>
                  <w:gridSpan w:val="3"/>
                  <w:vMerge w:val="restart"/>
                  <w:tcBorders>
                    <w:tl2br w:val="nil"/>
                    <w:tr2bl w:val="nil"/>
                  </w:tcBorders>
                  <w:shd w:val="clear" w:color="auto" w:fill="auto"/>
                  <w:noWrap/>
                  <w:vAlign w:val="center"/>
                </w:tcPr>
                <w:p w14:paraId="03B5F781">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0.015</w:t>
                  </w:r>
                </w:p>
                <w:p w14:paraId="1F4F853E">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0.036</w:t>
                  </w:r>
                </w:p>
              </w:tc>
            </w:tr>
            <w:tr w14:paraId="1E7E9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32D8703D">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tcBorders>
                    <w:tl2br w:val="nil"/>
                    <w:tr2bl w:val="nil"/>
                  </w:tcBorders>
                  <w:shd w:val="clear" w:color="auto" w:fill="auto"/>
                  <w:noWrap/>
                  <w:vAlign w:val="center"/>
                </w:tcPr>
                <w:p w14:paraId="06F8FBF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&gt;2</w:t>
                  </w:r>
                </w:p>
              </w:tc>
              <w:tc>
                <w:tcPr>
                  <w:tcW w:w="1175" w:type="pct"/>
                  <w:gridSpan w:val="4"/>
                  <w:vMerge w:val="continue"/>
                  <w:tcBorders>
                    <w:tl2br w:val="nil"/>
                    <w:tr2bl w:val="nil"/>
                  </w:tcBorders>
                  <w:shd w:val="clear" w:color="auto" w:fill="auto"/>
                  <w:noWrap/>
                  <w:vAlign w:val="center"/>
                </w:tcPr>
                <w:p w14:paraId="42861FCD">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1175" w:type="pct"/>
                  <w:gridSpan w:val="4"/>
                  <w:vMerge w:val="continue"/>
                  <w:tcBorders>
                    <w:tl2br w:val="nil"/>
                    <w:tr2bl w:val="nil"/>
                  </w:tcBorders>
                  <w:shd w:val="clear" w:color="auto" w:fill="auto"/>
                  <w:noWrap/>
                  <w:vAlign w:val="center"/>
                </w:tcPr>
                <w:p w14:paraId="3BF9D9A7">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1180" w:type="pct"/>
                  <w:gridSpan w:val="3"/>
                  <w:vMerge w:val="continue"/>
                  <w:tcBorders>
                    <w:tl2br w:val="nil"/>
                    <w:tr2bl w:val="nil"/>
                  </w:tcBorders>
                  <w:shd w:val="clear" w:color="auto" w:fill="auto"/>
                  <w:noWrap/>
                  <w:vAlign w:val="center"/>
                </w:tcPr>
                <w:p w14:paraId="2A808702">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r>
            <w:tr w14:paraId="76AD1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restart"/>
                  <w:tcBorders>
                    <w:tl2br w:val="nil"/>
                    <w:tr2bl w:val="nil"/>
                  </w:tcBorders>
                  <w:shd w:val="clear" w:color="auto" w:fill="auto"/>
                  <w:noWrap/>
                  <w:vAlign w:val="center"/>
                </w:tcPr>
                <w:p w14:paraId="45A545D4">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0"/>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C</w:t>
                  </w:r>
                </w:p>
              </w:tc>
              <w:tc>
                <w:tcPr>
                  <w:tcW w:w="880" w:type="pct"/>
                  <w:tcBorders>
                    <w:tl2br w:val="nil"/>
                    <w:tr2bl w:val="nil"/>
                  </w:tcBorders>
                  <w:shd w:val="clear" w:color="auto" w:fill="auto"/>
                  <w:noWrap/>
                  <w:vAlign w:val="center"/>
                </w:tcPr>
                <w:p w14:paraId="45D3C62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bottom"/>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&lt;2</w:t>
                  </w:r>
                </w:p>
              </w:tc>
              <w:tc>
                <w:tcPr>
                  <w:tcW w:w="1175" w:type="pct"/>
                  <w:gridSpan w:val="4"/>
                  <w:vMerge w:val="restart"/>
                  <w:tcBorders>
                    <w:tl2br w:val="nil"/>
                    <w:tr2bl w:val="nil"/>
                  </w:tcBorders>
                  <w:shd w:val="clear" w:color="auto" w:fill="auto"/>
                  <w:noWrap/>
                  <w:vAlign w:val="center"/>
                </w:tcPr>
                <w:p w14:paraId="3CB37EE4">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1.85</w:t>
                  </w:r>
                </w:p>
                <w:p w14:paraId="01DECCCB">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1.85</w:t>
                  </w:r>
                </w:p>
              </w:tc>
              <w:tc>
                <w:tcPr>
                  <w:tcW w:w="1175" w:type="pct"/>
                  <w:gridSpan w:val="4"/>
                  <w:vMerge w:val="restart"/>
                  <w:tcBorders>
                    <w:tl2br w:val="nil"/>
                    <w:tr2bl w:val="nil"/>
                  </w:tcBorders>
                  <w:shd w:val="clear" w:color="auto" w:fill="auto"/>
                  <w:noWrap/>
                  <w:vAlign w:val="center"/>
                </w:tcPr>
                <w:p w14:paraId="2BC6EF03">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1.79</w:t>
                  </w:r>
                </w:p>
                <w:p w14:paraId="6E896BD0">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1.77</w:t>
                  </w:r>
                </w:p>
              </w:tc>
              <w:tc>
                <w:tcPr>
                  <w:tcW w:w="1180" w:type="pct"/>
                  <w:gridSpan w:val="3"/>
                  <w:vMerge w:val="restart"/>
                  <w:tcBorders>
                    <w:tl2br w:val="nil"/>
                    <w:tr2bl w:val="nil"/>
                  </w:tcBorders>
                  <w:shd w:val="clear" w:color="auto" w:fill="auto"/>
                  <w:noWrap/>
                  <w:vAlign w:val="center"/>
                </w:tcPr>
                <w:p w14:paraId="742F1F8C">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1.79</w:t>
                  </w:r>
                </w:p>
                <w:p w14:paraId="44EA268C">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1.77</w:t>
                  </w:r>
                </w:p>
              </w:tc>
            </w:tr>
            <w:tr w14:paraId="4016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679D5155">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880" w:type="pct"/>
                  <w:tcBorders>
                    <w:tl2br w:val="nil"/>
                    <w:tr2bl w:val="nil"/>
                  </w:tcBorders>
                  <w:shd w:val="clear" w:color="auto" w:fill="auto"/>
                  <w:noWrap/>
                  <w:vAlign w:val="center"/>
                </w:tcPr>
                <w:p w14:paraId="5C73BD5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&gt;2</w:t>
                  </w:r>
                </w:p>
              </w:tc>
              <w:tc>
                <w:tcPr>
                  <w:tcW w:w="1175" w:type="pct"/>
                  <w:gridSpan w:val="4"/>
                  <w:vMerge w:val="continue"/>
                  <w:tcBorders>
                    <w:tl2br w:val="nil"/>
                    <w:tr2bl w:val="nil"/>
                  </w:tcBorders>
                  <w:shd w:val="clear" w:color="auto" w:fill="auto"/>
                  <w:noWrap/>
                  <w:vAlign w:val="center"/>
                </w:tcPr>
                <w:p w14:paraId="2DF8608D">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1175" w:type="pct"/>
                  <w:gridSpan w:val="4"/>
                  <w:vMerge w:val="continue"/>
                  <w:tcBorders>
                    <w:tl2br w:val="nil"/>
                    <w:tr2bl w:val="nil"/>
                  </w:tcBorders>
                  <w:shd w:val="clear" w:color="auto" w:fill="auto"/>
                  <w:noWrap/>
                  <w:vAlign w:val="center"/>
                </w:tcPr>
                <w:p w14:paraId="5B5041B5">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c>
                <w:tcPr>
                  <w:tcW w:w="1180" w:type="pct"/>
                  <w:gridSpan w:val="3"/>
                  <w:vMerge w:val="continue"/>
                  <w:tcBorders>
                    <w:tl2br w:val="nil"/>
                    <w:tr2bl w:val="nil"/>
                  </w:tcBorders>
                  <w:shd w:val="clear" w:color="auto" w:fill="auto"/>
                  <w:noWrap/>
                  <w:vAlign w:val="center"/>
                </w:tcPr>
                <w:p w14:paraId="013A6390">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p>
              </w:tc>
            </w:tr>
            <w:tr w14:paraId="36765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restart"/>
                  <w:tcBorders>
                    <w:tl2br w:val="nil"/>
                    <w:tr2bl w:val="nil"/>
                  </w:tcBorders>
                  <w:shd w:val="clear" w:color="auto" w:fill="auto"/>
                  <w:noWrap/>
                  <w:vAlign w:val="center"/>
                </w:tcPr>
                <w:p w14:paraId="67D7710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Style w:val="90"/>
                      <w:rFonts w:hint="default" w:ascii="Times New Roman" w:hAnsi="Times New Roman" w:eastAsia="宋体" w:cs="Times New Roman"/>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D</w:t>
                  </w:r>
                </w:p>
              </w:tc>
              <w:tc>
                <w:tcPr>
                  <w:tcW w:w="880" w:type="pct"/>
                  <w:tcBorders>
                    <w:tl2br w:val="nil"/>
                    <w:tr2bl w:val="nil"/>
                  </w:tcBorders>
                  <w:shd w:val="clear" w:color="auto" w:fill="auto"/>
                  <w:noWrap/>
                  <w:vAlign w:val="center"/>
                </w:tcPr>
                <w:p w14:paraId="6B7A61E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vertAlign w:val="baseline"/>
                      <w:lang w:val="en-US" w:eastAsia="zh-CN" w:bidi="ar"/>
                      <w14:textFill>
                        <w14:solidFill>
                          <w14:schemeClr w14:val="tx1"/>
                        </w14:solidFill>
                      </w14:textFill>
                    </w:rPr>
                    <w:t>&lt;2</w:t>
                  </w:r>
                </w:p>
              </w:tc>
              <w:tc>
                <w:tcPr>
                  <w:tcW w:w="1175" w:type="pct"/>
                  <w:gridSpan w:val="4"/>
                  <w:vMerge w:val="restart"/>
                  <w:tcBorders>
                    <w:tl2br w:val="nil"/>
                    <w:tr2bl w:val="nil"/>
                  </w:tcBorders>
                  <w:shd w:val="clear" w:color="auto" w:fill="auto"/>
                  <w:noWrap/>
                  <w:vAlign w:val="center"/>
                </w:tcPr>
                <w:p w14:paraId="537415BE">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0.78</w:t>
                  </w:r>
                </w:p>
                <w:p w14:paraId="2D87B70D">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0.84</w:t>
                  </w:r>
                </w:p>
              </w:tc>
              <w:tc>
                <w:tcPr>
                  <w:tcW w:w="1175" w:type="pct"/>
                  <w:gridSpan w:val="4"/>
                  <w:vMerge w:val="restart"/>
                  <w:tcBorders>
                    <w:tl2br w:val="nil"/>
                    <w:tr2bl w:val="nil"/>
                  </w:tcBorders>
                  <w:shd w:val="clear" w:color="auto" w:fill="auto"/>
                  <w:noWrap/>
                  <w:vAlign w:val="center"/>
                </w:tcPr>
                <w:p w14:paraId="7944C673">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0.78</w:t>
                  </w:r>
                </w:p>
                <w:p w14:paraId="0F10FA2E">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0.84</w:t>
                  </w:r>
                </w:p>
              </w:tc>
              <w:tc>
                <w:tcPr>
                  <w:tcW w:w="1180" w:type="pct"/>
                  <w:gridSpan w:val="3"/>
                  <w:vMerge w:val="restart"/>
                  <w:tcBorders>
                    <w:tl2br w:val="nil"/>
                    <w:tr2bl w:val="nil"/>
                  </w:tcBorders>
                  <w:shd w:val="clear" w:color="auto" w:fill="auto"/>
                  <w:noWrap/>
                  <w:vAlign w:val="center"/>
                </w:tcPr>
                <w:p w14:paraId="3C081A3F">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0.57</w:t>
                  </w:r>
                </w:p>
                <w:p w14:paraId="22616791">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14:textFill>
                        <w14:solidFill>
                          <w14:schemeClr w14:val="tx1"/>
                        </w14:solidFill>
                      </w14:textFill>
                    </w:rPr>
                  </w:pPr>
                  <w: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vertAlign w:val="baseline"/>
                      <w:lang w:val="en-US" w:eastAsia="zh-CN"/>
                      <w14:textFill>
                        <w14:solidFill>
                          <w14:schemeClr w14:val="tx1"/>
                        </w14:solidFill>
                      </w14:textFill>
                    </w:rPr>
                    <w:t>0.76</w:t>
                  </w:r>
                </w:p>
              </w:tc>
            </w:tr>
            <w:tr w14:paraId="7A0EA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pct"/>
                  <w:vMerge w:val="continue"/>
                  <w:tcBorders>
                    <w:tl2br w:val="nil"/>
                    <w:tr2bl w:val="nil"/>
                  </w:tcBorders>
                  <w:shd w:val="clear" w:color="auto" w:fill="auto"/>
                  <w:noWrap/>
                  <w:vAlign w:val="center"/>
                </w:tcPr>
                <w:p w14:paraId="3E05472F">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smallCaps w:val="0"/>
                      <w:snapToGrid/>
                      <w:color w:val="000000" w:themeColor="text1"/>
                      <w:spacing w:val="0"/>
                      <w:w w:val="100"/>
                      <w:kern w:val="0"/>
                      <w:position w:val="0"/>
                      <w:sz w:val="21"/>
                      <w:szCs w:val="21"/>
                      <w:u w:val="none"/>
                      <w14:textFill>
                        <w14:solidFill>
                          <w14:schemeClr w14:val="tx1"/>
                        </w14:solidFill>
                      </w14:textFill>
                    </w:rPr>
                  </w:pPr>
                </w:p>
              </w:tc>
              <w:tc>
                <w:tcPr>
                  <w:tcW w:w="880" w:type="pct"/>
                  <w:tcBorders>
                    <w:tl2br w:val="nil"/>
                    <w:tr2bl w:val="nil"/>
                  </w:tcBorders>
                  <w:shd w:val="clear" w:color="auto" w:fill="auto"/>
                  <w:noWrap/>
                  <w:vAlign w:val="center"/>
                </w:tcPr>
                <w:p w14:paraId="0D25ABA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14:textFill>
                        <w14:solidFill>
                          <w14:schemeClr w14:val="tx1"/>
                        </w14:solidFill>
                      </w14:textFill>
                    </w:rPr>
                  </w:pPr>
                  <w:r>
                    <w:rPr>
                      <w:rStyle w:val="92"/>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lang w:val="en-US" w:eastAsia="zh-CN" w:bidi="ar"/>
                      <w14:textFill>
                        <w14:solidFill>
                          <w14:schemeClr w14:val="tx1"/>
                        </w14:solidFill>
                      </w14:textFill>
                    </w:rPr>
                    <w:t>&gt;2</w:t>
                  </w:r>
                </w:p>
              </w:tc>
              <w:tc>
                <w:tcPr>
                  <w:tcW w:w="1175" w:type="pct"/>
                  <w:gridSpan w:val="4"/>
                  <w:vMerge w:val="continue"/>
                  <w:tcBorders>
                    <w:tl2br w:val="nil"/>
                    <w:tr2bl w:val="nil"/>
                  </w:tcBorders>
                  <w:shd w:val="clear" w:color="auto" w:fill="auto"/>
                  <w:noWrap/>
                  <w:vAlign w:val="center"/>
                </w:tcPr>
                <w:p w14:paraId="2CA92404">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14:textFill>
                        <w14:solidFill>
                          <w14:schemeClr w14:val="tx1"/>
                        </w14:solidFill>
                      </w14:textFill>
                    </w:rPr>
                  </w:pPr>
                </w:p>
              </w:tc>
              <w:tc>
                <w:tcPr>
                  <w:tcW w:w="1175" w:type="pct"/>
                  <w:gridSpan w:val="4"/>
                  <w:vMerge w:val="continue"/>
                  <w:tcBorders>
                    <w:tl2br w:val="nil"/>
                    <w:tr2bl w:val="nil"/>
                  </w:tcBorders>
                  <w:shd w:val="clear" w:color="auto" w:fill="auto"/>
                  <w:noWrap/>
                  <w:vAlign w:val="center"/>
                </w:tcPr>
                <w:p w14:paraId="44DBB082">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14:textFill>
                        <w14:solidFill>
                          <w14:schemeClr w14:val="tx1"/>
                        </w14:solidFill>
                      </w14:textFill>
                    </w:rPr>
                  </w:pPr>
                </w:p>
              </w:tc>
              <w:tc>
                <w:tcPr>
                  <w:tcW w:w="1180" w:type="pct"/>
                  <w:gridSpan w:val="3"/>
                  <w:vMerge w:val="continue"/>
                  <w:tcBorders>
                    <w:tl2br w:val="nil"/>
                    <w:tr2bl w:val="nil"/>
                  </w:tcBorders>
                  <w:shd w:val="clear" w:color="auto" w:fill="auto"/>
                  <w:noWrap/>
                  <w:vAlign w:val="center"/>
                </w:tcPr>
                <w:p w14:paraId="362B3CE6">
                  <w:pPr>
                    <w:keepNext w:val="0"/>
                    <w:keepLines w:val="0"/>
                    <w:pageBreakBefore w:val="0"/>
                    <w:kinsoku/>
                    <w:wordWrap/>
                    <w:overflowPunct/>
                    <w:topLinePunct w:val="0"/>
                    <w:autoSpaceDE/>
                    <w:autoSpaceDN/>
                    <w:bidi w:val="0"/>
                    <w:adjustRightInd/>
                    <w:snapToGrid/>
                    <w:ind w:firstLineChars="0"/>
                    <w:jc w:val="center"/>
                    <w:rPr>
                      <w:rFonts w:hint="default" w:ascii="Times New Roman" w:hAnsi="Times New Roman" w:eastAsia="宋体" w:cs="Times New Roman"/>
                      <w:b w:val="0"/>
                      <w:bCs w:val="0"/>
                      <w:i w:val="0"/>
                      <w:iCs w:val="0"/>
                      <w:smallCaps w:val="0"/>
                      <w:snapToGrid/>
                      <w:color w:val="000000" w:themeColor="text1"/>
                      <w:spacing w:val="0"/>
                      <w:w w:val="100"/>
                      <w:kern w:val="0"/>
                      <w:position w:val="0"/>
                      <w:sz w:val="21"/>
                      <w:szCs w:val="21"/>
                      <w:u w:val="none"/>
                      <w14:textFill>
                        <w14:solidFill>
                          <w14:schemeClr w14:val="tx1"/>
                        </w14:solidFill>
                      </w14:textFill>
                    </w:rPr>
                  </w:pPr>
                </w:p>
              </w:tc>
            </w:tr>
          </w:tbl>
          <w:p w14:paraId="214F393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14:textFill>
                  <w14:solidFill>
                    <w14:schemeClr w14:val="tx1"/>
                  </w14:solidFill>
                </w14:textFill>
              </w:rPr>
              <w:t>本项目卫生防护距离计算结果见表</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4-</w:t>
            </w:r>
            <w:r>
              <w:rPr>
                <w:rFonts w:hint="eastAsia" w:cs="Times New Roman"/>
                <w:snapToGrid/>
                <w:color w:val="000000" w:themeColor="text1"/>
                <w:spacing w:val="0"/>
                <w:kern w:val="0"/>
                <w:position w:val="0"/>
                <w:sz w:val="24"/>
                <w:lang w:val="en-US" w:eastAsia="zh-CN"/>
                <w14:textFill>
                  <w14:solidFill>
                    <w14:schemeClr w14:val="tx1"/>
                  </w14:solidFill>
                </w14:textFill>
              </w:rPr>
              <w:t>5</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p>
          <w:p w14:paraId="6E9DC92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5</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卫生环境防护距离计算结果一览表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931"/>
              <w:gridCol w:w="1025"/>
              <w:gridCol w:w="1025"/>
              <w:gridCol w:w="1025"/>
              <w:gridCol w:w="1025"/>
              <w:gridCol w:w="1025"/>
              <w:gridCol w:w="1025"/>
            </w:tblGrid>
            <w:tr w14:paraId="5FC6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Align w:val="center"/>
                </w:tcPr>
                <w:p w14:paraId="337E7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污染源</w:t>
                  </w:r>
                </w:p>
              </w:tc>
              <w:tc>
                <w:tcPr>
                  <w:tcW w:w="932" w:type="dxa"/>
                  <w:vAlign w:val="center"/>
                </w:tcPr>
                <w:p w14:paraId="4339B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污染物</w:t>
                  </w:r>
                </w:p>
              </w:tc>
              <w:tc>
                <w:tcPr>
                  <w:tcW w:w="1026" w:type="dxa"/>
                  <w:vAlign w:val="center"/>
                </w:tcPr>
                <w:p w14:paraId="46B471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参数A</w:t>
                  </w:r>
                </w:p>
              </w:tc>
              <w:tc>
                <w:tcPr>
                  <w:tcW w:w="1026" w:type="dxa"/>
                  <w:vAlign w:val="center"/>
                </w:tcPr>
                <w:p w14:paraId="5B363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napToGrid/>
                      <w:color w:val="000000" w:themeColor="text1"/>
                      <w:spacing w:val="0"/>
                      <w:kern w:val="0"/>
                      <w:position w:val="0"/>
                      <w:sz w:val="21"/>
                      <w:szCs w:val="21"/>
                      <w:vertAlign w:val="baseline"/>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参数B</w:t>
                  </w:r>
                </w:p>
              </w:tc>
              <w:tc>
                <w:tcPr>
                  <w:tcW w:w="1026" w:type="dxa"/>
                  <w:vAlign w:val="center"/>
                </w:tcPr>
                <w:p w14:paraId="589B9E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napToGrid/>
                      <w:color w:val="000000" w:themeColor="text1"/>
                      <w:spacing w:val="0"/>
                      <w:kern w:val="0"/>
                      <w:position w:val="0"/>
                      <w:sz w:val="21"/>
                      <w:szCs w:val="21"/>
                      <w:vertAlign w:val="baseline"/>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参数C</w:t>
                  </w:r>
                </w:p>
              </w:tc>
              <w:tc>
                <w:tcPr>
                  <w:tcW w:w="1026" w:type="dxa"/>
                  <w:vAlign w:val="center"/>
                </w:tcPr>
                <w:p w14:paraId="0D6E13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napToGrid/>
                      <w:color w:val="000000" w:themeColor="text1"/>
                      <w:spacing w:val="0"/>
                      <w:kern w:val="0"/>
                      <w:position w:val="0"/>
                      <w:sz w:val="21"/>
                      <w:szCs w:val="21"/>
                      <w:vertAlign w:val="baseline"/>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参数D</w:t>
                  </w:r>
                </w:p>
              </w:tc>
              <w:tc>
                <w:tcPr>
                  <w:tcW w:w="1026" w:type="dxa"/>
                  <w:vAlign w:val="center"/>
                </w:tcPr>
                <w:p w14:paraId="12734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卫生防护距离计算值（m）</w:t>
                  </w:r>
                </w:p>
              </w:tc>
              <w:tc>
                <w:tcPr>
                  <w:tcW w:w="1026" w:type="dxa"/>
                  <w:vAlign w:val="center"/>
                </w:tcPr>
                <w:p w14:paraId="3364B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b/>
                      <w:bCs/>
                      <w:snapToGrid/>
                      <w:color w:val="000000" w:themeColor="text1"/>
                      <w:spacing w:val="0"/>
                      <w:kern w:val="0"/>
                      <w:position w:val="0"/>
                      <w:sz w:val="21"/>
                      <w:szCs w:val="21"/>
                      <w:vertAlign w:val="baseline"/>
                      <w:lang w:val="en-US" w:eastAsia="zh-CN"/>
                      <w14:textFill>
                        <w14:solidFill>
                          <w14:schemeClr w14:val="tx1"/>
                        </w14:solidFill>
                      </w14:textFill>
                    </w:rPr>
                    <w:t>卫生防护距离（m）</w:t>
                  </w:r>
                </w:p>
              </w:tc>
            </w:tr>
            <w:tr w14:paraId="71C2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Align w:val="center"/>
                </w:tcPr>
                <w:p w14:paraId="196572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生产区域</w:t>
                  </w:r>
                </w:p>
              </w:tc>
              <w:tc>
                <w:tcPr>
                  <w:tcW w:w="932" w:type="dxa"/>
                  <w:vAlign w:val="center"/>
                </w:tcPr>
                <w:p w14:paraId="7882F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napToGrid/>
                      <w:color w:val="000000" w:themeColor="text1"/>
                      <w:spacing w:val="0"/>
                      <w:kern w:val="0"/>
                      <w:position w:val="0"/>
                      <w:sz w:val="21"/>
                      <w:szCs w:val="21"/>
                      <w:vertAlign w:val="baseli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TSP</w:t>
                  </w:r>
                </w:p>
              </w:tc>
              <w:tc>
                <w:tcPr>
                  <w:tcW w:w="1026" w:type="dxa"/>
                  <w:vAlign w:val="center"/>
                </w:tcPr>
                <w:p w14:paraId="71146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400</w:t>
                  </w:r>
                </w:p>
              </w:tc>
              <w:tc>
                <w:tcPr>
                  <w:tcW w:w="1026" w:type="dxa"/>
                  <w:vAlign w:val="center"/>
                </w:tcPr>
                <w:p w14:paraId="06252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0.01</w:t>
                  </w:r>
                </w:p>
              </w:tc>
              <w:tc>
                <w:tcPr>
                  <w:tcW w:w="1026" w:type="dxa"/>
                  <w:vAlign w:val="center"/>
                </w:tcPr>
                <w:p w14:paraId="0A261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1.85</w:t>
                  </w:r>
                </w:p>
              </w:tc>
              <w:tc>
                <w:tcPr>
                  <w:tcW w:w="1026" w:type="dxa"/>
                  <w:vAlign w:val="center"/>
                </w:tcPr>
                <w:p w14:paraId="51D74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0.78</w:t>
                  </w:r>
                </w:p>
              </w:tc>
              <w:tc>
                <w:tcPr>
                  <w:tcW w:w="1026" w:type="dxa"/>
                  <w:vAlign w:val="center"/>
                </w:tcPr>
                <w:p w14:paraId="59190B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1.969</w:t>
                  </w:r>
                </w:p>
              </w:tc>
              <w:tc>
                <w:tcPr>
                  <w:tcW w:w="1026" w:type="dxa"/>
                  <w:vAlign w:val="center"/>
                </w:tcPr>
                <w:p w14:paraId="59020B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napToGrid/>
                      <w:color w:val="000000" w:themeColor="text1"/>
                      <w:spacing w:val="0"/>
                      <w:kern w:val="0"/>
                      <w:position w:val="0"/>
                      <w:sz w:val="21"/>
                      <w:szCs w:val="21"/>
                      <w:vertAlign w:val="baseline"/>
                      <w:lang w:val="en-US" w:eastAsia="zh-CN"/>
                      <w14:textFill>
                        <w14:solidFill>
                          <w14:schemeClr w14:val="tx1"/>
                        </w14:solidFill>
                      </w14:textFill>
                    </w:rPr>
                  </w:pPr>
                  <w:r>
                    <w:rPr>
                      <w:rFonts w:hint="eastAsia"/>
                      <w:snapToGrid/>
                      <w:color w:val="000000" w:themeColor="text1"/>
                      <w:spacing w:val="0"/>
                      <w:kern w:val="0"/>
                      <w:position w:val="0"/>
                      <w:sz w:val="21"/>
                      <w:szCs w:val="21"/>
                      <w:vertAlign w:val="baseline"/>
                      <w:lang w:val="en-US" w:eastAsia="zh-CN"/>
                      <w14:textFill>
                        <w14:solidFill>
                          <w14:schemeClr w14:val="tx1"/>
                        </w14:solidFill>
                      </w14:textFill>
                    </w:rPr>
                    <w:t>50</w:t>
                  </w:r>
                </w:p>
              </w:tc>
            </w:tr>
          </w:tbl>
          <w:p w14:paraId="62706070">
            <w:pPr>
              <w:pStyle w:val="67"/>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pPr>
            <w:r>
              <w:rPr>
                <w:rFonts w:ascii="Times New Roman" w:hAnsi="Times New Roman" w:eastAsia="宋体" w:cs="Times New Roman"/>
                <w:b w:val="0"/>
                <w:snapToGrid/>
                <w:color w:val="000000" w:themeColor="text1"/>
                <w:spacing w:val="0"/>
                <w:kern w:val="0"/>
                <w:position w:val="0"/>
                <w14:textFill>
                  <w14:solidFill>
                    <w14:schemeClr w14:val="tx1"/>
                  </w14:solidFill>
                </w14:textFill>
              </w:rPr>
              <w:t>根据</w:t>
            </w:r>
            <w:r>
              <w:rPr>
                <w:rFonts w:hint="eastAsia" w:ascii="宋体" w:hAnsi="宋体" w:eastAsia="宋体"/>
                <w:b w:val="0"/>
                <w:bCs/>
                <w:snapToGrid/>
                <w:color w:val="000000" w:themeColor="text1"/>
                <w:spacing w:val="0"/>
                <w:kern w:val="0"/>
                <w:position w:val="0"/>
                <w:sz w:val="24"/>
                <w:lang w:eastAsia="zh-CN"/>
                <w14:textFill>
                  <w14:solidFill>
                    <w14:schemeClr w14:val="tx1"/>
                  </w14:solidFill>
                </w14:textFill>
              </w:rPr>
              <w:t>《大气有害物质无组织排放卫生防护距离推导技术导则》</w:t>
            </w:r>
            <w:r>
              <w:rPr>
                <w:rFonts w:hint="default" w:ascii="Times New Roman" w:hAnsi="Times New Roman" w:eastAsia="宋体" w:cs="Times New Roman"/>
                <w:b w:val="0"/>
                <w:bCs/>
                <w:snapToGrid/>
                <w:color w:val="000000" w:themeColor="text1"/>
                <w:spacing w:val="0"/>
                <w:kern w:val="0"/>
                <w:position w:val="0"/>
                <w:sz w:val="24"/>
                <w:lang w:eastAsia="zh-CN"/>
                <w14:textFill>
                  <w14:solidFill>
                    <w14:schemeClr w14:val="tx1"/>
                  </w14:solidFill>
                </w14:textFill>
              </w:rPr>
              <w:t>（</w:t>
            </w:r>
            <w:r>
              <w:rPr>
                <w:rFonts w:hint="default" w:ascii="Times New Roman" w:hAnsi="Times New Roman" w:eastAsia="宋体" w:cs="Times New Roman"/>
                <w:b w:val="0"/>
                <w:bCs/>
                <w:snapToGrid/>
                <w:color w:val="000000" w:themeColor="text1"/>
                <w:spacing w:val="0"/>
                <w:kern w:val="0"/>
                <w:position w:val="0"/>
                <w:sz w:val="24"/>
                <w:lang w:val="en-US" w:eastAsia="zh-CN"/>
                <w14:textFill>
                  <w14:solidFill>
                    <w14:schemeClr w14:val="tx1"/>
                  </w14:solidFill>
                </w14:textFill>
              </w:rPr>
              <w:t>GB/T39499-2020</w:t>
            </w:r>
            <w:r>
              <w:rPr>
                <w:rFonts w:hint="default" w:ascii="Times New Roman" w:hAnsi="Times New Roman" w:eastAsia="宋体" w:cs="Times New Roman"/>
                <w:b w:val="0"/>
                <w:bCs/>
                <w:snapToGrid/>
                <w:color w:val="000000" w:themeColor="text1"/>
                <w:spacing w:val="0"/>
                <w:kern w:val="0"/>
                <w:position w:val="0"/>
                <w:sz w:val="24"/>
                <w:lang w:eastAsia="zh-CN"/>
                <w14:textFill>
                  <w14:solidFill>
                    <w14:schemeClr w14:val="tx1"/>
                  </w14:solidFill>
                </w14:textFill>
              </w:rPr>
              <w:t>）</w:t>
            </w:r>
            <w:r>
              <w:rPr>
                <w:rFonts w:ascii="Times New Roman" w:hAnsi="Times New Roman" w:eastAsia="宋体" w:cs="Times New Roman"/>
                <w:b w:val="0"/>
                <w:bCs/>
                <w:snapToGrid/>
                <w:color w:val="000000" w:themeColor="text1"/>
                <w:spacing w:val="0"/>
                <w:kern w:val="0"/>
                <w:position w:val="0"/>
                <w14:textFill>
                  <w14:solidFill>
                    <w14:schemeClr w14:val="tx1"/>
                  </w14:solidFill>
                </w14:textFill>
              </w:rPr>
              <w:t>，</w:t>
            </w:r>
            <w:r>
              <w:rPr>
                <w:rFonts w:ascii="Times New Roman" w:hAnsi="Times New Roman" w:eastAsia="宋体" w:cs="Times New Roman"/>
                <w:b w:val="0"/>
                <w:snapToGrid/>
                <w:color w:val="000000" w:themeColor="text1"/>
                <w:spacing w:val="0"/>
                <w:kern w:val="0"/>
                <w:position w:val="0"/>
                <w14:textFill>
                  <w14:solidFill>
                    <w14:schemeClr w14:val="tx1"/>
                  </w14:solidFill>
                </w14:textFill>
              </w:rPr>
              <w:t>确定</w:t>
            </w:r>
            <w:r>
              <w:rPr>
                <w:rFonts w:hint="default" w:ascii="Times New Roman" w:hAnsi="Times New Roman" w:eastAsia="宋体" w:cs="Times New Roman"/>
                <w:b w:val="0"/>
                <w:snapToGrid/>
                <w:color w:val="000000" w:themeColor="text1"/>
                <w:spacing w:val="0"/>
                <w:kern w:val="0"/>
                <w:position w:val="0"/>
                <w14:textFill>
                  <w14:solidFill>
                    <w14:schemeClr w14:val="tx1"/>
                  </w14:solidFill>
                </w14:textFill>
              </w:rPr>
              <w:t>本项目需设以</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厂区红线</w:t>
            </w:r>
            <w:r>
              <w:rPr>
                <w:rFonts w:hint="default" w:ascii="Times New Roman" w:hAnsi="Times New Roman" w:eastAsia="宋体" w:cs="Times New Roman"/>
                <w:b w:val="0"/>
                <w:snapToGrid/>
                <w:color w:val="000000" w:themeColor="text1"/>
                <w:spacing w:val="0"/>
                <w:kern w:val="0"/>
                <w:position w:val="0"/>
                <w14:textFill>
                  <w14:solidFill>
                    <w14:schemeClr w14:val="tx1"/>
                  </w14:solidFill>
                </w14:textFill>
              </w:rPr>
              <w:t>为执行边界的</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5</w:t>
            </w:r>
            <w:r>
              <w:rPr>
                <w:rFonts w:hint="default" w:ascii="Times New Roman" w:hAnsi="Times New Roman" w:eastAsia="宋体" w:cs="Times New Roman"/>
                <w:b w:val="0"/>
                <w:snapToGrid/>
                <w:color w:val="000000" w:themeColor="text1"/>
                <w:spacing w:val="0"/>
                <w:kern w:val="0"/>
                <w:position w:val="0"/>
                <w14:textFill>
                  <w14:solidFill>
                    <w14:schemeClr w14:val="tx1"/>
                  </w14:solidFill>
                </w14:textFill>
              </w:rPr>
              <w:t>0m卫生防护距离。本项目卫生防护距离内无居民</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点，最近敏感点为厂区西北侧437m的龙勿底</w:t>
            </w:r>
            <w:r>
              <w:rPr>
                <w:rFonts w:ascii="Times New Roman" w:hAnsi="Times New Roman" w:eastAsia="宋体" w:cs="Times New Roman"/>
                <w:b w:val="0"/>
                <w:snapToGrid/>
                <w:color w:val="000000" w:themeColor="text1"/>
                <w:spacing w:val="0"/>
                <w:kern w:val="0"/>
                <w:position w:val="0"/>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本项目卫生防护距离包络线详见附图 4。</w:t>
            </w:r>
          </w:p>
          <w:p w14:paraId="33BC1BFA">
            <w:pPr>
              <w:pStyle w:val="67"/>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6</w:t>
            </w: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污染物排放量核算</w:t>
            </w:r>
          </w:p>
          <w:p w14:paraId="15E676E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6</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大气污染物无组织排放量核算表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705"/>
              <w:gridCol w:w="1091"/>
              <w:gridCol w:w="805"/>
              <w:gridCol w:w="1580"/>
              <w:gridCol w:w="1229"/>
              <w:gridCol w:w="1143"/>
              <w:gridCol w:w="1028"/>
            </w:tblGrid>
            <w:tr w14:paraId="67A4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restart"/>
                  <w:vAlign w:val="center"/>
                </w:tcPr>
                <w:p w14:paraId="66F06EB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t>序号</w:t>
                  </w:r>
                </w:p>
              </w:tc>
              <w:tc>
                <w:tcPr>
                  <w:tcW w:w="429" w:type="pct"/>
                  <w:vMerge w:val="restart"/>
                  <w:vAlign w:val="center"/>
                </w:tcPr>
                <w:p w14:paraId="4E42969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vertAlign w:val="baseline"/>
                      <w:lang w:val="en-US" w:eastAsia="zh-CN"/>
                      <w14:textFill>
                        <w14:solidFill>
                          <w14:schemeClr w14:val="tx1"/>
                        </w14:solidFill>
                      </w14:textFill>
                    </w:rPr>
                    <w:t>排放口编号</w:t>
                  </w:r>
                </w:p>
              </w:tc>
              <w:tc>
                <w:tcPr>
                  <w:tcW w:w="664" w:type="pct"/>
                  <w:vMerge w:val="restart"/>
                  <w:vAlign w:val="center"/>
                </w:tcPr>
                <w:p w14:paraId="746DB40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产污环节</w:t>
                  </w:r>
                </w:p>
              </w:tc>
              <w:tc>
                <w:tcPr>
                  <w:tcW w:w="490" w:type="pct"/>
                  <w:vMerge w:val="restart"/>
                  <w:vAlign w:val="center"/>
                </w:tcPr>
                <w:p w14:paraId="67146511">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w:t>
                  </w:r>
                </w:p>
              </w:tc>
              <w:tc>
                <w:tcPr>
                  <w:tcW w:w="962" w:type="pct"/>
                  <w:vMerge w:val="restart"/>
                  <w:vAlign w:val="center"/>
                </w:tcPr>
                <w:p w14:paraId="3AE091C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主要污染防治措施</w:t>
                  </w:r>
                </w:p>
              </w:tc>
              <w:tc>
                <w:tcPr>
                  <w:tcW w:w="1444" w:type="pct"/>
                  <w:gridSpan w:val="2"/>
                  <w:vAlign w:val="center"/>
                </w:tcPr>
                <w:p w14:paraId="3E351B0C">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国家或地方污染物排放标准</w:t>
                  </w:r>
                </w:p>
              </w:tc>
              <w:tc>
                <w:tcPr>
                  <w:tcW w:w="626" w:type="pct"/>
                  <w:vMerge w:val="restart"/>
                  <w:vAlign w:val="center"/>
                </w:tcPr>
                <w:p w14:paraId="783EE956">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8"/>
                      <w:sz w:val="21"/>
                      <w:szCs w:val="21"/>
                      <w14:textFill>
                        <w14:solidFill>
                          <w14:schemeClr w14:val="tx1"/>
                        </w14:solidFill>
                      </w14:textFill>
                    </w:rPr>
                    <w:t>年排放量</w:t>
                  </w:r>
                  <w:r>
                    <w:rPr>
                      <w:rFonts w:hint="eastAsia" w:ascii="Times New Roman" w:hAnsi="Times New Roman" w:eastAsia="宋体" w:cs="Times New Roman"/>
                      <w:b/>
                      <w:bCs/>
                      <w:color w:val="000000" w:themeColor="text1"/>
                      <w:spacing w:val="8"/>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1"/>
                      <w:sz w:val="21"/>
                      <w:szCs w:val="21"/>
                      <w14:textFill>
                        <w14:solidFill>
                          <w14:schemeClr w14:val="tx1"/>
                        </w14:solidFill>
                      </w14:textFill>
                    </w:rPr>
                    <w:t>t/a</w:t>
                  </w:r>
                  <w:r>
                    <w:rPr>
                      <w:rFonts w:hint="eastAsia" w:ascii="Times New Roman" w:hAnsi="Times New Roman" w:eastAsia="宋体" w:cs="Times New Roman"/>
                      <w:b/>
                      <w:bCs/>
                      <w:color w:val="000000" w:themeColor="text1"/>
                      <w:spacing w:val="8"/>
                      <w:sz w:val="21"/>
                      <w:szCs w:val="21"/>
                      <w:lang w:eastAsia="zh-CN"/>
                      <w14:textFill>
                        <w14:solidFill>
                          <w14:schemeClr w14:val="tx1"/>
                        </w14:solidFill>
                      </w14:textFill>
                    </w:rPr>
                    <w:t>）</w:t>
                  </w:r>
                </w:p>
              </w:tc>
            </w:tr>
            <w:tr w14:paraId="057A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continue"/>
                  <w:vAlign w:val="center"/>
                </w:tcPr>
                <w:p w14:paraId="76E4BF8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29" w:type="pct"/>
                  <w:vMerge w:val="continue"/>
                  <w:vAlign w:val="center"/>
                </w:tcPr>
                <w:p w14:paraId="48C3A92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64" w:type="pct"/>
                  <w:vMerge w:val="continue"/>
                  <w:vAlign w:val="center"/>
                </w:tcPr>
                <w:p w14:paraId="029FE17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90" w:type="pct"/>
                  <w:vMerge w:val="continue"/>
                  <w:vAlign w:val="center"/>
                </w:tcPr>
                <w:p w14:paraId="0EBDC2E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962" w:type="pct"/>
                  <w:vMerge w:val="continue"/>
                  <w:vAlign w:val="center"/>
                </w:tcPr>
                <w:p w14:paraId="22C85CA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48" w:type="pct"/>
                  <w:vAlign w:val="center"/>
                </w:tcPr>
                <w:p w14:paraId="1BF9A87B">
                  <w:pPr>
                    <w:pStyle w:val="108"/>
                    <w:keepNext w:val="0"/>
                    <w:keepLines w:val="0"/>
                    <w:pageBreakBefore w:val="0"/>
                    <w:widowControl w:val="0"/>
                    <w:numPr>
                      <w:ilvl w:val="0"/>
                      <w:numId w:val="0"/>
                    </w:numPr>
                    <w:tabs>
                      <w:tab w:val="left" w:pos="-2848"/>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标准名称</w:t>
                  </w:r>
                </w:p>
              </w:tc>
              <w:tc>
                <w:tcPr>
                  <w:tcW w:w="696" w:type="pct"/>
                  <w:vAlign w:val="center"/>
                </w:tcPr>
                <w:p w14:paraId="5F73F5D0">
                  <w:pPr>
                    <w:pStyle w:val="108"/>
                    <w:keepNext w:val="0"/>
                    <w:keepLines w:val="0"/>
                    <w:pageBreakBefore w:val="0"/>
                    <w:widowControl w:val="0"/>
                    <w:tabs>
                      <w:tab w:val="left" w:pos="-2848"/>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浓度限值（mg/m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626" w:type="pct"/>
                  <w:vMerge w:val="continue"/>
                  <w:vAlign w:val="center"/>
                </w:tcPr>
                <w:p w14:paraId="4826446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0DD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81" w:type="pct"/>
                  <w:vAlign w:val="center"/>
                </w:tcPr>
                <w:p w14:paraId="530D49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29" w:type="pct"/>
                  <w:vMerge w:val="restart"/>
                  <w:vAlign w:val="center"/>
                </w:tcPr>
                <w:p w14:paraId="78EB599E">
                  <w:pPr>
                    <w:keepNext w:val="0"/>
                    <w:keepLines w:val="0"/>
                    <w:widowControl/>
                    <w:suppressLineNumbers w:val="0"/>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生产</w:t>
                  </w:r>
                </w:p>
                <w:p w14:paraId="304AB9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区域</w:t>
                  </w:r>
                </w:p>
              </w:tc>
              <w:tc>
                <w:tcPr>
                  <w:tcW w:w="664" w:type="pct"/>
                  <w:vAlign w:val="center"/>
                </w:tcPr>
                <w:p w14:paraId="3C6246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原料堆场</w:t>
                  </w:r>
                </w:p>
              </w:tc>
              <w:tc>
                <w:tcPr>
                  <w:tcW w:w="490" w:type="pct"/>
                  <w:vMerge w:val="restart"/>
                  <w:vAlign w:val="center"/>
                </w:tcPr>
                <w:p w14:paraId="18B8206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snapToGrid/>
                      <w:color w:val="000000" w:themeColor="text1"/>
                      <w:spacing w:val="0"/>
                      <w:kern w:val="0"/>
                      <w:position w:val="0"/>
                      <w:sz w:val="21"/>
                      <w:szCs w:val="21"/>
                      <w:vertAlign w:val="baseline"/>
                      <w:lang w:val="en-US" w:eastAsia="zh-CN" w:bidi="ar-SA"/>
                      <w14:textFill>
                        <w14:solidFill>
                          <w14:schemeClr w14:val="tx1"/>
                        </w14:solidFill>
                      </w14:textFill>
                    </w:rPr>
                    <w:t>颗粒物</w:t>
                  </w:r>
                </w:p>
              </w:tc>
              <w:tc>
                <w:tcPr>
                  <w:tcW w:w="962" w:type="pct"/>
                  <w:vAlign w:val="center"/>
                </w:tcPr>
                <w:p w14:paraId="33171417">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地面进行硬化处理，设置于生产厂房内，原料堆场安装固定式喷雾装置，下料区设置喷雾装置，物料装卸时进行喷淋作业，进出车辆需进行冲洗。</w:t>
                  </w:r>
                </w:p>
              </w:tc>
              <w:tc>
                <w:tcPr>
                  <w:tcW w:w="748" w:type="pct"/>
                  <w:vMerge w:val="restart"/>
                  <w:vAlign w:val="center"/>
                </w:tcPr>
                <w:p w14:paraId="4E174CA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《水泥工业大气污染物排放标准》（GB</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4915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2013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96" w:type="pct"/>
                  <w:vMerge w:val="restart"/>
                  <w:vAlign w:val="center"/>
                </w:tcPr>
                <w:p w14:paraId="25E990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w:t>
                  </w:r>
                </w:p>
              </w:tc>
              <w:tc>
                <w:tcPr>
                  <w:tcW w:w="626" w:type="pct"/>
                  <w:vAlign w:val="center"/>
                </w:tcPr>
                <w:p w14:paraId="64557EC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0.007</w:t>
                  </w:r>
                </w:p>
              </w:tc>
            </w:tr>
            <w:tr w14:paraId="55A8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81" w:type="pct"/>
                  <w:vAlign w:val="center"/>
                </w:tcPr>
                <w:p w14:paraId="71E3F5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429" w:type="pct"/>
                  <w:vMerge w:val="continue"/>
                  <w:vAlign w:val="center"/>
                </w:tcPr>
                <w:p w14:paraId="2047F00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64" w:type="pct"/>
                  <w:vAlign w:val="center"/>
                </w:tcPr>
                <w:p w14:paraId="2EB2F0F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w:t>
                  </w:r>
                </w:p>
              </w:tc>
              <w:tc>
                <w:tcPr>
                  <w:tcW w:w="490" w:type="pct"/>
                  <w:vMerge w:val="continue"/>
                  <w:vAlign w:val="center"/>
                </w:tcPr>
                <w:p w14:paraId="65F4325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962" w:type="pct"/>
                  <w:vAlign w:val="center"/>
                </w:tcPr>
                <w:p w14:paraId="3DAC8BB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筒仓置于设备楼内，筒仓顶部均设置脉冲式布袋除尘器</w:t>
                  </w:r>
                </w:p>
              </w:tc>
              <w:tc>
                <w:tcPr>
                  <w:tcW w:w="748" w:type="pct"/>
                  <w:vMerge w:val="continue"/>
                  <w:vAlign w:val="center"/>
                </w:tcPr>
                <w:p w14:paraId="3A94151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96" w:type="pct"/>
                  <w:vMerge w:val="continue"/>
                  <w:vAlign w:val="center"/>
                </w:tcPr>
                <w:p w14:paraId="471C56B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26" w:type="pct"/>
                  <w:vAlign w:val="center"/>
                </w:tcPr>
                <w:p w14:paraId="1EECDA4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0.031</w:t>
                  </w:r>
                </w:p>
              </w:tc>
            </w:tr>
            <w:tr w14:paraId="3E72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81" w:type="pct"/>
                  <w:vAlign w:val="center"/>
                </w:tcPr>
                <w:p w14:paraId="098CD9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p>
              </w:tc>
              <w:tc>
                <w:tcPr>
                  <w:tcW w:w="429" w:type="pct"/>
                  <w:vMerge w:val="continue"/>
                  <w:vAlign w:val="center"/>
                </w:tcPr>
                <w:p w14:paraId="67500B9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64" w:type="pct"/>
                  <w:vAlign w:val="center"/>
                </w:tcPr>
                <w:p w14:paraId="2DE7592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混凝土搅拌</w:t>
                  </w:r>
                </w:p>
              </w:tc>
              <w:tc>
                <w:tcPr>
                  <w:tcW w:w="490" w:type="pct"/>
                  <w:vMerge w:val="continue"/>
                  <w:vAlign w:val="center"/>
                </w:tcPr>
                <w:p w14:paraId="300E9B9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962" w:type="pct"/>
                  <w:vAlign w:val="center"/>
                </w:tcPr>
                <w:p w14:paraId="7F8D8FEB">
                  <w:pPr>
                    <w:keepNext w:val="0"/>
                    <w:keepLines w:val="0"/>
                    <w:widowControl/>
                    <w:suppressLineNumbers w:val="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搅拌机在半封闭的设备楼内，搅拌机顶部设置脉冲式布袋除尘器。</w:t>
                  </w:r>
                </w:p>
              </w:tc>
              <w:tc>
                <w:tcPr>
                  <w:tcW w:w="748" w:type="pct"/>
                  <w:vMerge w:val="continue"/>
                  <w:vAlign w:val="center"/>
                </w:tcPr>
                <w:p w14:paraId="758B52D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96" w:type="pct"/>
                  <w:vMerge w:val="continue"/>
                  <w:vAlign w:val="center"/>
                </w:tcPr>
                <w:p w14:paraId="49DABC6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26" w:type="pct"/>
                  <w:vAlign w:val="center"/>
                </w:tcPr>
                <w:p w14:paraId="6C7A20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0.186</w:t>
                  </w:r>
                </w:p>
              </w:tc>
            </w:tr>
            <w:tr w14:paraId="7E9B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81" w:type="pct"/>
                  <w:vAlign w:val="center"/>
                </w:tcPr>
                <w:p w14:paraId="23BBF4E5">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p>
              </w:tc>
              <w:tc>
                <w:tcPr>
                  <w:tcW w:w="429" w:type="pct"/>
                  <w:vMerge w:val="continue"/>
                  <w:vAlign w:val="center"/>
                </w:tcPr>
                <w:p w14:paraId="2F9F232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64" w:type="pct"/>
                  <w:vAlign w:val="center"/>
                </w:tcPr>
                <w:p w14:paraId="1BA63D0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预拌砂浆搅拌</w:t>
                  </w:r>
                </w:p>
              </w:tc>
              <w:tc>
                <w:tcPr>
                  <w:tcW w:w="490" w:type="pct"/>
                  <w:vMerge w:val="continue"/>
                  <w:vAlign w:val="center"/>
                </w:tcPr>
                <w:p w14:paraId="0524CA9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962" w:type="pct"/>
                  <w:vAlign w:val="center"/>
                </w:tcPr>
                <w:p w14:paraId="1DA48931">
                  <w:pPr>
                    <w:keepNext w:val="0"/>
                    <w:keepLines w:val="0"/>
                    <w:widowControl/>
                    <w:suppressLineNumbers w:val="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厂区道路全部硬化，运输车辆加盖篷布，严禁超载，杜绝汽车抛洒，保持车体整洁，净车上路。每日进行地面清洁，减少地面扬尘，道路两侧设置固定喷雾降尘或移动式雾炮降尘。进出车辆需进行冲洗。</w:t>
                  </w:r>
                </w:p>
              </w:tc>
              <w:tc>
                <w:tcPr>
                  <w:tcW w:w="748" w:type="pct"/>
                  <w:vMerge w:val="continue"/>
                  <w:vAlign w:val="center"/>
                </w:tcPr>
                <w:p w14:paraId="5616D52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96" w:type="pct"/>
                  <w:vMerge w:val="continue"/>
                  <w:vAlign w:val="center"/>
                </w:tcPr>
                <w:p w14:paraId="6D52FCF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26" w:type="pct"/>
                  <w:vAlign w:val="center"/>
                </w:tcPr>
                <w:p w14:paraId="1C6869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0.032</w:t>
                  </w:r>
                </w:p>
              </w:tc>
            </w:tr>
            <w:tr w14:paraId="7FD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81" w:type="pct"/>
                  <w:vAlign w:val="center"/>
                </w:tcPr>
                <w:p w14:paraId="77E33A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c>
                <w:tcPr>
                  <w:tcW w:w="429" w:type="pct"/>
                  <w:vMerge w:val="continue"/>
                  <w:vAlign w:val="center"/>
                </w:tcPr>
                <w:p w14:paraId="1BA721D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64" w:type="pct"/>
                  <w:vAlign w:val="center"/>
                </w:tcPr>
                <w:p w14:paraId="7FF4CD0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运输车辆</w:t>
                  </w:r>
                </w:p>
              </w:tc>
              <w:tc>
                <w:tcPr>
                  <w:tcW w:w="490" w:type="pct"/>
                  <w:vMerge w:val="continue"/>
                  <w:vAlign w:val="center"/>
                </w:tcPr>
                <w:p w14:paraId="6BAC484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962" w:type="pct"/>
                  <w:vAlign w:val="center"/>
                </w:tcPr>
                <w:p w14:paraId="6894930E">
                  <w:pPr>
                    <w:keepNext w:val="0"/>
                    <w:keepLines w:val="0"/>
                    <w:widowControl/>
                    <w:suppressLineNumbers w:val="0"/>
                    <w:jc w:val="both"/>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地面进行硬化处理，设置于生产厂房内，原料堆场安装固定式喷雾装置，下料区设置喷雾装置，物料装卸时进行喷淋作业，进出车辆需进行冲洗。</w:t>
                  </w:r>
                </w:p>
              </w:tc>
              <w:tc>
                <w:tcPr>
                  <w:tcW w:w="748" w:type="pct"/>
                  <w:vMerge w:val="continue"/>
                  <w:vAlign w:val="center"/>
                </w:tcPr>
                <w:p w14:paraId="2FC2442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96" w:type="pct"/>
                  <w:vMerge w:val="continue"/>
                  <w:vAlign w:val="center"/>
                </w:tcPr>
                <w:p w14:paraId="0322641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626" w:type="pct"/>
                  <w:vAlign w:val="center"/>
                </w:tcPr>
                <w:p w14:paraId="5389A8E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0.389</w:t>
                  </w:r>
                </w:p>
              </w:tc>
            </w:tr>
            <w:tr w14:paraId="6FBB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vAlign w:val="center"/>
                </w:tcPr>
                <w:p w14:paraId="74D018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14:textFill>
                        <w14:solidFill>
                          <w14:schemeClr w14:val="tx1"/>
                        </w14:solidFill>
                      </w14:textFill>
                    </w:rPr>
                    <w:t>无组织排放总计</w:t>
                  </w:r>
                </w:p>
              </w:tc>
            </w:tr>
            <w:tr w14:paraId="1538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5" w:type="pct"/>
                  <w:gridSpan w:val="3"/>
                  <w:vAlign w:val="center"/>
                </w:tcPr>
                <w:p w14:paraId="49BB81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总计</w:t>
                  </w:r>
                </w:p>
              </w:tc>
              <w:tc>
                <w:tcPr>
                  <w:tcW w:w="490" w:type="pct"/>
                  <w:vAlign w:val="center"/>
                </w:tcPr>
                <w:p w14:paraId="0AF9A4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snapToGrid/>
                      <w:color w:val="000000" w:themeColor="text1"/>
                      <w:spacing w:val="0"/>
                      <w:kern w:val="0"/>
                      <w:position w:val="0"/>
                      <w:sz w:val="21"/>
                      <w:szCs w:val="21"/>
                      <w:vertAlign w:val="baseline"/>
                      <w:lang w:val="en-US" w:eastAsia="zh-CN" w:bidi="ar-SA"/>
                      <w14:textFill>
                        <w14:solidFill>
                          <w14:schemeClr w14:val="tx1"/>
                        </w14:solidFill>
                      </w14:textFill>
                    </w:rPr>
                    <w:t>颗粒物</w:t>
                  </w:r>
                </w:p>
              </w:tc>
              <w:tc>
                <w:tcPr>
                  <w:tcW w:w="3033" w:type="pct"/>
                  <w:gridSpan w:val="4"/>
                  <w:vAlign w:val="center"/>
                </w:tcPr>
                <w:p w14:paraId="63052A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0.645</w:t>
                  </w:r>
                </w:p>
              </w:tc>
            </w:tr>
          </w:tbl>
          <w:p w14:paraId="6D848EDD">
            <w:pPr>
              <w:keepNext w:val="0"/>
              <w:keepLines w:val="0"/>
              <w:pageBreakBefore w:val="0"/>
              <w:widowControl w:val="0"/>
              <w:kinsoku/>
              <w:wordWrap/>
              <w:overflowPunct/>
              <w:topLinePunct w:val="0"/>
              <w:autoSpaceDE/>
              <w:autoSpaceDN/>
              <w:bidi w:val="0"/>
              <w:adjustRightInd/>
              <w:snapToGrid/>
              <w:spacing w:before="157" w:beforeLines="50"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7</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大气污染物年排放量核算表</w:t>
            </w:r>
          </w:p>
          <w:tbl>
            <w:tblPr>
              <w:tblStyle w:val="28"/>
              <w:tblW w:w="8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2747"/>
              <w:gridCol w:w="2747"/>
            </w:tblGrid>
            <w:tr w14:paraId="67DA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7" w:type="dxa"/>
                  <w:vAlign w:val="center"/>
                </w:tcPr>
                <w:p w14:paraId="48C1843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2747" w:type="dxa"/>
                  <w:vAlign w:val="center"/>
                </w:tcPr>
                <w:p w14:paraId="3E538B3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污染物</w:t>
                  </w:r>
                </w:p>
              </w:tc>
              <w:tc>
                <w:tcPr>
                  <w:tcW w:w="2747" w:type="dxa"/>
                  <w:vAlign w:val="center"/>
                </w:tcPr>
                <w:p w14:paraId="3F1E45EA">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8"/>
                      <w:sz w:val="21"/>
                      <w:szCs w:val="21"/>
                      <w14:textFill>
                        <w14:solidFill>
                          <w14:schemeClr w14:val="tx1"/>
                        </w14:solidFill>
                      </w14:textFill>
                    </w:rPr>
                    <w:t>年排放量</w:t>
                  </w:r>
                  <w:r>
                    <w:rPr>
                      <w:rFonts w:hint="eastAsia" w:ascii="Times New Roman" w:hAnsi="Times New Roman" w:eastAsia="宋体" w:cs="Times New Roman"/>
                      <w:b/>
                      <w:bCs/>
                      <w:color w:val="000000" w:themeColor="text1"/>
                      <w:spacing w:val="8"/>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1"/>
                      <w:sz w:val="21"/>
                      <w:szCs w:val="21"/>
                      <w14:textFill>
                        <w14:solidFill>
                          <w14:schemeClr w14:val="tx1"/>
                        </w14:solidFill>
                      </w14:textFill>
                    </w:rPr>
                    <w:t>t/a</w:t>
                  </w:r>
                  <w:r>
                    <w:rPr>
                      <w:rFonts w:hint="eastAsia" w:ascii="Times New Roman" w:hAnsi="Times New Roman" w:eastAsia="宋体" w:cs="Times New Roman"/>
                      <w:b/>
                      <w:bCs/>
                      <w:color w:val="000000" w:themeColor="text1"/>
                      <w:spacing w:val="8"/>
                      <w:sz w:val="21"/>
                      <w:szCs w:val="21"/>
                      <w:lang w:eastAsia="zh-CN"/>
                      <w14:textFill>
                        <w14:solidFill>
                          <w14:schemeClr w14:val="tx1"/>
                        </w14:solidFill>
                      </w14:textFill>
                    </w:rPr>
                    <w:t>）</w:t>
                  </w:r>
                </w:p>
              </w:tc>
            </w:tr>
            <w:tr w14:paraId="2FB3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7" w:type="dxa"/>
                  <w:vAlign w:val="center"/>
                </w:tcPr>
                <w:p w14:paraId="0F0DCA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2747" w:type="dxa"/>
                  <w:vAlign w:val="center"/>
                </w:tcPr>
                <w:p w14:paraId="263720C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sz w:val="21"/>
                      <w:szCs w:val="21"/>
                      <w:vertAlign w:val="baseline"/>
                      <w:lang w:val="en-US" w:eastAsia="zh-CN" w:bidi="ar-SA"/>
                      <w14:textFill>
                        <w14:solidFill>
                          <w14:schemeClr w14:val="tx1"/>
                        </w14:solidFill>
                      </w14:textFill>
                    </w:rPr>
                    <w:t>颗粒物</w:t>
                  </w:r>
                </w:p>
              </w:tc>
              <w:tc>
                <w:tcPr>
                  <w:tcW w:w="2747" w:type="dxa"/>
                  <w:vAlign w:val="center"/>
                </w:tcPr>
                <w:p w14:paraId="719DD2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0.645</w:t>
                  </w:r>
                </w:p>
              </w:tc>
            </w:tr>
          </w:tbl>
          <w:p w14:paraId="68EECFFF">
            <w:pPr>
              <w:pStyle w:val="67"/>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7</w:t>
            </w: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）监测计划</w:t>
            </w:r>
          </w:p>
          <w:p w14:paraId="1E0ADDCA">
            <w:pPr>
              <w:pStyle w:val="6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snapToGrid/>
                <w:color w:val="000000" w:themeColor="text1"/>
                <w:spacing w:val="0"/>
                <w:kern w:val="0"/>
                <w:position w:val="0"/>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根据《排污单位自行监测技术指南 水泥工业》（</w:t>
            </w:r>
            <w:r>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HJ8</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48</w:t>
            </w:r>
            <w:r>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-2017</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），厂区废气监测计划如下表所示：</w:t>
            </w:r>
          </w:p>
          <w:p w14:paraId="0D60FFBB">
            <w:pPr>
              <w:pStyle w:val="100"/>
              <w:spacing w:beforeLines="0"/>
              <w:rPr>
                <w:rFonts w:hAnsi="Times New Roman"/>
                <w:snapToGrid/>
                <w:color w:val="000000" w:themeColor="text1"/>
                <w:spacing w:val="0"/>
                <w:kern w:val="0"/>
                <w:position w:val="0"/>
                <w:sz w:val="21"/>
                <w:szCs w:val="21"/>
                <w14:textFill>
                  <w14:solidFill>
                    <w14:schemeClr w14:val="tx1"/>
                  </w14:solidFill>
                </w14:textFill>
              </w:rPr>
            </w:pPr>
            <w:r>
              <w:rPr>
                <w:rFonts w:hAnsi="Times New Roman"/>
                <w:snapToGrid/>
                <w:color w:val="000000" w:themeColor="text1"/>
                <w:spacing w:val="0"/>
                <w:kern w:val="0"/>
                <w:position w:val="0"/>
                <w:sz w:val="21"/>
                <w:szCs w:val="21"/>
                <w14:textFill>
                  <w14:solidFill>
                    <w14:schemeClr w14:val="tx1"/>
                  </w14:solidFill>
                </w14:textFill>
              </w:rPr>
              <w:t>表</w:t>
            </w:r>
            <w:r>
              <w:rPr>
                <w:rFonts w:hint="eastAsia" w:hAnsi="Times New Roman"/>
                <w:snapToGrid/>
                <w:color w:val="000000" w:themeColor="text1"/>
                <w:spacing w:val="0"/>
                <w:kern w:val="0"/>
                <w:position w:val="0"/>
                <w:sz w:val="21"/>
                <w:szCs w:val="21"/>
                <w14:textFill>
                  <w14:solidFill>
                    <w14:schemeClr w14:val="tx1"/>
                  </w14:solidFill>
                </w14:textFill>
              </w:rPr>
              <w:t>4-</w:t>
            </w:r>
            <w:r>
              <w:rPr>
                <w:rFonts w:hint="eastAsia" w:hAnsi="Times New Roman"/>
                <w:snapToGrid/>
                <w:color w:val="000000" w:themeColor="text1"/>
                <w:spacing w:val="0"/>
                <w:kern w:val="0"/>
                <w:position w:val="0"/>
                <w:sz w:val="21"/>
                <w:szCs w:val="21"/>
                <w:lang w:val="en-US" w:eastAsia="zh-CN"/>
                <w14:textFill>
                  <w14:solidFill>
                    <w14:schemeClr w14:val="tx1"/>
                  </w14:solidFill>
                </w14:textFill>
              </w:rPr>
              <w:t>8</w:t>
            </w:r>
            <w:r>
              <w:rPr>
                <w:rFonts w:hAnsi="Times New Roman"/>
                <w:snapToGrid/>
                <w:color w:val="000000" w:themeColor="text1"/>
                <w:spacing w:val="0"/>
                <w:kern w:val="0"/>
                <w:position w:val="0"/>
                <w:sz w:val="21"/>
                <w:szCs w:val="21"/>
                <w14:textFill>
                  <w14:solidFill>
                    <w14:schemeClr w14:val="tx1"/>
                  </w14:solidFill>
                </w14:textFill>
              </w:rPr>
              <w:t xml:space="preserve">  运营期污染源监测计划一览表</w:t>
            </w:r>
          </w:p>
          <w:tbl>
            <w:tblPr>
              <w:tblStyle w:val="81"/>
              <w:tblW w:w="49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2093"/>
              <w:gridCol w:w="1090"/>
              <w:gridCol w:w="1865"/>
              <w:gridCol w:w="1861"/>
            </w:tblGrid>
            <w:tr w14:paraId="17DE9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7" w:type="pct"/>
                  <w:tcBorders>
                    <w:tl2br w:val="nil"/>
                    <w:tr2bl w:val="nil"/>
                  </w:tcBorders>
                  <w:vAlign w:val="center"/>
                </w:tcPr>
                <w:p w14:paraId="138CF5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监测项目</w:t>
                  </w:r>
                </w:p>
              </w:tc>
              <w:tc>
                <w:tcPr>
                  <w:tcW w:w="1276" w:type="pct"/>
                  <w:tcBorders>
                    <w:tl2br w:val="nil"/>
                    <w:tr2bl w:val="nil"/>
                  </w:tcBorders>
                  <w:vAlign w:val="center"/>
                </w:tcPr>
                <w:p w14:paraId="588126E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监测点位置</w:t>
                  </w:r>
                </w:p>
              </w:tc>
              <w:tc>
                <w:tcPr>
                  <w:tcW w:w="664" w:type="pct"/>
                  <w:tcBorders>
                    <w:tl2br w:val="nil"/>
                    <w:tr2bl w:val="nil"/>
                  </w:tcBorders>
                  <w:vAlign w:val="center"/>
                </w:tcPr>
                <w:p w14:paraId="3170C2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监测频次</w:t>
                  </w:r>
                </w:p>
              </w:tc>
              <w:tc>
                <w:tcPr>
                  <w:tcW w:w="1137" w:type="pct"/>
                  <w:tcBorders>
                    <w:tl2br w:val="nil"/>
                    <w:tr2bl w:val="nil"/>
                  </w:tcBorders>
                  <w:vAlign w:val="center"/>
                </w:tcPr>
                <w:p w14:paraId="3D49B1A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eastAsia" w:cs="Times New Roman"/>
                      <w:b/>
                      <w:bCs/>
                      <w:color w:val="000000" w:themeColor="text1"/>
                      <w:spacing w:val="0"/>
                      <w:sz w:val="21"/>
                      <w:szCs w:val="21"/>
                      <w:lang w:val="en-US" w:eastAsia="zh-CN"/>
                      <w14:textFill>
                        <w14:solidFill>
                          <w14:schemeClr w14:val="tx1"/>
                        </w14:solidFill>
                      </w14:textFill>
                    </w:rPr>
                    <w:t>标准限值（mg/m</w:t>
                  </w:r>
                  <w:r>
                    <w:rPr>
                      <w:rFonts w:hint="eastAsia" w:cs="Times New Roman"/>
                      <w:b/>
                      <w:bCs/>
                      <w:color w:val="000000" w:themeColor="text1"/>
                      <w:spacing w:val="0"/>
                      <w:sz w:val="21"/>
                      <w:szCs w:val="21"/>
                      <w:vertAlign w:val="superscript"/>
                      <w:lang w:val="en-US" w:eastAsia="zh-CN"/>
                      <w14:textFill>
                        <w14:solidFill>
                          <w14:schemeClr w14:val="tx1"/>
                        </w14:solidFill>
                      </w14:textFill>
                    </w:rPr>
                    <w:t>3</w:t>
                  </w:r>
                  <w:r>
                    <w:rPr>
                      <w:rFonts w:hint="eastAsia" w:cs="Times New Roman"/>
                      <w:b/>
                      <w:bCs/>
                      <w:color w:val="000000" w:themeColor="text1"/>
                      <w:spacing w:val="0"/>
                      <w:sz w:val="21"/>
                      <w:szCs w:val="21"/>
                      <w:lang w:val="en-US" w:eastAsia="zh-CN"/>
                      <w14:textFill>
                        <w14:solidFill>
                          <w14:schemeClr w14:val="tx1"/>
                        </w14:solidFill>
                      </w14:textFill>
                    </w:rPr>
                    <w:t>）</w:t>
                  </w:r>
                </w:p>
              </w:tc>
              <w:tc>
                <w:tcPr>
                  <w:tcW w:w="1134" w:type="pct"/>
                  <w:tcBorders>
                    <w:tl2br w:val="nil"/>
                    <w:tr2bl w:val="nil"/>
                  </w:tcBorders>
                  <w:vAlign w:val="center"/>
                </w:tcPr>
                <w:p w14:paraId="20F97E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执行排放标准</w:t>
                  </w:r>
                </w:p>
              </w:tc>
            </w:tr>
            <w:tr w14:paraId="1968A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7" w:type="pct"/>
                  <w:tcBorders>
                    <w:tl2br w:val="nil"/>
                    <w:tr2bl w:val="nil"/>
                  </w:tcBorders>
                  <w:vAlign w:val="center"/>
                </w:tcPr>
                <w:p w14:paraId="2E4E5E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TSP</w:t>
                  </w:r>
                </w:p>
              </w:tc>
              <w:tc>
                <w:tcPr>
                  <w:tcW w:w="1276" w:type="pct"/>
                  <w:tcBorders>
                    <w:tl2br w:val="nil"/>
                    <w:tr2bl w:val="nil"/>
                  </w:tcBorders>
                  <w:vAlign w:val="center"/>
                </w:tcPr>
                <w:p w14:paraId="2378E45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厂界</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上风向1个，下风向3个</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664" w:type="pct"/>
                  <w:tcBorders>
                    <w:tl2br w:val="nil"/>
                    <w:tr2bl w:val="nil"/>
                  </w:tcBorders>
                  <w:vAlign w:val="center"/>
                </w:tcPr>
                <w:p w14:paraId="58D01D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1次</w:t>
                  </w:r>
                  <w:r>
                    <w:rPr>
                      <w:rFonts w:hint="eastAsia" w:cs="Times New Roman"/>
                      <w:color w:val="000000" w:themeColor="text1"/>
                      <w:spacing w:val="0"/>
                      <w:sz w:val="21"/>
                      <w:szCs w:val="21"/>
                      <w:lang w:val="en-US" w:eastAsia="zh-CN"/>
                      <w14:textFill>
                        <w14:solidFill>
                          <w14:schemeClr w14:val="tx1"/>
                        </w14:solidFill>
                      </w14:textFill>
                    </w:rPr>
                    <w:t>/季度</w:t>
                  </w:r>
                </w:p>
              </w:tc>
              <w:tc>
                <w:tcPr>
                  <w:tcW w:w="1137" w:type="pct"/>
                  <w:tcBorders>
                    <w:tl2br w:val="nil"/>
                    <w:tr2bl w:val="nil"/>
                  </w:tcBorders>
                  <w:vAlign w:val="center"/>
                </w:tcPr>
                <w:p w14:paraId="6EA3B1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cs="Times New Roman"/>
                      <w:color w:val="000000" w:themeColor="text1"/>
                      <w:spacing w:val="0"/>
                      <w:sz w:val="21"/>
                      <w:szCs w:val="21"/>
                      <w:lang w:val="en-US" w:eastAsia="zh-CN"/>
                      <w14:textFill>
                        <w14:solidFill>
                          <w14:schemeClr w14:val="tx1"/>
                        </w14:solidFill>
                      </w14:textFill>
                    </w:rPr>
                    <w:t>0.5</w:t>
                  </w:r>
                </w:p>
              </w:tc>
              <w:tc>
                <w:tcPr>
                  <w:tcW w:w="1134" w:type="pct"/>
                  <w:tcBorders>
                    <w:tl2br w:val="nil"/>
                    <w:tr2bl w:val="nil"/>
                  </w:tcBorders>
                  <w:vAlign w:val="center"/>
                </w:tcPr>
                <w:p w14:paraId="563F1C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lang w:val="en-US"/>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《水泥工业大气污染物排放标准》（GB</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4915</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2013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p>
              </w:tc>
            </w:tr>
          </w:tbl>
          <w:p w14:paraId="6A2C5D8E">
            <w:pPr>
              <w:pStyle w:val="67"/>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b/>
                <w:bCs/>
                <w:snapToGrid/>
                <w:color w:val="000000" w:themeColor="text1"/>
                <w:spacing w:val="0"/>
                <w:kern w:val="0"/>
                <w:position w:val="0"/>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14:textFill>
                  <w14:solidFill>
                    <w14:schemeClr w14:val="tx1"/>
                  </w14:solidFill>
                </w14:textFill>
              </w:rPr>
              <w:t>2、废水</w:t>
            </w:r>
          </w:p>
          <w:p w14:paraId="2548710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（1）产排情况</w:t>
            </w:r>
          </w:p>
          <w:p w14:paraId="0FCF765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本项目运营期</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废水为生活污水、生产废水及初期雨水</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7F450A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1）</w:t>
            </w:r>
            <w:r>
              <w:rPr>
                <w:rFonts w:hint="eastAsia" w:cs="Times New Roman"/>
                <w:snapToGrid/>
                <w:color w:val="000000" w:themeColor="text1"/>
                <w:spacing w:val="0"/>
                <w:kern w:val="0"/>
                <w:position w:val="0"/>
                <w:sz w:val="24"/>
                <w:lang w:val="en-US" w:eastAsia="zh-CN"/>
                <w14:textFill>
                  <w14:solidFill>
                    <w14:schemeClr w14:val="tx1"/>
                  </w14:solidFill>
                </w14:textFill>
              </w:rPr>
              <w:t>生活污水</w:t>
            </w:r>
          </w:p>
          <w:p w14:paraId="35470C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本项目生活污水产生量为</w:t>
            </w:r>
            <w:r>
              <w:rPr>
                <w:rFonts w:hint="eastAsia" w:ascii="Times New Roman" w:hAnsi="Times New Roman" w:cs="Times New Roman"/>
                <w:color w:val="000000" w:themeColor="text1"/>
                <w:sz w:val="24"/>
                <w:szCs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240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经化粪池处理达</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《农田灌溉水质标准》（GB5084-2021）中旱地作物标准限值后用于</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厂区</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绿化，不外排</w:t>
            </w:r>
            <w:r>
              <w:rPr>
                <w:rFonts w:hint="eastAsia" w:ascii="Times New Roman" w:hAnsi="Times New Roman" w:eastAsia="宋体" w:cs="Times New Roman"/>
                <w:snapToGrid/>
                <w:color w:val="000000" w:themeColor="text1"/>
                <w:spacing w:val="0"/>
                <w:kern w:val="2"/>
                <w:position w:val="0"/>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生活污水中的主要污染物为</w:t>
            </w:r>
            <w:r>
              <w:rPr>
                <w:rFonts w:hint="eastAsia" w:cs="Times New Roman"/>
                <w:b w:val="0"/>
                <w:bCs w:val="0"/>
                <w:color w:val="000000" w:themeColor="text1"/>
                <w:spacing w:val="0"/>
                <w:sz w:val="24"/>
                <w:szCs w:val="24"/>
                <w:lang w:val="en-US" w:eastAsia="zh-CN"/>
                <w14:textFill>
                  <w14:solidFill>
                    <w14:schemeClr w14:val="tx1"/>
                  </w14:solidFill>
                </w14:textFill>
              </w:rPr>
              <w:t>pH、</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COD、BOD</w:t>
            </w:r>
            <w:r>
              <w:rPr>
                <w:rFonts w:hint="eastAsia" w:ascii="Times New Roman" w:hAnsi="Times New Roman" w:eastAsia="宋体" w:cs="Times New Roman"/>
                <w:b w:val="0"/>
                <w:bCs w:val="0"/>
                <w:color w:val="000000" w:themeColor="text1"/>
                <w:spacing w:val="0"/>
                <w:sz w:val="24"/>
                <w:szCs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、SS、NH</w:t>
            </w:r>
            <w:r>
              <w:rPr>
                <w:rFonts w:hint="eastAsia" w:ascii="Times New Roman" w:hAnsi="Times New Roman" w:eastAsia="宋体" w:cs="Times New Roman"/>
                <w:b w:val="0"/>
                <w:bCs w:val="0"/>
                <w:color w:val="000000" w:themeColor="text1"/>
                <w:spacing w:val="0"/>
                <w:sz w:val="24"/>
                <w:szCs w:val="24"/>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-N。根据《排放源统计调查产排污核算方法和系数手册》“附3 生活源产排污系数手册”，本项目位于江西省，属于第四区，生活污水中的COD、NH</w:t>
            </w:r>
            <w:r>
              <w:rPr>
                <w:rFonts w:hint="eastAsia" w:ascii="Times New Roman" w:hAnsi="Times New Roman" w:eastAsia="宋体" w:cs="Times New Roman"/>
                <w:b w:val="0"/>
                <w:bCs w:val="0"/>
                <w:color w:val="000000" w:themeColor="text1"/>
                <w:spacing w:val="0"/>
                <w:sz w:val="24"/>
                <w:szCs w:val="24"/>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-N浓度分别按340mg/L、32.6mg/L计；根据城市生活污水水质状况，生活污水中的BOD</w:t>
            </w:r>
            <w:r>
              <w:rPr>
                <w:rFonts w:hint="eastAsia" w:ascii="Times New Roman" w:hAnsi="Times New Roman" w:eastAsia="宋体" w:cs="Times New Roman"/>
                <w:b w:val="0"/>
                <w:bCs w:val="0"/>
                <w:color w:val="000000" w:themeColor="text1"/>
                <w:spacing w:val="0"/>
                <w:sz w:val="24"/>
                <w:szCs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、SS浓度分别按150mg/L、200mg/L计。</w:t>
            </w:r>
            <w:r>
              <w:rPr>
                <w:rFonts w:hint="eastAsia" w:cs="Times New Roman"/>
                <w:b w:val="0"/>
                <w:bCs w:val="0"/>
                <w:color w:val="000000" w:themeColor="text1"/>
                <w:spacing w:val="0"/>
                <w:sz w:val="24"/>
                <w:szCs w:val="24"/>
                <w:lang w:val="en-US" w:eastAsia="zh-CN"/>
                <w14:textFill>
                  <w14:solidFill>
                    <w14:schemeClr w14:val="tx1"/>
                  </w14:solidFill>
                </w14:textFill>
              </w:rPr>
              <w:t>生活污水的处理情况见表4-9。</w:t>
            </w:r>
          </w:p>
          <w:p w14:paraId="295BA060">
            <w:pPr>
              <w:pStyle w:val="100"/>
              <w:spacing w:beforeLines="0"/>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4-</w:t>
            </w:r>
            <w:r>
              <w:rPr>
                <w:rFonts w:hint="eastAsia" w:hAnsi="Times New Roman" w:cs="Times New Roman"/>
                <w:snapToGrid/>
                <w:color w:val="000000" w:themeColor="text1"/>
                <w:spacing w:val="0"/>
                <w:kern w:val="0"/>
                <w:position w:val="0"/>
                <w:sz w:val="21"/>
                <w:szCs w:val="21"/>
                <w:lang w:val="en-US" w:eastAsia="zh-CN"/>
                <w14:textFill>
                  <w14:solidFill>
                    <w14:schemeClr w14:val="tx1"/>
                  </w14:solidFill>
                </w14:textFill>
              </w:rPr>
              <w:t>9</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项目</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生活污水</w:t>
            </w:r>
            <w:r>
              <w:rPr>
                <w:rFonts w:hint="eastAsia" w:hAnsi="Times New Roman" w:cs="Times New Roman"/>
                <w:snapToGrid/>
                <w:color w:val="000000" w:themeColor="text1"/>
                <w:spacing w:val="0"/>
                <w:kern w:val="0"/>
                <w:position w:val="0"/>
                <w:sz w:val="21"/>
                <w:szCs w:val="21"/>
                <w:lang w:val="en-US" w:eastAsia="zh-CN"/>
                <w14:textFill>
                  <w14:solidFill>
                    <w14:schemeClr w14:val="tx1"/>
                  </w14:solidFill>
                </w14:textFill>
              </w:rPr>
              <w:t>处理</w:t>
            </w: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情况一览表</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 xml:space="preserve">  单位：mg/L，pH无量纲</w:t>
            </w:r>
          </w:p>
          <w:tbl>
            <w:tblPr>
              <w:tblStyle w:val="27"/>
              <w:tblW w:w="499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25"/>
              <w:gridCol w:w="1069"/>
              <w:gridCol w:w="1164"/>
              <w:gridCol w:w="724"/>
              <w:gridCol w:w="980"/>
              <w:gridCol w:w="985"/>
              <w:gridCol w:w="1079"/>
              <w:gridCol w:w="1084"/>
            </w:tblGrid>
            <w:tr w14:paraId="1AF7692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85"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B41992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359"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7765FA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产生情况</w:t>
                  </w:r>
                </w:p>
              </w:tc>
              <w:tc>
                <w:tcPr>
                  <w:tcW w:w="440"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9EE8E0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处理措施</w:t>
                  </w:r>
                </w:p>
              </w:tc>
              <w:tc>
                <w:tcPr>
                  <w:tcW w:w="2514" w:type="pct"/>
                  <w:gridSpan w:val="4"/>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CF7585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eastAsia" w:cs="Times New Roman"/>
                      <w:b/>
                      <w:bCs/>
                      <w:i w:val="0"/>
                      <w:iCs w:val="0"/>
                      <w:color w:val="auto"/>
                      <w:kern w:val="0"/>
                      <w:sz w:val="21"/>
                      <w:szCs w:val="21"/>
                      <w:u w:val="none"/>
                      <w:lang w:val="en-US" w:eastAsia="zh-CN" w:bidi="ar"/>
                    </w:rPr>
                    <w:t>处理</w:t>
                  </w:r>
                  <w:r>
                    <w:rPr>
                      <w:rFonts w:hint="default" w:ascii="Times New Roman" w:hAnsi="Times New Roman" w:eastAsia="宋体" w:cs="Times New Roman"/>
                      <w:b/>
                      <w:bCs/>
                      <w:i w:val="0"/>
                      <w:iCs w:val="0"/>
                      <w:color w:val="auto"/>
                      <w:kern w:val="0"/>
                      <w:sz w:val="21"/>
                      <w:szCs w:val="21"/>
                      <w:u w:val="none"/>
                      <w:lang w:val="en-US" w:eastAsia="zh-CN" w:bidi="ar"/>
                    </w:rPr>
                    <w:t>情况</w:t>
                  </w:r>
                </w:p>
              </w:tc>
            </w:tr>
            <w:tr w14:paraId="525E392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AA2CA85">
                  <w:pPr>
                    <w:jc w:val="center"/>
                    <w:rPr>
                      <w:rFonts w:hint="default" w:ascii="Times New Roman" w:hAnsi="Times New Roman" w:eastAsia="宋体" w:cs="Times New Roman"/>
                      <w:b/>
                      <w:bCs/>
                      <w:i w:val="0"/>
                      <w:iCs w:val="0"/>
                      <w:color w:val="auto"/>
                      <w:kern w:val="0"/>
                      <w:sz w:val="21"/>
                      <w:szCs w:val="21"/>
                      <w:u w:val="none"/>
                    </w:rPr>
                  </w:pP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1A1A0A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产生浓度mg/L</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2F54A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产生量t/a</w:t>
                  </w:r>
                </w:p>
              </w:tc>
              <w:tc>
                <w:tcPr>
                  <w:tcW w:w="440"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355B461">
                  <w:pPr>
                    <w:jc w:val="center"/>
                    <w:rPr>
                      <w:rFonts w:hint="default" w:ascii="Times New Roman" w:hAnsi="Times New Roman" w:eastAsia="宋体" w:cs="Times New Roman"/>
                      <w:b/>
                      <w:bCs/>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36C207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AD0995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eastAsia" w:cs="Times New Roman"/>
                      <w:b/>
                      <w:bCs/>
                      <w:i w:val="0"/>
                      <w:iCs w:val="0"/>
                      <w:color w:val="auto"/>
                      <w:kern w:val="0"/>
                      <w:sz w:val="21"/>
                      <w:szCs w:val="21"/>
                      <w:u w:val="none"/>
                      <w:lang w:val="en-US" w:eastAsia="zh-CN" w:bidi="ar"/>
                    </w:rPr>
                    <w:t>处理后</w:t>
                  </w:r>
                  <w:r>
                    <w:rPr>
                      <w:rFonts w:hint="default" w:ascii="Times New Roman" w:hAnsi="Times New Roman" w:eastAsia="宋体" w:cs="Times New Roman"/>
                      <w:b/>
                      <w:bCs/>
                      <w:i w:val="0"/>
                      <w:iCs w:val="0"/>
                      <w:color w:val="auto"/>
                      <w:kern w:val="0"/>
                      <w:sz w:val="21"/>
                      <w:szCs w:val="21"/>
                      <w:u w:val="none"/>
                      <w:lang w:val="en-US" w:eastAsia="zh-CN" w:bidi="ar"/>
                    </w:rPr>
                    <w:t>浓度mg/L</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5EEB1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eastAsia" w:cs="Times New Roman"/>
                      <w:b/>
                      <w:bCs/>
                      <w:i w:val="0"/>
                      <w:iCs w:val="0"/>
                      <w:color w:val="auto"/>
                      <w:kern w:val="0"/>
                      <w:sz w:val="21"/>
                      <w:szCs w:val="21"/>
                      <w:u w:val="none"/>
                      <w:lang w:val="en-US" w:eastAsia="zh-CN" w:bidi="ar"/>
                    </w:rPr>
                    <w:t>处理后</w:t>
                  </w:r>
                  <w:r>
                    <w:rPr>
                      <w:rFonts w:hint="default" w:ascii="Times New Roman" w:hAnsi="Times New Roman" w:eastAsia="宋体" w:cs="Times New Roman"/>
                      <w:b/>
                      <w:bCs/>
                      <w:i w:val="0"/>
                      <w:iCs w:val="0"/>
                      <w:color w:val="auto"/>
                      <w:kern w:val="0"/>
                      <w:sz w:val="21"/>
                      <w:szCs w:val="21"/>
                      <w:u w:val="none"/>
                      <w:lang w:val="en-US" w:eastAsia="zh-CN" w:bidi="ar"/>
                    </w:rPr>
                    <w:t>量t/a</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85DEF2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标准mg/L</w:t>
                  </w:r>
                </w:p>
              </w:tc>
            </w:tr>
            <w:tr w14:paraId="44AFA0A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1C15DA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1100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28516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rPr>
                  </w:pPr>
                  <w:r>
                    <w:rPr>
                      <w:rFonts w:hint="eastAsia" w:cs="Times New Roman"/>
                      <w:b w:val="0"/>
                      <w:bCs w:val="0"/>
                      <w:i w:val="0"/>
                      <w:iCs w:val="0"/>
                      <w:color w:val="auto"/>
                      <w:kern w:val="0"/>
                      <w:sz w:val="21"/>
                      <w:szCs w:val="21"/>
                      <w:u w:val="none"/>
                      <w:lang w:val="en-US" w:eastAsia="zh-CN"/>
                    </w:rPr>
                    <w:t>240</w:t>
                  </w:r>
                </w:p>
              </w:tc>
              <w:tc>
                <w:tcPr>
                  <w:tcW w:w="440" w:type="pct"/>
                  <w:vMerge w:val="restart"/>
                  <w:tcBorders>
                    <w:top w:val="single" w:color="auto" w:sz="4" w:space="0"/>
                    <w:left w:val="single" w:color="auto" w:sz="4" w:space="0"/>
                    <w:right w:val="single" w:color="auto" w:sz="4" w:space="0"/>
                    <w:tl2br w:val="nil"/>
                    <w:tr2bl w:val="nil"/>
                  </w:tcBorders>
                  <w:shd w:val="clear" w:color="auto" w:fill="auto"/>
                  <w:vAlign w:val="center"/>
                </w:tcPr>
                <w:p w14:paraId="35344B1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化粪池</w:t>
                  </w: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9D90A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D0EC4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3E7D5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cs="Times New Roman"/>
                      <w:b w:val="0"/>
                      <w:bCs w:val="0"/>
                      <w:i w:val="0"/>
                      <w:iCs w:val="0"/>
                      <w:color w:val="auto"/>
                      <w:kern w:val="0"/>
                      <w:sz w:val="21"/>
                      <w:szCs w:val="21"/>
                      <w:u w:val="none"/>
                      <w:lang w:val="en-US" w:eastAsia="zh-CN"/>
                    </w:rPr>
                    <w:t>240</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E004B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DFEEF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E1B21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359"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15BC7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40" w:type="pct"/>
                  <w:vMerge w:val="continue"/>
                  <w:tcBorders>
                    <w:left w:val="single" w:color="auto" w:sz="4" w:space="0"/>
                    <w:right w:val="single" w:color="auto" w:sz="4" w:space="0"/>
                    <w:tl2br w:val="nil"/>
                    <w:tr2bl w:val="nil"/>
                  </w:tcBorders>
                  <w:shd w:val="clear" w:color="auto" w:fill="auto"/>
                  <w:vAlign w:val="center"/>
                </w:tcPr>
                <w:p w14:paraId="040134EB">
                  <w:pPr>
                    <w:jc w:val="center"/>
                    <w:rPr>
                      <w:rFonts w:hint="default" w:ascii="Times New Roman" w:hAnsi="Times New Roman" w:eastAsia="宋体" w:cs="Times New Roman"/>
                      <w:b w:val="0"/>
                      <w:bCs w:val="0"/>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797DB1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57"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8CA65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5.5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8.5</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E50B3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cs="Times New Roman"/>
                      <w:i w:val="0"/>
                      <w:iCs w:val="0"/>
                      <w:color w:val="auto"/>
                      <w:kern w:val="0"/>
                      <w:sz w:val="21"/>
                      <w:szCs w:val="21"/>
                      <w:u w:val="none"/>
                      <w:lang w:val="en-US" w:eastAsia="zh-CN" w:bidi="ar"/>
                    </w:rPr>
                    <w:t>5.5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8.5</w:t>
                  </w:r>
                </w:p>
              </w:tc>
            </w:tr>
            <w:tr w14:paraId="5792C0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C4527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F85E61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cs="Times New Roman"/>
                      <w:i w:val="0"/>
                      <w:iCs w:val="0"/>
                      <w:color w:val="auto"/>
                      <w:kern w:val="0"/>
                      <w:sz w:val="21"/>
                      <w:szCs w:val="21"/>
                      <w:u w:val="none"/>
                      <w:lang w:val="en-US" w:eastAsia="zh-CN" w:bidi="ar"/>
                    </w:rPr>
                    <w:t>34</w:t>
                  </w:r>
                  <w:r>
                    <w:rPr>
                      <w:rFonts w:hint="eastAsia" w:ascii="Times New Roman" w:hAnsi="Times New Roman" w:eastAsia="宋体" w:cs="Times New Roman"/>
                      <w:i w:val="0"/>
                      <w:iCs w:val="0"/>
                      <w:color w:val="auto"/>
                      <w:kern w:val="0"/>
                      <w:sz w:val="21"/>
                      <w:szCs w:val="21"/>
                      <w:u w:val="none"/>
                      <w:lang w:val="en-US" w:eastAsia="zh-CN" w:bidi="ar"/>
                    </w:rPr>
                    <w:t>0</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EAE4F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0.081</w:t>
                  </w:r>
                </w:p>
              </w:tc>
              <w:tc>
                <w:tcPr>
                  <w:tcW w:w="440" w:type="pct"/>
                  <w:vMerge w:val="continue"/>
                  <w:tcBorders>
                    <w:left w:val="single" w:color="auto" w:sz="4" w:space="0"/>
                    <w:right w:val="single" w:color="auto" w:sz="4" w:space="0"/>
                    <w:tl2br w:val="nil"/>
                    <w:tr2bl w:val="nil"/>
                  </w:tcBorders>
                  <w:shd w:val="clear" w:color="auto" w:fill="auto"/>
                  <w:vAlign w:val="center"/>
                </w:tcPr>
                <w:p w14:paraId="2550C72D">
                  <w:pPr>
                    <w:jc w:val="center"/>
                    <w:rPr>
                      <w:rFonts w:hint="default" w:ascii="Times New Roman" w:hAnsi="Times New Roman" w:eastAsia="宋体" w:cs="Times New Roman"/>
                      <w:b w:val="0"/>
                      <w:bCs w:val="0"/>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E06849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41.18</w:t>
                  </w:r>
                  <w:r>
                    <w:rPr>
                      <w:rFonts w:hint="default" w:ascii="Times New Roman" w:hAnsi="Times New Roman" w:eastAsia="宋体" w:cs="Times New Roman"/>
                      <w:i w:val="0"/>
                      <w:iCs w:val="0"/>
                      <w:color w:val="auto"/>
                      <w:kern w:val="0"/>
                      <w:sz w:val="21"/>
                      <w:szCs w:val="21"/>
                      <w:u w:val="none"/>
                      <w:lang w:val="en-US" w:eastAsia="zh-CN" w:bidi="ar"/>
                    </w:rPr>
                    <w:t>%</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F0523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cs="Times New Roman"/>
                      <w:i w:val="0"/>
                      <w:iCs w:val="0"/>
                      <w:color w:val="auto"/>
                      <w:kern w:val="0"/>
                      <w:sz w:val="21"/>
                      <w:szCs w:val="21"/>
                      <w:u w:val="none"/>
                      <w:lang w:val="en-US" w:eastAsia="zh-CN" w:bidi="ar"/>
                    </w:rPr>
                    <w:t>200</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25572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0.048</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3D9FD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200</w:t>
                  </w:r>
                </w:p>
              </w:tc>
            </w:tr>
            <w:tr w14:paraId="4CBCCC2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1D2A1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A7A2A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50</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DDB6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0.036</w:t>
                  </w:r>
                </w:p>
              </w:tc>
              <w:tc>
                <w:tcPr>
                  <w:tcW w:w="440" w:type="pct"/>
                  <w:vMerge w:val="continue"/>
                  <w:tcBorders>
                    <w:left w:val="single" w:color="auto" w:sz="4" w:space="0"/>
                    <w:right w:val="single" w:color="auto" w:sz="4" w:space="0"/>
                    <w:tl2br w:val="nil"/>
                    <w:tr2bl w:val="nil"/>
                  </w:tcBorders>
                  <w:shd w:val="clear" w:color="auto" w:fill="auto"/>
                  <w:vAlign w:val="center"/>
                </w:tcPr>
                <w:p w14:paraId="0F7BDACC">
                  <w:pPr>
                    <w:jc w:val="center"/>
                    <w:rPr>
                      <w:rFonts w:hint="default" w:ascii="Times New Roman" w:hAnsi="Times New Roman" w:eastAsia="宋体" w:cs="Times New Roman"/>
                      <w:b w:val="0"/>
                      <w:bCs w:val="0"/>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9FAA8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33.33</w:t>
                  </w:r>
                  <w:r>
                    <w:rPr>
                      <w:rFonts w:hint="default" w:ascii="Times New Roman" w:hAnsi="Times New Roman" w:eastAsia="宋体" w:cs="Times New Roman"/>
                      <w:i w:val="0"/>
                      <w:iCs w:val="0"/>
                      <w:color w:val="auto"/>
                      <w:kern w:val="0"/>
                      <w:sz w:val="21"/>
                      <w:szCs w:val="21"/>
                      <w:u w:val="none"/>
                      <w:lang w:val="en-US" w:eastAsia="zh-CN" w:bidi="ar"/>
                    </w:rPr>
                    <w:t>%</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FEE7B1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F5D16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0.024</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27AF1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w:t>
                  </w:r>
                </w:p>
              </w:tc>
            </w:tr>
            <w:tr w14:paraId="3A68C31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6DBCD4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BA17C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200</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38840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0.048</w:t>
                  </w:r>
                </w:p>
              </w:tc>
              <w:tc>
                <w:tcPr>
                  <w:tcW w:w="440" w:type="pct"/>
                  <w:vMerge w:val="continue"/>
                  <w:tcBorders>
                    <w:left w:val="single" w:color="auto" w:sz="4" w:space="0"/>
                    <w:right w:val="single" w:color="auto" w:sz="4" w:space="0"/>
                    <w:tl2br w:val="nil"/>
                    <w:tr2bl w:val="nil"/>
                  </w:tcBorders>
                  <w:shd w:val="clear" w:color="auto" w:fill="auto"/>
                  <w:vAlign w:val="center"/>
                </w:tcPr>
                <w:p w14:paraId="29536A9F">
                  <w:pPr>
                    <w:jc w:val="center"/>
                    <w:rPr>
                      <w:rFonts w:hint="default" w:ascii="Times New Roman" w:hAnsi="Times New Roman" w:eastAsia="宋体" w:cs="Times New Roman"/>
                      <w:b w:val="0"/>
                      <w:bCs w:val="0"/>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7ACB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A62AD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B726E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0.024</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9FC18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w:t>
                  </w:r>
                </w:p>
              </w:tc>
            </w:tr>
            <w:tr w14:paraId="420593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1EA54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65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E5E31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2.6</w:t>
                  </w:r>
                </w:p>
              </w:tc>
              <w:tc>
                <w:tcPr>
                  <w:tcW w:w="70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7655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008</w:t>
                  </w:r>
                </w:p>
              </w:tc>
              <w:tc>
                <w:tcPr>
                  <w:tcW w:w="440" w:type="pct"/>
                  <w:vMerge w:val="continue"/>
                  <w:tcBorders>
                    <w:left w:val="single" w:color="auto" w:sz="4" w:space="0"/>
                    <w:right w:val="single" w:color="auto" w:sz="4" w:space="0"/>
                    <w:tl2br w:val="nil"/>
                    <w:tr2bl w:val="nil"/>
                  </w:tcBorders>
                  <w:shd w:val="clear" w:color="auto" w:fill="auto"/>
                  <w:vAlign w:val="center"/>
                </w:tcPr>
                <w:p w14:paraId="5C2CC493">
                  <w:pPr>
                    <w:jc w:val="center"/>
                    <w:rPr>
                      <w:rFonts w:hint="default" w:ascii="Times New Roman" w:hAnsi="Times New Roman" w:eastAsia="宋体" w:cs="Times New Roman"/>
                      <w:b w:val="0"/>
                      <w:bCs w:val="0"/>
                      <w:i w:val="0"/>
                      <w:iCs w:val="0"/>
                      <w:color w:val="auto"/>
                      <w:kern w:val="0"/>
                      <w:sz w:val="21"/>
                      <w:szCs w:val="21"/>
                      <w:u w:val="none"/>
                    </w:rPr>
                  </w:pPr>
                </w:p>
              </w:tc>
              <w:tc>
                <w:tcPr>
                  <w:tcW w:w="59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F2AC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rPr>
                  </w:pPr>
                  <w:r>
                    <w:rPr>
                      <w:rFonts w:hint="eastAsia" w:cs="Times New Roman"/>
                      <w:i w:val="0"/>
                      <w:iCs w:val="0"/>
                      <w:color w:val="auto"/>
                      <w:kern w:val="0"/>
                      <w:sz w:val="21"/>
                      <w:szCs w:val="21"/>
                      <w:u w:val="none"/>
                      <w:lang w:val="en-US" w:eastAsia="zh-CN" w:bidi="ar"/>
                    </w:rPr>
                    <w:t>14.11</w:t>
                  </w:r>
                  <w:r>
                    <w:rPr>
                      <w:rFonts w:hint="default" w:ascii="Times New Roman" w:hAnsi="Times New Roman" w:eastAsia="宋体" w:cs="Times New Roman"/>
                      <w:i w:val="0"/>
                      <w:iCs w:val="0"/>
                      <w:color w:val="auto"/>
                      <w:kern w:val="0"/>
                      <w:sz w:val="21"/>
                      <w:szCs w:val="21"/>
                      <w:u w:val="none"/>
                      <w:lang w:val="en-US" w:eastAsia="zh-CN" w:bidi="ar"/>
                    </w:rPr>
                    <w:t>%</w:t>
                  </w:r>
                </w:p>
              </w:tc>
              <w:tc>
                <w:tcPr>
                  <w:tcW w:w="59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60382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28</w:t>
                  </w:r>
                </w:p>
              </w:tc>
              <w:tc>
                <w:tcPr>
                  <w:tcW w:w="6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14F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007</w:t>
                  </w:r>
                </w:p>
              </w:tc>
              <w:tc>
                <w:tcPr>
                  <w:tcW w:w="660"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6DC25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rPr>
                  </w:pPr>
                  <w:r>
                    <w:rPr>
                      <w:rFonts w:hint="eastAsia" w:cs="Times New Roman"/>
                      <w:i w:val="0"/>
                      <w:iCs w:val="0"/>
                      <w:color w:val="auto"/>
                      <w:kern w:val="0"/>
                      <w:sz w:val="21"/>
                      <w:szCs w:val="21"/>
                      <w:u w:val="none"/>
                      <w:lang w:val="en-US" w:eastAsia="zh-CN" w:bidi="ar"/>
                    </w:rPr>
                    <w:t>/</w:t>
                  </w:r>
                </w:p>
              </w:tc>
            </w:tr>
          </w:tbl>
          <w:p w14:paraId="22158721">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cs="Times New Roman"/>
                <w:snapToGrid/>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SA"/>
                <w14:textFill>
                  <w14:solidFill>
                    <w14:schemeClr w14:val="tx1"/>
                  </w14:solidFill>
                </w14:textFill>
              </w:rPr>
              <w:t>2）</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生产废水</w:t>
            </w:r>
          </w:p>
          <w:p w14:paraId="74C85F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本项目生产废水为地面冲洗废水、搅拌机清洗废水、车辆冲洗废水。其中地面冲洗废水、搅拌机清洗废水经车间沉淀池+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砂水分离机+压滤设施</w:t>
            </w:r>
            <w:r>
              <w:rPr>
                <w:rFonts w:hint="eastAsia" w:cs="Times New Roman"/>
                <w:snapToGrid/>
                <w:color w:val="000000" w:themeColor="text1"/>
                <w:spacing w:val="0"/>
                <w:kern w:val="0"/>
                <w:position w:val="0"/>
                <w:sz w:val="24"/>
                <w:szCs w:val="24"/>
                <w:lang w:val="en-US" w:eastAsia="zh-CN"/>
                <w14:textFill>
                  <w14:solidFill>
                    <w14:schemeClr w14:val="tx1"/>
                  </w14:solidFill>
                </w14:textFill>
              </w:rPr>
              <w:t>处理</w:t>
            </w:r>
            <w:r>
              <w:rPr>
                <w:rFonts w:hint="eastAsia" w:cs="Times New Roman"/>
                <w:snapToGrid/>
                <w:color w:val="000000" w:themeColor="text1"/>
                <w:spacing w:val="0"/>
                <w:kern w:val="0"/>
                <w:position w:val="0"/>
                <w:sz w:val="24"/>
                <w:lang w:val="en-US" w:eastAsia="zh-CN"/>
                <w14:textFill>
                  <w14:solidFill>
                    <w14:schemeClr w14:val="tx1"/>
                  </w14:solidFill>
                </w14:textFill>
              </w:rPr>
              <w:t>后回用于生产，不外排；车辆冲洗废水经洗车平台沉淀池沉淀后循环利用，不外排。</w:t>
            </w:r>
          </w:p>
          <w:p w14:paraId="5D49B9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①地面冲洗废水、搅拌机清洗废水</w:t>
            </w:r>
          </w:p>
          <w:p w14:paraId="4C3E64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地面冲洗废水、搅拌机清洗废水主要污染物及浓度相似，地面冲洗废水、搅拌机清洗废水产生总量为6.8</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lang w:val="en-US" w:eastAsia="zh-CN"/>
                <w14:textFill>
                  <w14:solidFill>
                    <w14:schemeClr w14:val="tx1"/>
                  </w14:solidFill>
                </w14:textFill>
              </w:rPr>
              <w:t>/d</w:t>
            </w:r>
            <w:r>
              <w:rPr>
                <w:rFonts w:hint="eastAsia" w:cs="Times New Roman"/>
                <w:snapToGrid/>
                <w:color w:val="000000" w:themeColor="text1"/>
                <w:spacing w:val="0"/>
                <w:kern w:val="0"/>
                <w:position w:val="0"/>
                <w:sz w:val="24"/>
                <w:lang w:val="en-US" w:eastAsia="zh-CN"/>
                <w14:textFill>
                  <w14:solidFill>
                    <w14:schemeClr w14:val="tx1"/>
                  </w14:solidFill>
                </w14:textFill>
              </w:rPr>
              <w:t>（2040</w:t>
            </w:r>
            <w:r>
              <w:rPr>
                <w:rFonts w:hint="eastAsia"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主要污染物为SS，其浓度约1000mg/L，</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拟</w:t>
            </w:r>
            <w:r>
              <w:rPr>
                <w:rFonts w:ascii="宋体" w:hAnsi="宋体" w:eastAsia="宋体" w:cs="宋体"/>
                <w:sz w:val="24"/>
                <w:szCs w:val="24"/>
              </w:rPr>
              <w:t>经厂区导流沟收集至</w:t>
            </w:r>
            <w:r>
              <w:rPr>
                <w:rFonts w:hint="eastAsia" w:ascii="宋体" w:hAnsi="宋体" w:eastAsia="宋体" w:cs="宋体"/>
                <w:sz w:val="24"/>
                <w:szCs w:val="24"/>
                <w:lang w:val="en-US" w:eastAsia="zh-CN"/>
              </w:rPr>
              <w:t>车间</w:t>
            </w:r>
            <w:r>
              <w:rPr>
                <w:rFonts w:ascii="宋体" w:hAnsi="宋体" w:eastAsia="宋体" w:cs="宋体"/>
                <w:sz w:val="24"/>
                <w:szCs w:val="24"/>
              </w:rPr>
              <w:t>沉淀</w:t>
            </w:r>
            <w:r>
              <w:rPr>
                <w:rFonts w:hint="default" w:ascii="Times New Roman" w:hAnsi="Times New Roman" w:eastAsia="宋体" w:cs="Times New Roman"/>
                <w:sz w:val="24"/>
                <w:szCs w:val="24"/>
              </w:rPr>
              <w:t>池（沉淀池容积为</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ascii="宋体" w:hAnsi="宋体" w:eastAsia="宋体" w:cs="宋体"/>
                <w:sz w:val="24"/>
                <w:szCs w:val="24"/>
              </w:rPr>
              <w:t>后通过“砂水分离机+压滤设施”</w:t>
            </w:r>
            <w:r>
              <w:rPr>
                <w:rFonts w:hint="eastAsia" w:ascii="宋体" w:hAnsi="宋体" w:eastAsia="宋体" w:cs="宋体"/>
                <w:sz w:val="24"/>
                <w:szCs w:val="24"/>
                <w:lang w:val="en-US" w:eastAsia="zh-CN"/>
              </w:rPr>
              <w:t>处理</w:t>
            </w:r>
            <w:r>
              <w:rPr>
                <w:rFonts w:ascii="宋体" w:hAnsi="宋体" w:eastAsia="宋体" w:cs="宋体"/>
                <w:sz w:val="24"/>
                <w:szCs w:val="24"/>
              </w:rPr>
              <w:t>后</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SS浓度约</w:t>
            </w:r>
            <w:r>
              <w:rPr>
                <w:rFonts w:hint="eastAsia" w:cs="Times New Roman"/>
                <w:b w:val="0"/>
                <w:bCs w:val="0"/>
                <w:color w:val="000000" w:themeColor="text1"/>
                <w:spacing w:val="0"/>
                <w:sz w:val="24"/>
                <w:szCs w:val="24"/>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0mg/L，</w:t>
            </w:r>
            <w:r>
              <w:rPr>
                <w:rFonts w:ascii="宋体" w:hAnsi="宋体" w:eastAsia="宋体" w:cs="宋体"/>
                <w:sz w:val="24"/>
                <w:szCs w:val="24"/>
              </w:rPr>
              <w:t>回用于生产，不外排。</w:t>
            </w:r>
          </w:p>
          <w:p w14:paraId="61B558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②车辆冲洗废水</w:t>
            </w:r>
          </w:p>
          <w:p w14:paraId="743FAC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cs="Times New Roman"/>
                <w:snapToGrid/>
                <w:color w:val="000000" w:themeColor="text1"/>
                <w:spacing w:val="0"/>
                <w:kern w:val="0"/>
                <w:position w:val="0"/>
                <w:sz w:val="24"/>
                <w:lang w:val="en-US" w:eastAsia="zh-CN"/>
                <w14:textFill>
                  <w14:solidFill>
                    <w14:schemeClr w14:val="tx1"/>
                  </w14:solidFill>
                </w14:textFill>
              </w:rPr>
              <w:t>车辆冲洗废水产生量约</w:t>
            </w:r>
            <w:r>
              <w:rPr>
                <w:rFonts w:hint="eastAsia"/>
                <w:color w:val="000000" w:themeColor="text1"/>
                <w:sz w:val="24"/>
                <w:lang w:val="en-US" w:eastAsia="zh-CN"/>
                <w14:textFill>
                  <w14:solidFill>
                    <w14:schemeClr w14:val="tx1"/>
                  </w14:solidFill>
                </w14:textFill>
              </w:rPr>
              <w:t>7.23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2169</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车辆冲洗废水</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主要污染物为SS，其浓度约800mg/L，</w:t>
            </w:r>
            <w:r>
              <w:rPr>
                <w:rFonts w:hint="eastAsia" w:cs="Times New Roman"/>
                <w:snapToGrid/>
                <w:color w:val="000000" w:themeColor="text1"/>
                <w:spacing w:val="0"/>
                <w:kern w:val="0"/>
                <w:position w:val="0"/>
                <w:sz w:val="24"/>
                <w:lang w:val="en-US" w:eastAsia="zh-CN"/>
                <w14:textFill>
                  <w14:solidFill>
                    <w14:schemeClr w14:val="tx1"/>
                  </w14:solidFill>
                </w14:textFill>
              </w:rPr>
              <w:t>经洗车平台旁的沉淀池（容积约15m</w:t>
            </w:r>
            <w:r>
              <w:rPr>
                <w:rFonts w:hint="eastAsia"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lang w:val="en-US" w:eastAsia="zh-CN"/>
                <w14:textFill>
                  <w14:solidFill>
                    <w14:schemeClr w14:val="tx1"/>
                  </w14:solidFill>
                </w14:textFill>
              </w:rPr>
              <w:t>）沉淀后回用于洗车工序，不外排</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w:t>
            </w:r>
          </w:p>
          <w:p w14:paraId="10F4B4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snapToGrid/>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SA"/>
                <w14:textFill>
                  <w14:solidFill>
                    <w14:schemeClr w14:val="tx1"/>
                  </w14:solidFill>
                </w14:textFill>
              </w:rPr>
              <w:t>3）</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初期雨水</w:t>
            </w:r>
          </w:p>
          <w:p w14:paraId="26E708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本项目</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初期雨水量</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约为71.96</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m</w:t>
            </w:r>
            <w:r>
              <w:rPr>
                <w:rFonts w:hint="default" w:ascii="Times New Roman" w:hAnsi="Times New Roman" w:cs="Times New Roman"/>
                <w:snapToGrid/>
                <w:color w:val="000000" w:themeColor="text1"/>
                <w:spacing w:val="0"/>
                <w:kern w:val="0"/>
                <w:position w:val="0"/>
                <w:sz w:val="24"/>
                <w:szCs w:val="24"/>
                <w:vertAlign w:val="superscript"/>
                <w:lang w:val="en-US" w:eastAsia="zh-CN" w:bidi="ar-SA"/>
                <w14:textFill>
                  <w14:solidFill>
                    <w14:schemeClr w14:val="tx1"/>
                  </w14:solidFill>
                </w14:textFill>
              </w:rPr>
              <w:t>3</w:t>
            </w:r>
            <w:r>
              <w:rPr>
                <w:rFonts w:hint="default"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cs="Times New Roman"/>
                <w:snapToGrid/>
                <w:color w:val="000000" w:themeColor="text1"/>
                <w:spacing w:val="0"/>
                <w:kern w:val="0"/>
                <w:position w:val="0"/>
                <w:sz w:val="24"/>
                <w:szCs w:val="24"/>
                <w:lang w:val="en-US" w:eastAsia="zh-CN" w:bidi="ar-SA"/>
                <w14:textFill>
                  <w14:solidFill>
                    <w14:schemeClr w14:val="tx1"/>
                  </w14:solidFill>
                </w14:textFill>
              </w:rPr>
              <w:t>次</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，初期雨水中主要污染物为SS，本项目在厂区四周</w:t>
            </w:r>
            <w:r>
              <w:rPr>
                <w:rFonts w:hint="eastAsia" w:cs="Times New Roman"/>
                <w:snapToGrid/>
                <w:color w:val="000000" w:themeColor="text1"/>
                <w:spacing w:val="0"/>
                <w:kern w:val="0"/>
                <w:position w:val="0"/>
                <w:sz w:val="24"/>
                <w:lang w:val="en-US" w:eastAsia="zh-CN"/>
                <w14:textFill>
                  <w14:solidFill>
                    <w14:schemeClr w14:val="tx1"/>
                  </w14:solidFill>
                </w14:textFill>
              </w:rPr>
              <w:t>设置</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导流沟，收集至初期雨水池（容积为90m</w:t>
            </w:r>
            <w:r>
              <w:rPr>
                <w:rFonts w:hint="eastAsia" w:ascii="Times New Roman" w:hAnsi="Times New Roman" w:eastAsia="宋体"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t>）后回用于生产，不外排。</w:t>
            </w:r>
          </w:p>
          <w:p w14:paraId="292EA41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）废水污染治理设施可行性分析</w:t>
            </w:r>
          </w:p>
          <w:p w14:paraId="27B7D52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1）生活污水</w:t>
            </w:r>
          </w:p>
          <w:p w14:paraId="350DB1C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生活污水经化粪池预处理。化粪池是处理粪便并加以过滤沉淀的设备，其原理是固化物在池底分解，上层的水化物进入管道流走，防止了管道堵塞，给固化物体（粪便等垃圾）有充足的时间水解。建设项目采用化粪池处理生活污水合理有效。</w:t>
            </w:r>
          </w:p>
          <w:p w14:paraId="04A4EC7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本项目生活污水经化粪池处理后用作</w:t>
            </w:r>
            <w:r>
              <w:rPr>
                <w:rFonts w:hint="eastAsia" w:cs="Times New Roman"/>
                <w:snapToGrid/>
                <w:color w:val="000000" w:themeColor="text1"/>
                <w:spacing w:val="0"/>
                <w:kern w:val="0"/>
                <w:position w:val="0"/>
                <w:sz w:val="24"/>
                <w:szCs w:val="24"/>
                <w:lang w:val="en-US" w:eastAsia="zh-CN"/>
                <w14:textFill>
                  <w14:solidFill>
                    <w14:schemeClr w14:val="tx1"/>
                  </w14:solidFill>
                </w14:textFill>
              </w:rPr>
              <w:t>厂区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绿化浇灌，</w:t>
            </w:r>
            <w:r>
              <w:rPr>
                <w:rFonts w:hint="eastAsia" w:cs="Times New Roman"/>
                <w:snapToGrid/>
                <w:color w:val="000000" w:themeColor="text1"/>
                <w:spacing w:val="0"/>
                <w:kern w:val="0"/>
                <w:position w:val="0"/>
                <w:sz w:val="24"/>
                <w:szCs w:val="24"/>
                <w:lang w:val="en-US" w:eastAsia="zh-CN"/>
                <w14:textFill>
                  <w14:solidFill>
                    <w14:schemeClr w14:val="tx1"/>
                  </w14:solidFill>
                </w14:textFill>
              </w:rPr>
              <w:t>项目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化粪池容积为8m</w:t>
            </w:r>
            <w:r>
              <w:rPr>
                <w:rFonts w:hint="eastAsia" w:ascii="Times New Roman" w:hAnsi="Times New Roman" w:eastAsia="宋体" w:cs="Times New Roman"/>
                <w:snapToGrid/>
                <w:color w:val="000000" w:themeColor="text1"/>
                <w:spacing w:val="0"/>
                <w:kern w:val="0"/>
                <w:position w:val="0"/>
                <w:sz w:val="24"/>
                <w:szCs w:val="24"/>
                <w:vertAlign w:val="superscript"/>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，在雨季时可暂存8天生活污水量。</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本项目厂区绿地面积约4360m</w:t>
            </w:r>
            <w:r>
              <w:rPr>
                <w:rFonts w:hint="eastAsia" w:cs="Times New Roman"/>
                <w:snapToGrid/>
                <w:color w:val="000000" w:themeColor="text1"/>
                <w:spacing w:val="0"/>
                <w:kern w:val="0"/>
                <w:position w:val="0"/>
                <w:sz w:val="24"/>
                <w:szCs w:val="24"/>
                <w:vertAlign w:val="superscript"/>
                <w:lang w:val="en-US" w:eastAsia="zh-CN"/>
                <w14:textFill>
                  <w14:solidFill>
                    <w14:schemeClr w14:val="tx1"/>
                  </w14:solidFill>
                </w14:textFill>
              </w:rPr>
              <w:t>2</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本项目产生的生活污水可被有效消纳，加上</w:t>
            </w:r>
            <w:r>
              <w:rPr>
                <w:rFonts w:hint="eastAsia" w:cs="Times New Roman"/>
                <w:snapToGrid/>
                <w:color w:val="000000" w:themeColor="text1"/>
                <w:spacing w:val="0"/>
                <w:kern w:val="0"/>
                <w:position w:val="0"/>
                <w:sz w:val="24"/>
                <w:szCs w:val="24"/>
                <w:lang w:val="en-US" w:eastAsia="zh-CN"/>
                <w14:textFill>
                  <w14:solidFill>
                    <w14:schemeClr w14:val="tx1"/>
                  </w14:solidFill>
                </w14:textFill>
              </w:rPr>
              <w:t>生活污水</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成分相对简单，并且水量小，生活废水有利于植物</w:t>
            </w:r>
            <w:r>
              <w:rPr>
                <w:rFonts w:hint="eastAsia"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的生长，增加土壤肥力，对土壤无不良影响，有利于土壤环境的改善。</w:t>
            </w:r>
          </w:p>
          <w:p w14:paraId="096097C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2）</w:t>
            </w:r>
            <w:r>
              <w:rPr>
                <w:rFonts w:hint="eastAsia" w:cs="Times New Roman"/>
                <w:snapToGrid/>
                <w:color w:val="000000" w:themeColor="text1"/>
                <w:spacing w:val="0"/>
                <w:kern w:val="0"/>
                <w:position w:val="0"/>
                <w:sz w:val="24"/>
                <w:szCs w:val="24"/>
                <w:highlight w:val="none"/>
                <w:lang w:val="en-US" w:eastAsia="zh-CN"/>
                <w14:textFill>
                  <w14:solidFill>
                    <w14:schemeClr w14:val="tx1"/>
                  </w14:solidFill>
                </w14:textFill>
              </w:rPr>
              <w:t>生产</w:t>
            </w:r>
            <w:r>
              <w:rPr>
                <w:rFonts w:hint="eastAsia"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废水</w:t>
            </w:r>
          </w:p>
          <w:p w14:paraId="5DFEF76B">
            <w:pPr>
              <w:spacing w:line="360" w:lineRule="auto"/>
              <w:ind w:firstLine="480" w:firstLineChars="200"/>
              <w:rPr>
                <w:rFonts w:hint="eastAsia" w:ascii="宋体" w:hAnsi="宋体" w:eastAsia="宋体" w:cs="宋体"/>
                <w:sz w:val="24"/>
                <w:szCs w:val="24"/>
                <w:highlight w:val="none"/>
                <w:lang w:eastAsia="zh-CN"/>
              </w:rPr>
            </w:pPr>
            <w:r>
              <w:rPr>
                <w:rFonts w:ascii="宋体" w:hAnsi="宋体" w:eastAsia="宋体" w:cs="宋体"/>
                <w:sz w:val="24"/>
                <w:szCs w:val="24"/>
                <w:highlight w:val="none"/>
              </w:rPr>
              <w:t>本项目</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地面冲洗废水、搅拌机清洗废水</w:t>
            </w:r>
            <w:r>
              <w:rPr>
                <w:rFonts w:ascii="宋体" w:hAnsi="宋体" w:eastAsia="宋体" w:cs="宋体"/>
                <w:sz w:val="24"/>
                <w:szCs w:val="24"/>
                <w:highlight w:val="none"/>
              </w:rPr>
              <w:t>经厂区导流沟收集至</w:t>
            </w:r>
            <w:r>
              <w:rPr>
                <w:rFonts w:hint="eastAsia" w:ascii="宋体" w:hAnsi="宋体" w:eastAsia="宋体" w:cs="宋体"/>
                <w:sz w:val="24"/>
                <w:szCs w:val="24"/>
                <w:highlight w:val="none"/>
                <w:lang w:val="en-US" w:eastAsia="zh-CN"/>
              </w:rPr>
              <w:t>车间</w:t>
            </w:r>
            <w:r>
              <w:rPr>
                <w:rFonts w:ascii="宋体" w:hAnsi="宋体" w:eastAsia="宋体" w:cs="宋体"/>
                <w:sz w:val="24"/>
                <w:szCs w:val="24"/>
                <w:highlight w:val="none"/>
              </w:rPr>
              <w:t>沉淀</w:t>
            </w:r>
            <w:r>
              <w:rPr>
                <w:rFonts w:hint="default" w:ascii="Times New Roman" w:hAnsi="Times New Roman" w:eastAsia="宋体" w:cs="Times New Roman"/>
                <w:sz w:val="24"/>
                <w:szCs w:val="24"/>
                <w:highlight w:val="none"/>
              </w:rPr>
              <w:t>池（沉淀池容积为</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0m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r>
              <w:rPr>
                <w:rFonts w:ascii="宋体" w:hAnsi="宋体" w:eastAsia="宋体" w:cs="宋体"/>
                <w:sz w:val="24"/>
                <w:szCs w:val="24"/>
                <w:highlight w:val="none"/>
              </w:rPr>
              <w:t>后通过“砂水分离机+压滤设施”</w:t>
            </w:r>
            <w:r>
              <w:rPr>
                <w:rFonts w:hint="eastAsia" w:ascii="宋体" w:hAnsi="宋体" w:eastAsia="宋体" w:cs="宋体"/>
                <w:sz w:val="24"/>
                <w:szCs w:val="24"/>
                <w:highlight w:val="none"/>
                <w:lang w:val="en-US" w:eastAsia="zh-CN"/>
              </w:rPr>
              <w:t>处理</w:t>
            </w:r>
            <w:r>
              <w:rPr>
                <w:rFonts w:ascii="宋体" w:hAnsi="宋体" w:eastAsia="宋体" w:cs="宋体"/>
                <w:sz w:val="24"/>
                <w:szCs w:val="24"/>
                <w:highlight w:val="none"/>
              </w:rPr>
              <w:t>后回用于生产，不外排</w:t>
            </w:r>
            <w:r>
              <w:rPr>
                <w:rFonts w:hint="eastAsia" w:ascii="宋体" w:hAnsi="宋体" w:eastAsia="宋体" w:cs="宋体"/>
                <w:sz w:val="24"/>
                <w:szCs w:val="24"/>
                <w:highlight w:val="none"/>
                <w:lang w:eastAsia="zh-CN"/>
              </w:rPr>
              <w:t>；</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车辆冲洗废水经洗车平台旁的沉淀池（容积约15m</w:t>
            </w:r>
            <w:r>
              <w:rPr>
                <w:rFonts w:hint="eastAsia" w:cs="Times New Roman"/>
                <w:snapToGrid/>
                <w:color w:val="000000" w:themeColor="text1"/>
                <w:spacing w:val="0"/>
                <w:kern w:val="0"/>
                <w:position w:val="0"/>
                <w:sz w:val="24"/>
                <w:highlight w:val="none"/>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highlight w:val="none"/>
                <w:lang w:val="en-US" w:eastAsia="zh-CN"/>
                <w14:textFill>
                  <w14:solidFill>
                    <w14:schemeClr w14:val="tx1"/>
                  </w14:solidFill>
                </w14:textFill>
              </w:rPr>
              <w:t>）沉淀后回用于洗车工序，不外排。</w:t>
            </w:r>
          </w:p>
          <w:p w14:paraId="4C8A8A9D">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《排污许可证申请与核发技术规范总则》（HJ942-2018）中4.5.3.1</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废水污染治理工艺分为一级处理（过滤、沉淀、气浮、其他），二级处理（A/O、A2/O、SBR、活性污泥法、生物接触氧化、其他），深度处理（超滤/纳滤、反渗透、吸附过滤、蒸发结晶、其他），其他。</w:t>
            </w:r>
          </w:p>
          <w:p w14:paraId="7D15911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本项目废水主要污染因子为</w:t>
            </w:r>
            <w:r>
              <w:rPr>
                <w:rFonts w:hint="eastAsia"/>
                <w:color w:val="000000" w:themeColor="text1"/>
                <w:sz w:val="24"/>
                <w:lang w:val="en-US" w:eastAsia="zh-CN"/>
                <w14:textFill>
                  <w14:solidFill>
                    <w14:schemeClr w14:val="tx1"/>
                  </w14:solidFill>
                </w14:textFill>
              </w:rPr>
              <w:t>悬浮物</w:t>
            </w:r>
            <w:r>
              <w:rPr>
                <w:rFonts w:hint="eastAsia"/>
                <w:color w:val="000000" w:themeColor="text1"/>
                <w:sz w:val="24"/>
                <w14:textFill>
                  <w14:solidFill>
                    <w14:schemeClr w14:val="tx1"/>
                  </w14:solidFill>
                </w14:textFill>
              </w:rPr>
              <w:t>，经</w:t>
            </w:r>
            <w:r>
              <w:rPr>
                <w:rFonts w:hint="eastAsia" w:ascii="宋体" w:hAnsi="宋体" w:eastAsia="宋体" w:cs="宋体"/>
                <w:sz w:val="24"/>
                <w:szCs w:val="24"/>
                <w:lang w:val="en-US" w:eastAsia="zh-CN"/>
              </w:rPr>
              <w:t>车间</w:t>
            </w:r>
            <w:r>
              <w:rPr>
                <w:rFonts w:ascii="宋体" w:hAnsi="宋体" w:eastAsia="宋体" w:cs="宋体"/>
                <w:sz w:val="24"/>
                <w:szCs w:val="24"/>
              </w:rPr>
              <w:t>沉淀</w:t>
            </w:r>
            <w:r>
              <w:rPr>
                <w:rFonts w:hint="default" w:ascii="Times New Roman" w:hAnsi="Times New Roman" w:eastAsia="宋体" w:cs="Times New Roman"/>
                <w:sz w:val="24"/>
                <w:szCs w:val="24"/>
              </w:rPr>
              <w:t>池</w:t>
            </w:r>
            <w:r>
              <w:rPr>
                <w:rFonts w:hint="eastAsia" w:cs="Times New Roman"/>
                <w:sz w:val="24"/>
                <w:szCs w:val="24"/>
                <w:lang w:val="en-US" w:eastAsia="zh-CN"/>
              </w:rPr>
              <w:t>+</w:t>
            </w:r>
            <w:r>
              <w:rPr>
                <w:rFonts w:ascii="宋体" w:hAnsi="宋体" w:eastAsia="宋体" w:cs="宋体"/>
                <w:sz w:val="24"/>
                <w:szCs w:val="24"/>
              </w:rPr>
              <w:t>砂水分离机+压滤设施</w:t>
            </w:r>
            <w:r>
              <w:rPr>
                <w:rFonts w:hint="eastAsia" w:ascii="宋体" w:hAnsi="宋体" w:cs="宋体"/>
                <w:sz w:val="24"/>
                <w:szCs w:val="24"/>
                <w:lang w:val="en-US" w:eastAsia="zh-CN"/>
              </w:rPr>
              <w:t>处理</w:t>
            </w:r>
            <w:r>
              <w:rPr>
                <w:rFonts w:hint="eastAsia"/>
                <w:color w:val="000000" w:themeColor="text1"/>
                <w:sz w:val="24"/>
                <w14:textFill>
                  <w14:solidFill>
                    <w14:schemeClr w14:val="tx1"/>
                  </w14:solidFill>
                </w14:textFill>
              </w:rPr>
              <w:t>后循环利用</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沉淀池</w:t>
            </w:r>
            <w:r>
              <w:rPr>
                <w:color w:val="000000" w:themeColor="text1"/>
                <w:sz w:val="24"/>
                <w14:textFill>
                  <w14:solidFill>
                    <w14:schemeClr w14:val="tx1"/>
                  </w14:solidFill>
                </w14:textFill>
              </w:rPr>
              <w:t>可有效去除</w:t>
            </w:r>
            <w:r>
              <w:rPr>
                <w:rFonts w:hint="eastAsia"/>
                <w:color w:val="000000" w:themeColor="text1"/>
                <w:sz w:val="24"/>
                <w14:textFill>
                  <w14:solidFill>
                    <w14:schemeClr w14:val="tx1"/>
                  </w14:solidFill>
                </w14:textFill>
              </w:rPr>
              <w:t>悬浮物</w:t>
            </w:r>
            <w:r>
              <w:rPr>
                <w:color w:val="000000" w:themeColor="text1"/>
                <w:sz w:val="24"/>
                <w14:textFill>
                  <w14:solidFill>
                    <w14:schemeClr w14:val="tx1"/>
                  </w14:solidFill>
                </w14:textFill>
              </w:rPr>
              <w:t>物质，属于可行性技术。</w:t>
            </w:r>
          </w:p>
          <w:p w14:paraId="6E32C32B">
            <w:pPr>
              <w:pStyle w:val="67"/>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3</w:t>
            </w:r>
            <w:r>
              <w:rPr>
                <w:rFonts w:hint="eastAsia" w:ascii="Times New Roman" w:hAnsi="Times New Roman" w:eastAsia="宋体" w:cs="Times New Roman"/>
                <w:b w:val="0"/>
                <w:snapToGrid/>
                <w:color w:val="000000" w:themeColor="text1"/>
                <w:spacing w:val="0"/>
                <w:kern w:val="0"/>
                <w:position w:val="0"/>
                <w14:textFill>
                  <w14:solidFill>
                    <w14:schemeClr w14:val="tx1"/>
                  </w14:solidFill>
                </w14:textFill>
              </w:rPr>
              <w:t>）监测计划</w:t>
            </w:r>
          </w:p>
          <w:p w14:paraId="2CE90C5B">
            <w:pPr>
              <w:pStyle w:val="67"/>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snapToGrid/>
                <w:color w:val="000000" w:themeColor="text1"/>
                <w:spacing w:val="0"/>
                <w:kern w:val="0"/>
                <w:position w:val="0"/>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根据《排污单位自行监测技术指南 水泥工业》（</w:t>
            </w:r>
            <w:r>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HJ8</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48</w:t>
            </w:r>
            <w:r>
              <w:rPr>
                <w:rFonts w:hint="default"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-2017</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），项目废水处理后不外排，可不对废水进行自行监测。</w:t>
            </w:r>
          </w:p>
          <w:p w14:paraId="280FD2B6">
            <w:pPr>
              <w:pStyle w:val="7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ascii="Times New Roman" w:hAnsi="Times New Roman" w:eastAsia="宋体" w:cs="Times New Roman"/>
                <w:b/>
                <w:snapToGrid/>
                <w:color w:val="000000" w:themeColor="text1"/>
                <w:spacing w:val="0"/>
                <w:kern w:val="0"/>
                <w:position w:val="0"/>
                <w:sz w:val="24"/>
                <w14:textFill>
                  <w14:solidFill>
                    <w14:schemeClr w14:val="tx1"/>
                  </w14:solidFill>
                </w14:textFill>
              </w:rPr>
            </w:pPr>
            <w:r>
              <w:rPr>
                <w:rFonts w:ascii="Times New Roman" w:hAnsi="Times New Roman" w:eastAsia="宋体" w:cs="Times New Roman"/>
                <w:b/>
                <w:snapToGrid/>
                <w:color w:val="000000" w:themeColor="text1"/>
                <w:spacing w:val="0"/>
                <w:kern w:val="0"/>
                <w:position w:val="0"/>
                <w:sz w:val="24"/>
                <w14:textFill>
                  <w14:solidFill>
                    <w14:schemeClr w14:val="tx1"/>
                  </w14:solidFill>
                </w14:textFill>
              </w:rPr>
              <w:t>3、噪声</w:t>
            </w:r>
          </w:p>
          <w:p w14:paraId="7C52C89A">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（1）噪声源及降噪情况</w:t>
            </w:r>
          </w:p>
          <w:p w14:paraId="2E6D1C78">
            <w:pPr>
              <w:pStyle w:val="8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pP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项目主要噪声源</w:t>
            </w:r>
            <w:r>
              <w:rPr>
                <w:rFonts w:hint="eastAsia" w:cs="Times New Roman"/>
                <w:b w:val="0"/>
                <w:snapToGrid/>
                <w:color w:val="000000" w:themeColor="text1"/>
                <w:spacing w:val="0"/>
                <w:kern w:val="0"/>
                <w:position w:val="0"/>
                <w:lang w:val="en-US" w:eastAsia="zh-CN"/>
                <w14:textFill>
                  <w14:solidFill>
                    <w14:schemeClr w14:val="tx1"/>
                  </w14:solidFill>
                </w14:textFill>
              </w:rPr>
              <w:t>来自生产设备</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和废气处理风机等公辅设备，据类比调查，噪声源强在70~85dB</w:t>
            </w:r>
            <w:r>
              <w:rPr>
                <w:rFonts w:hint="eastAsia" w:cs="Times New Roman"/>
                <w:b w:val="0"/>
                <w:snapToGrid/>
                <w:color w:val="000000" w:themeColor="text1"/>
                <w:spacing w:val="0"/>
                <w:kern w:val="0"/>
                <w:position w:val="0"/>
                <w:lang w:val="en-US" w:eastAsia="zh-CN"/>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A</w:t>
            </w:r>
            <w:r>
              <w:rPr>
                <w:rFonts w:hint="eastAsia" w:cs="Times New Roman"/>
                <w:b w:val="0"/>
                <w:snapToGrid/>
                <w:color w:val="000000" w:themeColor="text1"/>
                <w:spacing w:val="0"/>
                <w:kern w:val="0"/>
                <w:position w:val="0"/>
                <w:lang w:val="en-US" w:eastAsia="zh-CN"/>
                <w14:textFill>
                  <w14:solidFill>
                    <w14:schemeClr w14:val="tx1"/>
                  </w14:solidFill>
                </w14:textFill>
              </w:rPr>
              <w:t>）</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左右，主要的噪声源强及排放特征参见表4-1</w:t>
            </w:r>
            <w:r>
              <w:rPr>
                <w:rFonts w:hint="eastAsia" w:cs="Times New Roman"/>
                <w:b w:val="0"/>
                <w:snapToGrid/>
                <w:color w:val="000000" w:themeColor="text1"/>
                <w:spacing w:val="0"/>
                <w:kern w:val="0"/>
                <w:position w:val="0"/>
                <w:lang w:val="en-US" w:eastAsia="zh-CN"/>
                <w14:textFill>
                  <w14:solidFill>
                    <w14:schemeClr w14:val="tx1"/>
                  </w14:solidFill>
                </w14:textFill>
              </w:rPr>
              <w:t>0</w:t>
            </w:r>
            <w:r>
              <w:rPr>
                <w:rFonts w:hint="eastAsia" w:ascii="Times New Roman" w:hAnsi="Times New Roman" w:eastAsia="宋体" w:cs="Times New Roman"/>
                <w:b w:val="0"/>
                <w:snapToGrid/>
                <w:color w:val="000000" w:themeColor="text1"/>
                <w:spacing w:val="0"/>
                <w:kern w:val="0"/>
                <w:position w:val="0"/>
                <w:lang w:val="en-US" w:eastAsia="zh-CN"/>
                <w14:textFill>
                  <w14:solidFill>
                    <w14:schemeClr w14:val="tx1"/>
                  </w14:solidFill>
                </w14:textFill>
              </w:rPr>
              <w:t>。</w:t>
            </w:r>
          </w:p>
          <w:p w14:paraId="50CD51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4944FD4">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3E11C573">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89789F2">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D40B81F">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AF4759E">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A5CF32E">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C56F3B9">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A0A8650">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87F378E">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3C45618">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35EE673E">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6DF34C3">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21D3DFD">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3811506">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7F5C60A">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D6B86A7">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587448E3">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51E4D5E8">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22E8919">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4A126A03">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B0DF2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7FC78B1B">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1205EABC">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6A560A32">
            <w:pPr>
              <w:pStyle w:val="2"/>
              <w:rPr>
                <w:rFonts w:hint="eastAsia"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5E6BC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lang w:val="en-US" w:eastAsia="zh-CN"/>
                <w14:textFill>
                  <w14:solidFill>
                    <w14:schemeClr w14:val="tx1"/>
                  </w14:solidFill>
                </w14:textFill>
              </w:rPr>
            </w:pPr>
          </w:p>
          <w:p w14:paraId="2CA7535B">
            <w:pPr>
              <w:pStyle w:val="19"/>
              <w:rPr>
                <w:rFonts w:hint="eastAsia"/>
                <w:snapToGrid/>
                <w:color w:val="000000" w:themeColor="text1"/>
                <w:spacing w:val="0"/>
                <w:kern w:val="0"/>
                <w:position w:val="0"/>
                <w:lang w:val="en-US" w:eastAsia="zh-CN"/>
                <w14:textFill>
                  <w14:solidFill>
                    <w14:schemeClr w14:val="tx1"/>
                  </w14:solidFill>
                </w14:textFill>
              </w:rPr>
            </w:pPr>
          </w:p>
          <w:p w14:paraId="1F4521F4">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tc>
      </w:tr>
    </w:tbl>
    <w:p w14:paraId="705D0302">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sectPr>
          <w:pgSz w:w="11906" w:h="16838"/>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179"/>
      </w:tblGrid>
      <w:tr w14:paraId="2460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 w:type="pct"/>
          </w:tcPr>
          <w:p w14:paraId="44AE136A">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tc>
        <w:tc>
          <w:tcPr>
            <w:tcW w:w="4760" w:type="pct"/>
          </w:tcPr>
          <w:p w14:paraId="1B818EE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 xml:space="preserve">10  </w: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项目主要噪声设备一览表（室内声源）</w:t>
            </w:r>
          </w:p>
          <w:tbl>
            <w:tblPr>
              <w:tblStyle w:val="8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5"/>
              <w:gridCol w:w="594"/>
              <w:gridCol w:w="1589"/>
              <w:gridCol w:w="961"/>
              <w:gridCol w:w="961"/>
              <w:gridCol w:w="1477"/>
              <w:gridCol w:w="1821"/>
              <w:gridCol w:w="1047"/>
              <w:gridCol w:w="994"/>
              <w:gridCol w:w="1377"/>
              <w:gridCol w:w="894"/>
              <w:gridCol w:w="804"/>
              <w:gridCol w:w="701"/>
            </w:tblGrid>
            <w:tr w14:paraId="639D6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vMerge w:val="restart"/>
                  <w:tcBorders>
                    <w:tl2br w:val="nil"/>
                    <w:tr2bl w:val="nil"/>
                  </w:tcBorders>
                  <w:vAlign w:val="center"/>
                </w:tcPr>
                <w:p w14:paraId="65ADE6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序号</w:t>
                  </w:r>
                </w:p>
              </w:tc>
              <w:tc>
                <w:tcPr>
                  <w:tcW w:w="213" w:type="pct"/>
                  <w:vMerge w:val="restart"/>
                  <w:tcBorders>
                    <w:tl2br w:val="nil"/>
                    <w:tr2bl w:val="nil"/>
                  </w:tcBorders>
                  <w:vAlign w:val="center"/>
                </w:tcPr>
                <w:p w14:paraId="18ECF8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建筑物名称</w:t>
                  </w:r>
                </w:p>
              </w:tc>
              <w:tc>
                <w:tcPr>
                  <w:tcW w:w="569" w:type="pct"/>
                  <w:vMerge w:val="restart"/>
                  <w:tcBorders>
                    <w:tl2br w:val="nil"/>
                    <w:tr2bl w:val="nil"/>
                  </w:tcBorders>
                  <w:vAlign w:val="center"/>
                </w:tcPr>
                <w:p w14:paraId="38222C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声源名称</w:t>
                  </w:r>
                </w:p>
              </w:tc>
              <w:tc>
                <w:tcPr>
                  <w:tcW w:w="344" w:type="pct"/>
                  <w:vMerge w:val="restart"/>
                  <w:tcBorders>
                    <w:tl2br w:val="nil"/>
                    <w:tr2bl w:val="nil"/>
                  </w:tcBorders>
                  <w:vAlign w:val="center"/>
                </w:tcPr>
                <w:p w14:paraId="622228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数量</w:t>
                  </w:r>
                </w:p>
              </w:tc>
              <w:tc>
                <w:tcPr>
                  <w:tcW w:w="344" w:type="pct"/>
                  <w:vMerge w:val="restart"/>
                  <w:tcBorders>
                    <w:tl2br w:val="nil"/>
                    <w:tr2bl w:val="nil"/>
                  </w:tcBorders>
                  <w:vAlign w:val="center"/>
                </w:tcPr>
                <w:p w14:paraId="6DC3FA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源强</w:t>
                  </w:r>
                  <w:r>
                    <w:rPr>
                      <w:rFonts w:hint="eastAsia" w:cs="Times New Roman"/>
                      <w:b/>
                      <w:bCs/>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dB(A)</w:t>
                  </w:r>
                </w:p>
              </w:tc>
              <w:tc>
                <w:tcPr>
                  <w:tcW w:w="529" w:type="pct"/>
                  <w:vMerge w:val="restart"/>
                  <w:tcBorders>
                    <w:tl2br w:val="nil"/>
                    <w:tr2bl w:val="nil"/>
                  </w:tcBorders>
                  <w:vAlign w:val="center"/>
                </w:tcPr>
                <w:p w14:paraId="2F860E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声源控制措施</w:t>
                  </w:r>
                </w:p>
              </w:tc>
              <w:tc>
                <w:tcPr>
                  <w:tcW w:w="652" w:type="pct"/>
                  <w:vMerge w:val="restart"/>
                  <w:tcBorders>
                    <w:tl2br w:val="nil"/>
                    <w:tr2bl w:val="nil"/>
                  </w:tcBorders>
                  <w:vAlign w:val="center"/>
                </w:tcPr>
                <w:p w14:paraId="436B56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空间相对位置/m</w:t>
                  </w:r>
                </w:p>
              </w:tc>
              <w:tc>
                <w:tcPr>
                  <w:tcW w:w="375" w:type="pct"/>
                  <w:vMerge w:val="restart"/>
                  <w:tcBorders>
                    <w:tl2br w:val="nil"/>
                    <w:tr2bl w:val="nil"/>
                  </w:tcBorders>
                  <w:vAlign w:val="center"/>
                </w:tcPr>
                <w:p w14:paraId="5A0F74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距室内边界距离/m</w:t>
                  </w:r>
                </w:p>
              </w:tc>
              <w:tc>
                <w:tcPr>
                  <w:tcW w:w="356" w:type="pct"/>
                  <w:vMerge w:val="restart"/>
                  <w:tcBorders>
                    <w:tl2br w:val="nil"/>
                    <w:tr2bl w:val="nil"/>
                  </w:tcBorders>
                  <w:vAlign w:val="center"/>
                </w:tcPr>
                <w:p w14:paraId="1A3BB7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室内边界声级dB(A)</w:t>
                  </w:r>
                </w:p>
              </w:tc>
              <w:tc>
                <w:tcPr>
                  <w:tcW w:w="493" w:type="pct"/>
                  <w:vMerge w:val="restart"/>
                  <w:tcBorders>
                    <w:tl2br w:val="nil"/>
                    <w:tr2bl w:val="nil"/>
                  </w:tcBorders>
                  <w:vAlign w:val="center"/>
                </w:tcPr>
                <w:p w14:paraId="646CB3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运行时段</w:t>
                  </w:r>
                </w:p>
              </w:tc>
              <w:tc>
                <w:tcPr>
                  <w:tcW w:w="320" w:type="pct"/>
                  <w:vMerge w:val="restart"/>
                  <w:tcBorders>
                    <w:tl2br w:val="nil"/>
                    <w:tr2bl w:val="nil"/>
                  </w:tcBorders>
                  <w:vAlign w:val="center"/>
                </w:tcPr>
                <w:p w14:paraId="186063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建筑物插入损失/dB(A)</w:t>
                  </w:r>
                </w:p>
              </w:tc>
              <w:tc>
                <w:tcPr>
                  <w:tcW w:w="539" w:type="pct"/>
                  <w:gridSpan w:val="2"/>
                  <w:tcBorders>
                    <w:tl2br w:val="nil"/>
                    <w:tr2bl w:val="nil"/>
                  </w:tcBorders>
                  <w:vAlign w:val="center"/>
                </w:tcPr>
                <w:p w14:paraId="374A6C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建筑物</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外噪声</w:t>
                  </w:r>
                </w:p>
              </w:tc>
            </w:tr>
            <w:tr w14:paraId="36D64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60" w:type="pct"/>
                  <w:vMerge w:val="continue"/>
                  <w:tcBorders>
                    <w:tl2br w:val="nil"/>
                    <w:tr2bl w:val="nil"/>
                  </w:tcBorders>
                  <w:vAlign w:val="center"/>
                </w:tcPr>
                <w:p w14:paraId="1F8C72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213" w:type="pct"/>
                  <w:vMerge w:val="continue"/>
                  <w:tcBorders>
                    <w:tl2br w:val="nil"/>
                    <w:tr2bl w:val="nil"/>
                  </w:tcBorders>
                  <w:vAlign w:val="center"/>
                </w:tcPr>
                <w:p w14:paraId="03ECEB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vMerge w:val="continue"/>
                  <w:tcBorders>
                    <w:tl2br w:val="nil"/>
                    <w:tr2bl w:val="nil"/>
                  </w:tcBorders>
                  <w:vAlign w:val="center"/>
                </w:tcPr>
                <w:p w14:paraId="5962FA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44" w:type="pct"/>
                  <w:vMerge w:val="continue"/>
                  <w:tcBorders>
                    <w:tl2br w:val="nil"/>
                    <w:tr2bl w:val="nil"/>
                  </w:tcBorders>
                  <w:shd w:val="clear" w:color="auto" w:fill="auto"/>
                  <w:vAlign w:val="center"/>
                </w:tcPr>
                <w:p w14:paraId="0C71CB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44" w:type="pct"/>
                  <w:vMerge w:val="continue"/>
                  <w:tcBorders>
                    <w:tl2br w:val="nil"/>
                    <w:tr2bl w:val="nil"/>
                  </w:tcBorders>
                  <w:shd w:val="clear" w:color="auto" w:fill="auto"/>
                  <w:vAlign w:val="center"/>
                </w:tcPr>
                <w:p w14:paraId="1BA40E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p>
              </w:tc>
              <w:tc>
                <w:tcPr>
                  <w:tcW w:w="529" w:type="pct"/>
                  <w:vMerge w:val="continue"/>
                  <w:tcBorders>
                    <w:tl2br w:val="nil"/>
                    <w:tr2bl w:val="nil"/>
                  </w:tcBorders>
                  <w:vAlign w:val="center"/>
                </w:tcPr>
                <w:p w14:paraId="52A60D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vMerge w:val="continue"/>
                  <w:tcBorders>
                    <w:tl2br w:val="nil"/>
                    <w:tr2bl w:val="nil"/>
                  </w:tcBorders>
                  <w:vAlign w:val="center"/>
                </w:tcPr>
                <w:p w14:paraId="2C0DDD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75" w:type="pct"/>
                  <w:vMerge w:val="continue"/>
                  <w:tcBorders>
                    <w:tl2br w:val="nil"/>
                    <w:tr2bl w:val="nil"/>
                  </w:tcBorders>
                  <w:vAlign w:val="center"/>
                </w:tcPr>
                <w:p w14:paraId="063F87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56" w:type="pct"/>
                  <w:vMerge w:val="continue"/>
                  <w:tcBorders>
                    <w:tl2br w:val="nil"/>
                    <w:tr2bl w:val="nil"/>
                  </w:tcBorders>
                  <w:vAlign w:val="center"/>
                </w:tcPr>
                <w:p w14:paraId="10B81D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493" w:type="pct"/>
                  <w:vMerge w:val="continue"/>
                  <w:tcBorders>
                    <w:tl2br w:val="nil"/>
                    <w:tr2bl w:val="nil"/>
                  </w:tcBorders>
                  <w:vAlign w:val="center"/>
                </w:tcPr>
                <w:p w14:paraId="180267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vMerge w:val="continue"/>
                  <w:tcBorders>
                    <w:tl2br w:val="nil"/>
                    <w:tr2bl w:val="nil"/>
                  </w:tcBorders>
                  <w:vAlign w:val="center"/>
                </w:tcPr>
                <w:p w14:paraId="2A78DD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288" w:type="pct"/>
                  <w:tcBorders>
                    <w:tl2br w:val="nil"/>
                    <w:tr2bl w:val="nil"/>
                  </w:tcBorders>
                  <w:vAlign w:val="center"/>
                </w:tcPr>
                <w:p w14:paraId="565BDE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声压级dB(A)</w:t>
                  </w:r>
                </w:p>
              </w:tc>
              <w:tc>
                <w:tcPr>
                  <w:tcW w:w="251" w:type="pct"/>
                  <w:tcBorders>
                    <w:tl2br w:val="nil"/>
                    <w:tr2bl w:val="nil"/>
                  </w:tcBorders>
                  <w:vAlign w:val="center"/>
                </w:tcPr>
                <w:p w14:paraId="23B698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建筑物外</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距离/m</w:t>
                  </w:r>
                </w:p>
              </w:tc>
            </w:tr>
            <w:tr w14:paraId="52FC3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0C3C76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1</w:t>
                  </w:r>
                </w:p>
              </w:tc>
              <w:tc>
                <w:tcPr>
                  <w:tcW w:w="213" w:type="pct"/>
                  <w:vMerge w:val="restart"/>
                  <w:tcBorders>
                    <w:tl2br w:val="nil"/>
                    <w:tr2bl w:val="nil"/>
                  </w:tcBorders>
                  <w:vAlign w:val="center"/>
                </w:tcPr>
                <w:p w14:paraId="297E04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生产厂房</w:t>
                  </w:r>
                </w:p>
              </w:tc>
              <w:tc>
                <w:tcPr>
                  <w:tcW w:w="569" w:type="pct"/>
                  <w:tcBorders>
                    <w:tl2br w:val="nil"/>
                    <w:tr2bl w:val="nil"/>
                  </w:tcBorders>
                  <w:vAlign w:val="center"/>
                </w:tcPr>
                <w:p w14:paraId="54D5C191">
                  <w:pPr>
                    <w:jc w:val="center"/>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水平皮带机</w:t>
                  </w:r>
                  <w:r>
                    <w:rPr>
                      <w:rFonts w:hint="eastAsia" w:cs="Times New Roman"/>
                      <w:i w:val="0"/>
                      <w:iCs w:val="0"/>
                      <w:color w:val="000000" w:themeColor="text1"/>
                      <w:sz w:val="21"/>
                      <w:szCs w:val="21"/>
                      <w:u w:val="none"/>
                      <w:lang w:val="en-US" w:eastAsia="zh-CN"/>
                      <w14:textFill>
                        <w14:solidFill>
                          <w14:schemeClr w14:val="tx1"/>
                        </w14:solidFill>
                      </w14:textFill>
                    </w:rPr>
                    <w:t>1</w:t>
                  </w:r>
                </w:p>
              </w:tc>
              <w:tc>
                <w:tcPr>
                  <w:tcW w:w="344" w:type="pct"/>
                  <w:tcBorders>
                    <w:tl2br w:val="nil"/>
                    <w:tr2bl w:val="nil"/>
                  </w:tcBorders>
                  <w:shd w:val="clear" w:color="auto" w:fill="auto"/>
                  <w:vAlign w:val="center"/>
                </w:tcPr>
                <w:p w14:paraId="7B5C1EE5">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3331B6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p>
              </w:tc>
              <w:tc>
                <w:tcPr>
                  <w:tcW w:w="529" w:type="pct"/>
                  <w:vMerge w:val="restart"/>
                  <w:tcBorders>
                    <w:tl2br w:val="nil"/>
                    <w:tr2bl w:val="nil"/>
                  </w:tcBorders>
                  <w:vAlign w:val="center"/>
                </w:tcPr>
                <w:p w14:paraId="35D95E4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选用精度高、装配质量好、噪声低的设备，设备加装减振垫，厂房安装隔声门窗</w:t>
                  </w:r>
                </w:p>
              </w:tc>
              <w:tc>
                <w:tcPr>
                  <w:tcW w:w="652" w:type="pct"/>
                  <w:tcBorders>
                    <w:tl2br w:val="nil"/>
                    <w:tr2bl w:val="nil"/>
                  </w:tcBorders>
                  <w:vAlign w:val="center"/>
                </w:tcPr>
                <w:p w14:paraId="45FCD1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3929648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25</w:t>
                  </w:r>
                </w:p>
              </w:tc>
              <w:tc>
                <w:tcPr>
                  <w:tcW w:w="356" w:type="pct"/>
                  <w:tcBorders>
                    <w:tl2br w:val="nil"/>
                    <w:tr2bl w:val="nil"/>
                  </w:tcBorders>
                  <w:vAlign w:val="center"/>
                </w:tcPr>
                <w:p w14:paraId="676319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restart"/>
                  <w:tcBorders>
                    <w:tl2br w:val="nil"/>
                    <w:tr2bl w:val="nil"/>
                  </w:tcBorders>
                  <w:vAlign w:val="center"/>
                </w:tcPr>
                <w:p w14:paraId="54E81D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w:t>
                  </w:r>
                </w:p>
              </w:tc>
              <w:tc>
                <w:tcPr>
                  <w:tcW w:w="320" w:type="pct"/>
                  <w:tcBorders>
                    <w:tl2br w:val="nil"/>
                    <w:tr2bl w:val="nil"/>
                  </w:tcBorders>
                  <w:vAlign w:val="center"/>
                </w:tcPr>
                <w:p w14:paraId="603D95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36B207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54A275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132BC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7297E8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2</w:t>
                  </w:r>
                </w:p>
              </w:tc>
              <w:tc>
                <w:tcPr>
                  <w:tcW w:w="213" w:type="pct"/>
                  <w:vMerge w:val="continue"/>
                  <w:tcBorders>
                    <w:tl2br w:val="nil"/>
                    <w:tr2bl w:val="nil"/>
                  </w:tcBorders>
                  <w:vAlign w:val="center"/>
                </w:tcPr>
                <w:p w14:paraId="2934E3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67CB9B19">
                  <w:pPr>
                    <w:jc w:val="center"/>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斜皮带机</w:t>
                  </w:r>
                  <w:r>
                    <w:rPr>
                      <w:rFonts w:hint="eastAsia" w:cs="Times New Roman"/>
                      <w:i w:val="0"/>
                      <w:iCs w:val="0"/>
                      <w:color w:val="000000" w:themeColor="text1"/>
                      <w:sz w:val="21"/>
                      <w:szCs w:val="21"/>
                      <w:u w:val="none"/>
                      <w:lang w:val="en-US" w:eastAsia="zh-CN"/>
                      <w14:textFill>
                        <w14:solidFill>
                          <w14:schemeClr w14:val="tx1"/>
                        </w14:solidFill>
                      </w14:textFill>
                    </w:rPr>
                    <w:t>1</w:t>
                  </w:r>
                </w:p>
              </w:tc>
              <w:tc>
                <w:tcPr>
                  <w:tcW w:w="344" w:type="pct"/>
                  <w:tcBorders>
                    <w:tl2br w:val="nil"/>
                    <w:tr2bl w:val="nil"/>
                  </w:tcBorders>
                  <w:shd w:val="clear" w:color="auto" w:fill="auto"/>
                  <w:vAlign w:val="center"/>
                </w:tcPr>
                <w:p w14:paraId="070F2095">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78749B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90</w:t>
                  </w:r>
                </w:p>
              </w:tc>
              <w:tc>
                <w:tcPr>
                  <w:tcW w:w="529" w:type="pct"/>
                  <w:vMerge w:val="continue"/>
                  <w:tcBorders>
                    <w:tl2br w:val="nil"/>
                    <w:tr2bl w:val="nil"/>
                  </w:tcBorders>
                  <w:vAlign w:val="center"/>
                </w:tcPr>
                <w:p w14:paraId="15BEDD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0E2F5F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34605C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25</w:t>
                  </w:r>
                </w:p>
              </w:tc>
              <w:tc>
                <w:tcPr>
                  <w:tcW w:w="356" w:type="pct"/>
                  <w:tcBorders>
                    <w:tl2br w:val="nil"/>
                    <w:tr2bl w:val="nil"/>
                  </w:tcBorders>
                  <w:vAlign w:val="center"/>
                </w:tcPr>
                <w:p w14:paraId="0A585C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85</w:t>
                  </w:r>
                </w:p>
              </w:tc>
              <w:tc>
                <w:tcPr>
                  <w:tcW w:w="493" w:type="pct"/>
                  <w:vMerge w:val="continue"/>
                  <w:tcBorders>
                    <w:tl2br w:val="nil"/>
                    <w:tr2bl w:val="nil"/>
                  </w:tcBorders>
                  <w:vAlign w:val="center"/>
                </w:tcPr>
                <w:p w14:paraId="6C75CE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66ADB9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7F7091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251" w:type="pct"/>
                  <w:tcBorders>
                    <w:tl2br w:val="nil"/>
                    <w:tr2bl w:val="nil"/>
                  </w:tcBorders>
                  <w:vAlign w:val="center"/>
                </w:tcPr>
                <w:p w14:paraId="35B87D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0810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01F1CA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3</w:t>
                  </w:r>
                </w:p>
              </w:tc>
              <w:tc>
                <w:tcPr>
                  <w:tcW w:w="213" w:type="pct"/>
                  <w:vMerge w:val="continue"/>
                  <w:tcBorders>
                    <w:tl2br w:val="nil"/>
                    <w:tr2bl w:val="nil"/>
                  </w:tcBorders>
                  <w:vAlign w:val="center"/>
                </w:tcPr>
                <w:p w14:paraId="56B890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7366CF98">
                  <w:pPr>
                    <w:jc w:val="center"/>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搅拌主机</w:t>
                  </w:r>
                  <w:r>
                    <w:rPr>
                      <w:rFonts w:hint="eastAsia" w:cs="Times New Roman"/>
                      <w:i w:val="0"/>
                      <w:iCs w:val="0"/>
                      <w:color w:val="000000" w:themeColor="text1"/>
                      <w:sz w:val="21"/>
                      <w:szCs w:val="21"/>
                      <w:u w:val="none"/>
                      <w:lang w:val="en-US" w:eastAsia="zh-CN"/>
                      <w14:textFill>
                        <w14:solidFill>
                          <w14:schemeClr w14:val="tx1"/>
                        </w14:solidFill>
                      </w14:textFill>
                    </w:rPr>
                    <w:t>1</w:t>
                  </w:r>
                </w:p>
              </w:tc>
              <w:tc>
                <w:tcPr>
                  <w:tcW w:w="344" w:type="pct"/>
                  <w:tcBorders>
                    <w:tl2br w:val="nil"/>
                    <w:tr2bl w:val="nil"/>
                  </w:tcBorders>
                  <w:shd w:val="clear" w:color="auto" w:fill="auto"/>
                  <w:vAlign w:val="center"/>
                </w:tcPr>
                <w:p w14:paraId="3440AC3D">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158569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p>
              </w:tc>
              <w:tc>
                <w:tcPr>
                  <w:tcW w:w="529" w:type="pct"/>
                  <w:vMerge w:val="continue"/>
                  <w:tcBorders>
                    <w:tl2br w:val="nil"/>
                    <w:tr2bl w:val="nil"/>
                  </w:tcBorders>
                  <w:vAlign w:val="center"/>
                </w:tcPr>
                <w:p w14:paraId="365716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5AB9FB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5.0)</w:t>
                  </w:r>
                </w:p>
              </w:tc>
              <w:tc>
                <w:tcPr>
                  <w:tcW w:w="375" w:type="pct"/>
                  <w:tcBorders>
                    <w:tl2br w:val="nil"/>
                    <w:tr2bl w:val="nil"/>
                  </w:tcBorders>
                  <w:vAlign w:val="center"/>
                </w:tcPr>
                <w:p w14:paraId="74AAE3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356" w:type="pct"/>
                  <w:tcBorders>
                    <w:tl2br w:val="nil"/>
                    <w:tr2bl w:val="nil"/>
                  </w:tcBorders>
                  <w:vAlign w:val="center"/>
                </w:tcPr>
                <w:p w14:paraId="20CC62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6028B4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6DBA41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7D52F7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2098620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1CF05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2FE4303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4</w:t>
                  </w:r>
                </w:p>
              </w:tc>
              <w:tc>
                <w:tcPr>
                  <w:tcW w:w="213" w:type="pct"/>
                  <w:vMerge w:val="continue"/>
                  <w:tcBorders>
                    <w:tl2br w:val="nil"/>
                    <w:tr2bl w:val="nil"/>
                  </w:tcBorders>
                  <w:vAlign w:val="center"/>
                </w:tcPr>
                <w:p w14:paraId="50566EB2">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3BBF1567">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水平皮带机</w:t>
                  </w:r>
                  <w:r>
                    <w:rPr>
                      <w:rFonts w:hint="eastAsia" w:cs="Times New Roman"/>
                      <w:i w:val="0"/>
                      <w:iCs w:val="0"/>
                      <w:color w:val="000000" w:themeColor="text1"/>
                      <w:sz w:val="21"/>
                      <w:szCs w:val="21"/>
                      <w:u w:val="none"/>
                      <w:lang w:val="en-US" w:eastAsia="zh-CN"/>
                      <w14:textFill>
                        <w14:solidFill>
                          <w14:schemeClr w14:val="tx1"/>
                        </w14:solidFill>
                      </w14:textFill>
                    </w:rPr>
                    <w:t>2</w:t>
                  </w:r>
                </w:p>
              </w:tc>
              <w:tc>
                <w:tcPr>
                  <w:tcW w:w="344" w:type="pct"/>
                  <w:tcBorders>
                    <w:tl2br w:val="nil"/>
                    <w:tr2bl w:val="nil"/>
                  </w:tcBorders>
                  <w:shd w:val="clear" w:color="auto" w:fill="auto"/>
                  <w:vAlign w:val="center"/>
                </w:tcPr>
                <w:p w14:paraId="4FEC3C60">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7796E4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p>
              </w:tc>
              <w:tc>
                <w:tcPr>
                  <w:tcW w:w="529" w:type="pct"/>
                  <w:vMerge w:val="continue"/>
                  <w:tcBorders>
                    <w:tl2br w:val="nil"/>
                    <w:tr2bl w:val="nil"/>
                  </w:tcBorders>
                  <w:vAlign w:val="center"/>
                </w:tcPr>
                <w:p w14:paraId="6633C58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73BFF8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2F23B2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25</w:t>
                  </w:r>
                </w:p>
              </w:tc>
              <w:tc>
                <w:tcPr>
                  <w:tcW w:w="356" w:type="pct"/>
                  <w:tcBorders>
                    <w:tl2br w:val="nil"/>
                    <w:tr2bl w:val="nil"/>
                  </w:tcBorders>
                  <w:vAlign w:val="center"/>
                </w:tcPr>
                <w:p w14:paraId="1C07F8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6F60A6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0E7BB3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7C7C93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50693F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658E7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1DE463A2">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213" w:type="pct"/>
                  <w:vMerge w:val="continue"/>
                  <w:tcBorders>
                    <w:tl2br w:val="nil"/>
                    <w:tr2bl w:val="nil"/>
                  </w:tcBorders>
                  <w:vAlign w:val="center"/>
                </w:tcPr>
                <w:p w14:paraId="655813E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10714A17">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斜皮带机</w:t>
                  </w:r>
                  <w:r>
                    <w:rPr>
                      <w:rFonts w:hint="eastAsia" w:cs="Times New Roman"/>
                      <w:i w:val="0"/>
                      <w:iCs w:val="0"/>
                      <w:color w:val="000000" w:themeColor="text1"/>
                      <w:sz w:val="21"/>
                      <w:szCs w:val="21"/>
                      <w:u w:val="none"/>
                      <w:lang w:val="en-US" w:eastAsia="zh-CN"/>
                      <w14:textFill>
                        <w14:solidFill>
                          <w14:schemeClr w14:val="tx1"/>
                        </w14:solidFill>
                      </w14:textFill>
                    </w:rPr>
                    <w:t>2</w:t>
                  </w:r>
                </w:p>
              </w:tc>
              <w:tc>
                <w:tcPr>
                  <w:tcW w:w="344" w:type="pct"/>
                  <w:tcBorders>
                    <w:tl2br w:val="nil"/>
                    <w:tr2bl w:val="nil"/>
                  </w:tcBorders>
                  <w:shd w:val="clear" w:color="auto" w:fill="auto"/>
                  <w:vAlign w:val="center"/>
                </w:tcPr>
                <w:p w14:paraId="43A549C3">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02B2C9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90</w:t>
                  </w:r>
                </w:p>
              </w:tc>
              <w:tc>
                <w:tcPr>
                  <w:tcW w:w="529" w:type="pct"/>
                  <w:vMerge w:val="continue"/>
                  <w:tcBorders>
                    <w:tl2br w:val="nil"/>
                    <w:tr2bl w:val="nil"/>
                  </w:tcBorders>
                  <w:vAlign w:val="center"/>
                </w:tcPr>
                <w:p w14:paraId="0442BF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53FEA1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515BE2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25</w:t>
                  </w:r>
                </w:p>
              </w:tc>
              <w:tc>
                <w:tcPr>
                  <w:tcW w:w="356" w:type="pct"/>
                  <w:tcBorders>
                    <w:tl2br w:val="nil"/>
                    <w:tr2bl w:val="nil"/>
                  </w:tcBorders>
                  <w:vAlign w:val="center"/>
                </w:tcPr>
                <w:p w14:paraId="13BFA9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85</w:t>
                  </w:r>
                </w:p>
              </w:tc>
              <w:tc>
                <w:tcPr>
                  <w:tcW w:w="493" w:type="pct"/>
                  <w:vMerge w:val="continue"/>
                  <w:tcBorders>
                    <w:tl2br w:val="nil"/>
                    <w:tr2bl w:val="nil"/>
                  </w:tcBorders>
                  <w:vAlign w:val="center"/>
                </w:tcPr>
                <w:p w14:paraId="7E5264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50B2F5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67CC54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251" w:type="pct"/>
                  <w:tcBorders>
                    <w:tl2br w:val="nil"/>
                    <w:tr2bl w:val="nil"/>
                  </w:tcBorders>
                  <w:vAlign w:val="center"/>
                </w:tcPr>
                <w:p w14:paraId="19E3F1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5D9DC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6714A0D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w:t>
                  </w:r>
                </w:p>
              </w:tc>
              <w:tc>
                <w:tcPr>
                  <w:tcW w:w="213" w:type="pct"/>
                  <w:vMerge w:val="continue"/>
                  <w:tcBorders>
                    <w:tl2br w:val="nil"/>
                    <w:tr2bl w:val="nil"/>
                  </w:tcBorders>
                  <w:vAlign w:val="center"/>
                </w:tcPr>
                <w:p w14:paraId="0F45A99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5EC8B22D">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搅拌主机</w:t>
                  </w:r>
                  <w:r>
                    <w:rPr>
                      <w:rFonts w:hint="eastAsia" w:cs="Times New Roman"/>
                      <w:i w:val="0"/>
                      <w:iCs w:val="0"/>
                      <w:color w:val="000000" w:themeColor="text1"/>
                      <w:sz w:val="21"/>
                      <w:szCs w:val="21"/>
                      <w:u w:val="none"/>
                      <w:lang w:val="en-US" w:eastAsia="zh-CN"/>
                      <w14:textFill>
                        <w14:solidFill>
                          <w14:schemeClr w14:val="tx1"/>
                        </w14:solidFill>
                      </w14:textFill>
                    </w:rPr>
                    <w:t>2</w:t>
                  </w:r>
                </w:p>
              </w:tc>
              <w:tc>
                <w:tcPr>
                  <w:tcW w:w="344" w:type="pct"/>
                  <w:tcBorders>
                    <w:tl2br w:val="nil"/>
                    <w:tr2bl w:val="nil"/>
                  </w:tcBorders>
                  <w:shd w:val="clear" w:color="auto" w:fill="auto"/>
                  <w:vAlign w:val="center"/>
                </w:tcPr>
                <w:p w14:paraId="67FD048C">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0AB285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p>
              </w:tc>
              <w:tc>
                <w:tcPr>
                  <w:tcW w:w="529" w:type="pct"/>
                  <w:vMerge w:val="continue"/>
                  <w:tcBorders>
                    <w:tl2br w:val="nil"/>
                    <w:tr2bl w:val="nil"/>
                  </w:tcBorders>
                  <w:vAlign w:val="center"/>
                </w:tcPr>
                <w:p w14:paraId="50F779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610202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5.0)</w:t>
                  </w:r>
                </w:p>
              </w:tc>
              <w:tc>
                <w:tcPr>
                  <w:tcW w:w="375" w:type="pct"/>
                  <w:tcBorders>
                    <w:tl2br w:val="nil"/>
                    <w:tr2bl w:val="nil"/>
                  </w:tcBorders>
                  <w:vAlign w:val="center"/>
                </w:tcPr>
                <w:p w14:paraId="62C7B2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356" w:type="pct"/>
                  <w:tcBorders>
                    <w:tl2br w:val="nil"/>
                    <w:tr2bl w:val="nil"/>
                  </w:tcBorders>
                  <w:vAlign w:val="center"/>
                </w:tcPr>
                <w:p w14:paraId="479874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45BE903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0D5F67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0C6B3B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5BC1B4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411C1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1510FE8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p>
              </w:tc>
              <w:tc>
                <w:tcPr>
                  <w:tcW w:w="213" w:type="pct"/>
                  <w:vMerge w:val="continue"/>
                  <w:tcBorders>
                    <w:tl2br w:val="nil"/>
                    <w:tr2bl w:val="nil"/>
                  </w:tcBorders>
                  <w:vAlign w:val="center"/>
                </w:tcPr>
                <w:p w14:paraId="2C61F19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3F5BB39D">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水平皮带机</w:t>
                  </w:r>
                  <w:r>
                    <w:rPr>
                      <w:rFonts w:hint="eastAsia" w:cs="Times New Roman"/>
                      <w:i w:val="0"/>
                      <w:iCs w:val="0"/>
                      <w:color w:val="000000" w:themeColor="text1"/>
                      <w:sz w:val="21"/>
                      <w:szCs w:val="21"/>
                      <w:u w:val="none"/>
                      <w:lang w:val="en-US" w:eastAsia="zh-CN"/>
                      <w14:textFill>
                        <w14:solidFill>
                          <w14:schemeClr w14:val="tx1"/>
                        </w14:solidFill>
                      </w14:textFill>
                    </w:rPr>
                    <w:t>3</w:t>
                  </w:r>
                </w:p>
              </w:tc>
              <w:tc>
                <w:tcPr>
                  <w:tcW w:w="344" w:type="pct"/>
                  <w:tcBorders>
                    <w:tl2br w:val="nil"/>
                    <w:tr2bl w:val="nil"/>
                  </w:tcBorders>
                  <w:shd w:val="clear" w:color="auto" w:fill="auto"/>
                  <w:vAlign w:val="center"/>
                </w:tcPr>
                <w:p w14:paraId="3E05BA41">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0457A9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5</w:t>
                  </w:r>
                </w:p>
              </w:tc>
              <w:tc>
                <w:tcPr>
                  <w:tcW w:w="529" w:type="pct"/>
                  <w:vMerge w:val="continue"/>
                  <w:tcBorders>
                    <w:tl2br w:val="nil"/>
                    <w:tr2bl w:val="nil"/>
                  </w:tcBorders>
                  <w:vAlign w:val="center"/>
                </w:tcPr>
                <w:p w14:paraId="6B8E23A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5346AB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76F1EC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55</w:t>
                  </w:r>
                </w:p>
              </w:tc>
              <w:tc>
                <w:tcPr>
                  <w:tcW w:w="356" w:type="pct"/>
                  <w:tcBorders>
                    <w:tl2br w:val="nil"/>
                    <w:tr2bl w:val="nil"/>
                  </w:tcBorders>
                  <w:vAlign w:val="center"/>
                </w:tcPr>
                <w:p w14:paraId="65667C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6F77C6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786F0E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2DDC02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170B57D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3B721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35CF632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w:t>
                  </w:r>
                </w:p>
              </w:tc>
              <w:tc>
                <w:tcPr>
                  <w:tcW w:w="213" w:type="pct"/>
                  <w:vMerge w:val="continue"/>
                  <w:tcBorders>
                    <w:tl2br w:val="nil"/>
                    <w:tr2bl w:val="nil"/>
                  </w:tcBorders>
                  <w:vAlign w:val="center"/>
                </w:tcPr>
                <w:p w14:paraId="229237CE">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3872B762">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斜皮带机</w:t>
                  </w:r>
                  <w:r>
                    <w:rPr>
                      <w:rFonts w:hint="eastAsia" w:cs="Times New Roman"/>
                      <w:i w:val="0"/>
                      <w:iCs w:val="0"/>
                      <w:color w:val="000000" w:themeColor="text1"/>
                      <w:sz w:val="21"/>
                      <w:szCs w:val="21"/>
                      <w:u w:val="none"/>
                      <w:lang w:val="en-US" w:eastAsia="zh-CN"/>
                      <w14:textFill>
                        <w14:solidFill>
                          <w14:schemeClr w14:val="tx1"/>
                        </w14:solidFill>
                      </w14:textFill>
                    </w:rPr>
                    <w:t>3</w:t>
                  </w:r>
                </w:p>
              </w:tc>
              <w:tc>
                <w:tcPr>
                  <w:tcW w:w="344" w:type="pct"/>
                  <w:tcBorders>
                    <w:tl2br w:val="nil"/>
                    <w:tr2bl w:val="nil"/>
                  </w:tcBorders>
                  <w:shd w:val="clear" w:color="auto" w:fill="auto"/>
                  <w:vAlign w:val="center"/>
                </w:tcPr>
                <w:p w14:paraId="0A27458A">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098722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90</w:t>
                  </w:r>
                </w:p>
              </w:tc>
              <w:tc>
                <w:tcPr>
                  <w:tcW w:w="529" w:type="pct"/>
                  <w:vMerge w:val="continue"/>
                  <w:tcBorders>
                    <w:tl2br w:val="nil"/>
                    <w:tr2bl w:val="nil"/>
                  </w:tcBorders>
                  <w:vAlign w:val="center"/>
                </w:tcPr>
                <w:p w14:paraId="1CBDF2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7669CA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,1.</w:t>
                  </w:r>
                  <w:r>
                    <w:rPr>
                      <w:rFonts w:hint="eastAsia" w:cs="Times New Roman"/>
                      <w:color w:val="000000" w:themeColor="text1"/>
                      <w:spacing w:val="0"/>
                      <w:kern w:val="0"/>
                      <w:sz w:val="21"/>
                      <w:szCs w:val="21"/>
                      <w:lang w:val="en-US" w:eastAsia="zh-CN"/>
                      <w14:textFill>
                        <w14:solidFill>
                          <w14:schemeClr w14:val="tx1"/>
                        </w14:solidFill>
                      </w14:textFill>
                    </w:rPr>
                    <w:t>5)</w:t>
                  </w:r>
                </w:p>
              </w:tc>
              <w:tc>
                <w:tcPr>
                  <w:tcW w:w="375" w:type="pct"/>
                  <w:tcBorders>
                    <w:tl2br w:val="nil"/>
                    <w:tr2bl w:val="nil"/>
                  </w:tcBorders>
                  <w:vAlign w:val="center"/>
                </w:tcPr>
                <w:p w14:paraId="1D9FC6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55</w:t>
                  </w:r>
                </w:p>
              </w:tc>
              <w:tc>
                <w:tcPr>
                  <w:tcW w:w="356" w:type="pct"/>
                  <w:tcBorders>
                    <w:tl2br w:val="nil"/>
                    <w:tr2bl w:val="nil"/>
                  </w:tcBorders>
                  <w:vAlign w:val="center"/>
                </w:tcPr>
                <w:p w14:paraId="47EBF3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85</w:t>
                  </w:r>
                </w:p>
              </w:tc>
              <w:tc>
                <w:tcPr>
                  <w:tcW w:w="493" w:type="pct"/>
                  <w:vMerge w:val="continue"/>
                  <w:tcBorders>
                    <w:tl2br w:val="nil"/>
                    <w:tr2bl w:val="nil"/>
                  </w:tcBorders>
                  <w:vAlign w:val="center"/>
                </w:tcPr>
                <w:p w14:paraId="7756A2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370A06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38AE0E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251" w:type="pct"/>
                  <w:tcBorders>
                    <w:tl2br w:val="nil"/>
                    <w:tr2bl w:val="nil"/>
                  </w:tcBorders>
                  <w:vAlign w:val="center"/>
                </w:tcPr>
                <w:p w14:paraId="3E483A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7E54A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0AE237D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9</w:t>
                  </w:r>
                </w:p>
              </w:tc>
              <w:tc>
                <w:tcPr>
                  <w:tcW w:w="213" w:type="pct"/>
                  <w:vMerge w:val="continue"/>
                  <w:tcBorders>
                    <w:tl2br w:val="nil"/>
                    <w:tr2bl w:val="nil"/>
                  </w:tcBorders>
                  <w:vAlign w:val="center"/>
                </w:tcPr>
                <w:p w14:paraId="2728364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7E110389">
                  <w:pPr>
                    <w:jc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搅拌主机</w:t>
                  </w:r>
                  <w:r>
                    <w:rPr>
                      <w:rFonts w:hint="eastAsia" w:cs="Times New Roman"/>
                      <w:i w:val="0"/>
                      <w:iCs w:val="0"/>
                      <w:color w:val="000000" w:themeColor="text1"/>
                      <w:sz w:val="21"/>
                      <w:szCs w:val="21"/>
                      <w:u w:val="none"/>
                      <w:lang w:val="en-US" w:eastAsia="zh-CN"/>
                      <w14:textFill>
                        <w14:solidFill>
                          <w14:schemeClr w14:val="tx1"/>
                        </w14:solidFill>
                      </w14:textFill>
                    </w:rPr>
                    <w:t>3</w:t>
                  </w:r>
                </w:p>
              </w:tc>
              <w:tc>
                <w:tcPr>
                  <w:tcW w:w="344" w:type="pct"/>
                  <w:tcBorders>
                    <w:tl2br w:val="nil"/>
                    <w:tr2bl w:val="nil"/>
                  </w:tcBorders>
                  <w:shd w:val="clear" w:color="auto" w:fill="auto"/>
                  <w:vAlign w:val="center"/>
                </w:tcPr>
                <w:p w14:paraId="17FE4F93">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1171C2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529" w:type="pct"/>
                  <w:vMerge w:val="continue"/>
                  <w:tcBorders>
                    <w:tl2br w:val="nil"/>
                    <w:tr2bl w:val="nil"/>
                  </w:tcBorders>
                  <w:vAlign w:val="center"/>
                </w:tcPr>
                <w:p w14:paraId="2EC2C0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35E7A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5.0)</w:t>
                  </w:r>
                </w:p>
              </w:tc>
              <w:tc>
                <w:tcPr>
                  <w:tcW w:w="375" w:type="pct"/>
                  <w:tcBorders>
                    <w:tl2br w:val="nil"/>
                    <w:tr2bl w:val="nil"/>
                  </w:tcBorders>
                  <w:vAlign w:val="center"/>
                </w:tcPr>
                <w:p w14:paraId="641884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356" w:type="pct"/>
                  <w:tcBorders>
                    <w:tl2br w:val="nil"/>
                    <w:tr2bl w:val="nil"/>
                  </w:tcBorders>
                  <w:vAlign w:val="center"/>
                </w:tcPr>
                <w:p w14:paraId="0EFAEA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05EFCC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51ADDB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09356B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736646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63AE4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0F2C0FB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213" w:type="pct"/>
                  <w:vMerge w:val="continue"/>
                  <w:tcBorders>
                    <w:tl2br w:val="nil"/>
                    <w:tr2bl w:val="nil"/>
                  </w:tcBorders>
                  <w:vAlign w:val="center"/>
                </w:tcPr>
                <w:p w14:paraId="05DF62F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04A4D2B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水泵1</w:t>
                  </w:r>
                </w:p>
              </w:tc>
              <w:tc>
                <w:tcPr>
                  <w:tcW w:w="344" w:type="pct"/>
                  <w:tcBorders>
                    <w:tl2br w:val="nil"/>
                    <w:tr2bl w:val="nil"/>
                  </w:tcBorders>
                  <w:shd w:val="clear" w:color="auto" w:fill="auto"/>
                  <w:vAlign w:val="center"/>
                </w:tcPr>
                <w:p w14:paraId="507B2899">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5B4D99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529" w:type="pct"/>
                  <w:vMerge w:val="continue"/>
                  <w:tcBorders>
                    <w:tl2br w:val="nil"/>
                    <w:tr2bl w:val="nil"/>
                  </w:tcBorders>
                  <w:vAlign w:val="center"/>
                </w:tcPr>
                <w:p w14:paraId="562D9F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70F32D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27</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0.2)</w:t>
                  </w:r>
                </w:p>
              </w:tc>
              <w:tc>
                <w:tcPr>
                  <w:tcW w:w="375" w:type="pct"/>
                  <w:tcBorders>
                    <w:tl2br w:val="nil"/>
                    <w:tr2bl w:val="nil"/>
                  </w:tcBorders>
                  <w:vAlign w:val="center"/>
                </w:tcPr>
                <w:p w14:paraId="5BF5D9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356" w:type="pct"/>
                  <w:tcBorders>
                    <w:tl2br w:val="nil"/>
                    <w:tr2bl w:val="nil"/>
                  </w:tcBorders>
                  <w:vAlign w:val="center"/>
                </w:tcPr>
                <w:p w14:paraId="3DBA3D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5B7E2A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71D218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237B20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705309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7C0AC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4354FE7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11</w:t>
                  </w:r>
                </w:p>
              </w:tc>
              <w:tc>
                <w:tcPr>
                  <w:tcW w:w="213" w:type="pct"/>
                  <w:vMerge w:val="continue"/>
                  <w:tcBorders>
                    <w:tl2br w:val="nil"/>
                    <w:tr2bl w:val="nil"/>
                  </w:tcBorders>
                  <w:vAlign w:val="center"/>
                </w:tcPr>
                <w:p w14:paraId="0F7E089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3D8014D7">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水泵2</w:t>
                  </w:r>
                </w:p>
              </w:tc>
              <w:tc>
                <w:tcPr>
                  <w:tcW w:w="344" w:type="pct"/>
                  <w:tcBorders>
                    <w:tl2br w:val="nil"/>
                    <w:tr2bl w:val="nil"/>
                  </w:tcBorders>
                  <w:shd w:val="clear" w:color="auto" w:fill="auto"/>
                  <w:vAlign w:val="center"/>
                </w:tcPr>
                <w:p w14:paraId="79FE9A02">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11A67A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529" w:type="pct"/>
                  <w:vMerge w:val="continue"/>
                  <w:tcBorders>
                    <w:tl2br w:val="nil"/>
                    <w:tr2bl w:val="nil"/>
                  </w:tcBorders>
                  <w:vAlign w:val="center"/>
                </w:tcPr>
                <w:p w14:paraId="269E79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3607EF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57</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0.2)</w:t>
                  </w:r>
                </w:p>
              </w:tc>
              <w:tc>
                <w:tcPr>
                  <w:tcW w:w="375" w:type="pct"/>
                  <w:tcBorders>
                    <w:tl2br w:val="nil"/>
                    <w:tr2bl w:val="nil"/>
                  </w:tcBorders>
                  <w:vAlign w:val="center"/>
                </w:tcPr>
                <w:p w14:paraId="2409C9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356" w:type="pct"/>
                  <w:tcBorders>
                    <w:tl2br w:val="nil"/>
                    <w:tr2bl w:val="nil"/>
                  </w:tcBorders>
                  <w:vAlign w:val="center"/>
                </w:tcPr>
                <w:p w14:paraId="6F674B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32A184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0A49B3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57FD92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3EBBA9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22EF7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1D6FEA6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12</w:t>
                  </w:r>
                </w:p>
              </w:tc>
              <w:tc>
                <w:tcPr>
                  <w:tcW w:w="213" w:type="pct"/>
                  <w:vMerge w:val="continue"/>
                  <w:tcBorders>
                    <w:tl2br w:val="nil"/>
                    <w:tr2bl w:val="nil"/>
                  </w:tcBorders>
                  <w:vAlign w:val="center"/>
                </w:tcPr>
                <w:p w14:paraId="4ED1289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1016032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水泵2</w:t>
                  </w:r>
                </w:p>
              </w:tc>
              <w:tc>
                <w:tcPr>
                  <w:tcW w:w="344" w:type="pct"/>
                  <w:tcBorders>
                    <w:tl2br w:val="nil"/>
                    <w:tr2bl w:val="nil"/>
                  </w:tcBorders>
                  <w:shd w:val="clear" w:color="auto" w:fill="auto"/>
                  <w:vAlign w:val="center"/>
                </w:tcPr>
                <w:p w14:paraId="78013AB7">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shd w:val="clear" w:color="auto" w:fill="auto"/>
                  <w:vAlign w:val="center"/>
                </w:tcPr>
                <w:p w14:paraId="563BCD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529" w:type="pct"/>
                  <w:vMerge w:val="continue"/>
                  <w:tcBorders>
                    <w:tl2br w:val="nil"/>
                    <w:tr2bl w:val="nil"/>
                  </w:tcBorders>
                  <w:vAlign w:val="center"/>
                </w:tcPr>
                <w:p w14:paraId="366684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4A538F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0.2)</w:t>
                  </w:r>
                </w:p>
              </w:tc>
              <w:tc>
                <w:tcPr>
                  <w:tcW w:w="375" w:type="pct"/>
                  <w:tcBorders>
                    <w:tl2br w:val="nil"/>
                    <w:tr2bl w:val="nil"/>
                  </w:tcBorders>
                  <w:vAlign w:val="center"/>
                </w:tcPr>
                <w:p w14:paraId="5EC66C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356" w:type="pct"/>
                  <w:tcBorders>
                    <w:tl2br w:val="nil"/>
                    <w:tr2bl w:val="nil"/>
                  </w:tcBorders>
                  <w:vAlign w:val="center"/>
                </w:tcPr>
                <w:p w14:paraId="0BD35D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100DEE0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18802B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4FDD5E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06E08D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1F582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65D1FCF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13</w:t>
                  </w:r>
                </w:p>
              </w:tc>
              <w:tc>
                <w:tcPr>
                  <w:tcW w:w="213" w:type="pct"/>
                  <w:vMerge w:val="continue"/>
                  <w:tcBorders>
                    <w:tl2br w:val="nil"/>
                    <w:tr2bl w:val="nil"/>
                  </w:tcBorders>
                  <w:vAlign w:val="center"/>
                </w:tcPr>
                <w:p w14:paraId="1B4CB5A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569" w:type="pct"/>
                  <w:tcBorders>
                    <w:tl2br w:val="nil"/>
                    <w:tr2bl w:val="nil"/>
                  </w:tcBorders>
                  <w:vAlign w:val="center"/>
                </w:tcPr>
                <w:p w14:paraId="025F35B2">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风机1</w:t>
                  </w:r>
                </w:p>
              </w:tc>
              <w:tc>
                <w:tcPr>
                  <w:tcW w:w="344" w:type="pct"/>
                  <w:tcBorders>
                    <w:tl2br w:val="nil"/>
                    <w:tr2bl w:val="nil"/>
                  </w:tcBorders>
                  <w:vAlign w:val="center"/>
                </w:tcPr>
                <w:p w14:paraId="7B25D2B3">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vAlign w:val="center"/>
                </w:tcPr>
                <w:p w14:paraId="351004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75</w:t>
                  </w:r>
                </w:p>
              </w:tc>
              <w:tc>
                <w:tcPr>
                  <w:tcW w:w="529" w:type="pct"/>
                  <w:vMerge w:val="continue"/>
                  <w:tcBorders>
                    <w:tl2br w:val="nil"/>
                    <w:tr2bl w:val="nil"/>
                  </w:tcBorders>
                  <w:vAlign w:val="center"/>
                </w:tcPr>
                <w:p w14:paraId="341FDA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5D8248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-17</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,2</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3)</w:t>
                  </w:r>
                </w:p>
              </w:tc>
              <w:tc>
                <w:tcPr>
                  <w:tcW w:w="375" w:type="pct"/>
                  <w:tcBorders>
                    <w:tl2br w:val="nil"/>
                    <w:tr2bl w:val="nil"/>
                  </w:tcBorders>
                  <w:vAlign w:val="center"/>
                </w:tcPr>
                <w:p w14:paraId="36F2CC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35</w:t>
                  </w:r>
                </w:p>
              </w:tc>
              <w:tc>
                <w:tcPr>
                  <w:tcW w:w="356" w:type="pct"/>
                  <w:tcBorders>
                    <w:tl2br w:val="nil"/>
                    <w:tr2bl w:val="nil"/>
                  </w:tcBorders>
                  <w:vAlign w:val="center"/>
                </w:tcPr>
                <w:p w14:paraId="1A220C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493" w:type="pct"/>
                  <w:vMerge w:val="continue"/>
                  <w:tcBorders>
                    <w:tl2br w:val="nil"/>
                    <w:tr2bl w:val="nil"/>
                  </w:tcBorders>
                  <w:vAlign w:val="center"/>
                </w:tcPr>
                <w:p w14:paraId="066BCD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3BE87C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264685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60</w:t>
                  </w:r>
                </w:p>
              </w:tc>
              <w:tc>
                <w:tcPr>
                  <w:tcW w:w="251" w:type="pct"/>
                  <w:tcBorders>
                    <w:tl2br w:val="nil"/>
                    <w:tr2bl w:val="nil"/>
                  </w:tcBorders>
                  <w:vAlign w:val="center"/>
                </w:tcPr>
                <w:p w14:paraId="7FF7D1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r w14:paraId="13CD6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tcBorders>
                    <w:tl2br w:val="nil"/>
                    <w:tr2bl w:val="nil"/>
                  </w:tcBorders>
                  <w:vAlign w:val="center"/>
                </w:tcPr>
                <w:p w14:paraId="49B0FE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w:t>
                  </w:r>
                </w:p>
              </w:tc>
              <w:tc>
                <w:tcPr>
                  <w:tcW w:w="213" w:type="pct"/>
                  <w:vMerge w:val="continue"/>
                  <w:tcBorders>
                    <w:tl2br w:val="nil"/>
                    <w:tr2bl w:val="nil"/>
                  </w:tcBorders>
                  <w:vAlign w:val="center"/>
                </w:tcPr>
                <w:p w14:paraId="513462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69" w:type="pct"/>
                  <w:tcBorders>
                    <w:tl2br w:val="nil"/>
                    <w:tr2bl w:val="nil"/>
                  </w:tcBorders>
                  <w:vAlign w:val="center"/>
                </w:tcPr>
                <w:p w14:paraId="1AC63B8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风机2</w:t>
                  </w:r>
                </w:p>
              </w:tc>
              <w:tc>
                <w:tcPr>
                  <w:tcW w:w="344" w:type="pct"/>
                  <w:tcBorders>
                    <w:tl2br w:val="nil"/>
                    <w:tr2bl w:val="nil"/>
                  </w:tcBorders>
                  <w:vAlign w:val="center"/>
                </w:tcPr>
                <w:p w14:paraId="5A3F232C">
                  <w:pPr>
                    <w:keepNext w:val="0"/>
                    <w:keepLines w:val="0"/>
                    <w:widowControl/>
                    <w:suppressLineNumbers w:val="0"/>
                    <w:jc w:val="center"/>
                    <w:textAlignment w:val="center"/>
                    <w:rPr>
                      <w:rFonts w:hint="eastAsia" w:cs="Times New Roman"/>
                      <w:color w:val="000000" w:themeColor="text1"/>
                      <w:spacing w:val="0"/>
                      <w:kern w:val="0"/>
                      <w:sz w:val="21"/>
                      <w:szCs w:val="21"/>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1台</w:t>
                  </w:r>
                </w:p>
              </w:tc>
              <w:tc>
                <w:tcPr>
                  <w:tcW w:w="344" w:type="pct"/>
                  <w:tcBorders>
                    <w:tl2br w:val="nil"/>
                    <w:tr2bl w:val="nil"/>
                  </w:tcBorders>
                  <w:vAlign w:val="center"/>
                </w:tcPr>
                <w:p w14:paraId="724E1D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85</w:t>
                  </w:r>
                </w:p>
              </w:tc>
              <w:tc>
                <w:tcPr>
                  <w:tcW w:w="529" w:type="pct"/>
                  <w:vMerge w:val="continue"/>
                  <w:tcBorders>
                    <w:tl2br w:val="nil"/>
                    <w:tr2bl w:val="nil"/>
                  </w:tcBorders>
                  <w:vAlign w:val="center"/>
                </w:tcPr>
                <w:p w14:paraId="73E7604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652" w:type="pct"/>
                  <w:tcBorders>
                    <w:tl2br w:val="nil"/>
                    <w:tr2bl w:val="nil"/>
                  </w:tcBorders>
                  <w:vAlign w:val="center"/>
                </w:tcPr>
                <w:p w14:paraId="3C3F98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5,</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3)</w:t>
                  </w:r>
                </w:p>
              </w:tc>
              <w:tc>
                <w:tcPr>
                  <w:tcW w:w="375" w:type="pct"/>
                  <w:tcBorders>
                    <w:tl2br w:val="nil"/>
                    <w:tr2bl w:val="nil"/>
                  </w:tcBorders>
                  <w:vAlign w:val="center"/>
                </w:tcPr>
                <w:p w14:paraId="64B114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35</w:t>
                  </w:r>
                </w:p>
              </w:tc>
              <w:tc>
                <w:tcPr>
                  <w:tcW w:w="356" w:type="pct"/>
                  <w:tcBorders>
                    <w:tl2br w:val="nil"/>
                    <w:tr2bl w:val="nil"/>
                  </w:tcBorders>
                  <w:vAlign w:val="center"/>
                </w:tcPr>
                <w:p w14:paraId="79937C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80</w:t>
                  </w:r>
                </w:p>
              </w:tc>
              <w:tc>
                <w:tcPr>
                  <w:tcW w:w="493" w:type="pct"/>
                  <w:vMerge w:val="continue"/>
                  <w:tcBorders>
                    <w:tl2br w:val="nil"/>
                    <w:tr2bl w:val="nil"/>
                  </w:tcBorders>
                  <w:vAlign w:val="center"/>
                </w:tcPr>
                <w:p w14:paraId="1CFDDA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p>
              </w:tc>
              <w:tc>
                <w:tcPr>
                  <w:tcW w:w="320" w:type="pct"/>
                  <w:tcBorders>
                    <w:tl2br w:val="nil"/>
                    <w:tr2bl w:val="nil"/>
                  </w:tcBorders>
                  <w:vAlign w:val="center"/>
                </w:tcPr>
                <w:p w14:paraId="12BD82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804" w:type="dxa"/>
                  <w:tcBorders>
                    <w:tl2br w:val="nil"/>
                    <w:tr2bl w:val="nil"/>
                  </w:tcBorders>
                  <w:vAlign w:val="center"/>
                </w:tcPr>
                <w:p w14:paraId="22B0B1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70</w:t>
                  </w:r>
                </w:p>
              </w:tc>
              <w:tc>
                <w:tcPr>
                  <w:tcW w:w="251" w:type="pct"/>
                  <w:tcBorders>
                    <w:tl2br w:val="nil"/>
                    <w:tr2bl w:val="nil"/>
                  </w:tcBorders>
                  <w:vAlign w:val="center"/>
                </w:tcPr>
                <w:p w14:paraId="08B926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r>
          </w:tbl>
          <w:p w14:paraId="6D2D41FC">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注：上表中的</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轴坐标值系以项目中心点</w:t>
            </w: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东经</w:t>
            </w:r>
            <w:r>
              <w:rPr>
                <w:rFonts w:hint="default" w:ascii="Times New Roman" w:hAnsi="Times New Roman" w:cs="Times New Roman"/>
                <w:snapToGrid/>
                <w:color w:val="000000" w:themeColor="text1"/>
                <w:spacing w:val="0"/>
                <w:kern w:val="0"/>
                <w:position w:val="0"/>
                <w:sz w:val="21"/>
                <w:szCs w:val="21"/>
                <w:u w:val="none"/>
                <w:shd w:val="clear" w:color="auto" w:fill="auto"/>
                <w:lang w:eastAsia="zh-CN"/>
                <w14:textFill>
                  <w14:solidFill>
                    <w14:schemeClr w14:val="tx1"/>
                  </w14:solidFill>
                </w14:textFill>
              </w:rPr>
              <w:t>115°59′2.044″</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，北纬</w:t>
            </w:r>
            <w:r>
              <w:rPr>
                <w:rFonts w:hint="default" w:ascii="Times New Roman" w:hAnsi="Times New Roman" w:cs="Times New Roman"/>
                <w:snapToGrid/>
                <w:color w:val="000000" w:themeColor="text1"/>
                <w:spacing w:val="0"/>
                <w:kern w:val="0"/>
                <w:position w:val="0"/>
                <w:sz w:val="21"/>
                <w:szCs w:val="21"/>
                <w:u w:val="none"/>
                <w:shd w:val="clear" w:color="auto" w:fill="auto"/>
                <w:lang w:val="en-US" w:eastAsia="zh-CN"/>
                <w14:textFill>
                  <w14:solidFill>
                    <w14:schemeClr w14:val="tx1"/>
                  </w14:solidFill>
                </w14:textFill>
              </w:rPr>
              <w:t>26°27′3.983″</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）为坐标原点（</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），自西向东为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X</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轴正方向，自南向北为</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Y</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轴的正方向，生产车间地面垂直向上为Z轴正方向。</w:t>
            </w:r>
          </w:p>
          <w:p w14:paraId="425FDF52">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45786AD3">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7E4B1D9B">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2DD5CEFF">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521EA2C1">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6247B4A2">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2F7A89E9">
            <w:pPr>
              <w:pStyle w:val="70"/>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p w14:paraId="5078FBD2">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tc>
      </w:tr>
    </w:tbl>
    <w:p w14:paraId="66A8D12A">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sectPr>
          <w:pgSz w:w="16838" w:h="11906" w:orient="landscape"/>
          <w:pgMar w:top="1440" w:right="1080" w:bottom="1440" w:left="1080" w:header="964" w:footer="1020"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66"/>
      </w:tblGrid>
      <w:tr w14:paraId="036B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dxa"/>
          </w:tcPr>
          <w:p w14:paraId="2F89ADF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tc>
        <w:tc>
          <w:tcPr>
            <w:tcW w:w="8466" w:type="dxa"/>
          </w:tcPr>
          <w:p w14:paraId="23D67434">
            <w:pPr>
              <w:pStyle w:val="70"/>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（2）防治措施</w:t>
            </w:r>
          </w:p>
          <w:p w14:paraId="4EAA3BFE">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在运营过程中，生产设备均属于固定声源。通过采取选用低噪声设备，所有设备都在厂房内工作、基础减振，加强各种设备保养维护，使其处于良好的状态，减少噪声强度等措施。风机接口采用软连接，安装消声装置，加强设备的保养维护，使其处于良好的状态，减少噪声强度等。</w:t>
            </w:r>
          </w:p>
          <w:p w14:paraId="7CCDA8DB">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建设单位主要噪声防治措施如下：</w:t>
            </w:r>
          </w:p>
          <w:p w14:paraId="60EFB5A6">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）设备选型时采用性能先进、高效节能、低噪设备，并加强对设备的维护管理，从源头上控制噪声的产生；</w:t>
            </w:r>
          </w:p>
          <w:p w14:paraId="149A7B9D">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）合理布局，将高噪声设备设置在厂房内，并且布置在远离厂界的一侧。通过厂房隔声和距离衰减，减少对周围环境的影响；</w:t>
            </w:r>
          </w:p>
          <w:p w14:paraId="53AD558D">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）厂区建设绿化隔离带，对噪声进行削减，减少对厂界外声环境影响。</w:t>
            </w:r>
          </w:p>
          <w:p w14:paraId="5ED09634">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（3）噪声预测模式</w:t>
            </w:r>
          </w:p>
          <w:p w14:paraId="1A9D0297">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本评价采用《环境影响评价技术导则 声环境》（</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HJ2.4-2021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）中推荐的工业噪声预测计算模式，对项目运行后的厂界噪声变化情况进行分析。</w:t>
            </w:r>
          </w:p>
          <w:p w14:paraId="005F568D">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本项目主要声源均布置在车间内，采取室内声源等效室外声源声功率级计算方法。</w:t>
            </w:r>
          </w:p>
          <w:p w14:paraId="0E2E76D1">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首先计算出某个室内靠近围护结构处的倍频带声压级</w:t>
            </w:r>
          </w:p>
          <w:p w14:paraId="307451BB">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28"/>
                <w:sz w:val="24"/>
                <w:szCs w:val="24"/>
                <w:lang w:eastAsia="zh-CN"/>
                <w14:textFill>
                  <w14:solidFill>
                    <w14:schemeClr w14:val="tx1"/>
                  </w14:solidFill>
                </w14:textFill>
              </w:rPr>
              <w:object>
                <v:shape id="_x0000_i1030" o:spt="75" type="#_x0000_t75" style="height:34pt;width:13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14:paraId="0D00D7F2">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某个室内声源在靠近围护结构处产生的倍频带声压级；</w:t>
            </w:r>
          </w:p>
          <w:p w14:paraId="56106DB3">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eastAsia" w:cs="Times New Roman"/>
                <w:i/>
                <w:iCs/>
                <w:snapToGrid/>
                <w:color w:val="000000" w:themeColor="text1"/>
                <w:spacing w:val="0"/>
                <w:kern w:val="0"/>
                <w:position w:val="0"/>
                <w:sz w:val="24"/>
                <w:szCs w:val="24"/>
                <w:vertAlign w:val="subscript"/>
                <w:lang w:val="en-US" w:eastAsia="zh-CN"/>
                <w14:textFill>
                  <w14:solidFill>
                    <w14:schemeClr w14:val="tx1"/>
                  </w14:solidFill>
                </w14:textFill>
              </w:rPr>
              <w:t>w</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某个声源的倍频带声功率级；</w:t>
            </w:r>
          </w:p>
          <w:p w14:paraId="78B9A458">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室内某个声源与靠近围护结构处的距离；</w:t>
            </w:r>
          </w:p>
          <w:p w14:paraId="0D166E7C">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房间常数；</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R=Sα/(1−α)</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为房间内表面面积，</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w:t>
            </w:r>
            <w:r>
              <w:rPr>
                <w:rFonts w:hint="default" w:ascii="Times New Roman" w:hAnsi="Times New Roman" w:eastAsia="宋体" w:cs="Times New Roman"/>
                <w:snapToGrid/>
                <w:color w:val="000000" w:themeColor="text1"/>
                <w:spacing w:val="0"/>
                <w:kern w:val="0"/>
                <w:position w:val="0"/>
                <w:sz w:val="24"/>
                <w:szCs w:val="24"/>
                <w:vertAlign w:val="superscript"/>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α</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为平均吸声系数，本次评价取</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02BD347E">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方向性因子，通常对无指向性声源，当声源放在房间中心时，</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；当放在一面墙的中心时，</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；当放在两面墙夹角处时，</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；当放在三面墙夹角处时，</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。本次评价</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BA6D2AB">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2）计算出所有室内声源在靠近围护结构处产生的总倍频带声压级</w:t>
            </w:r>
          </w:p>
          <w:p w14:paraId="7B603889">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32"/>
                <w:sz w:val="24"/>
                <w:szCs w:val="24"/>
                <w:lang w:eastAsia="zh-CN"/>
                <w14:textFill>
                  <w14:solidFill>
                    <w14:schemeClr w14:val="tx1"/>
                  </w14:solidFill>
                </w14:textFill>
              </w:rPr>
              <w:object>
                <v:shape id="_x0000_i1031" o:spt="75" type="#_x0000_t75" style="height:38pt;width:131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14:paraId="7A09574C">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vertAlign w:val="subscript"/>
                <w:lang w:val="en-US" w:eastAsia="zh-CN"/>
                <w14:textFill>
                  <w14:solidFill>
                    <w14:schemeClr w14:val="tx1"/>
                  </w14:solidFill>
                </w14:textFill>
              </w:rPr>
              <w:t>i</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(T)</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靠近围护结构处室内</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N</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个声源</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倍频带的叠加声压级，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94CEF57">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vertAlign w:val="subscript"/>
                <w:lang w:val="en-US" w:eastAsia="zh-CN"/>
                <w14:textFill>
                  <w14:solidFill>
                    <w14:schemeClr w14:val="tx1"/>
                  </w14:solidFill>
                </w14:textFill>
              </w:rPr>
              <w:t>ij</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室内</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j</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声源</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169379FB">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N</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室内声源总数。</w:t>
            </w:r>
          </w:p>
          <w:p w14:paraId="577223E2">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3）计算出室外靠近围护结构的声压级</w:t>
            </w:r>
          </w:p>
          <w:p w14:paraId="348C167A">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14"/>
                <w:sz w:val="24"/>
                <w:szCs w:val="24"/>
                <w:lang w:eastAsia="zh-CN"/>
                <w14:textFill>
                  <w14:solidFill>
                    <w14:schemeClr w14:val="tx1"/>
                  </w14:solidFill>
                </w14:textFill>
              </w:rPr>
              <w:object>
                <v:shape id="_x0000_i1032" o:spt="75" type="#_x0000_t75" style="height:19pt;width:135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14:paraId="5DC06655">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eastAsia" w:cs="Times New Roman"/>
                <w:snapToGrid/>
                <w:color w:val="000000" w:themeColor="text1"/>
                <w:spacing w:val="0"/>
                <w:kern w:val="0"/>
                <w:position w:val="0"/>
                <w:sz w:val="24"/>
                <w:szCs w:val="24"/>
                <w:vertAlign w:val="subscript"/>
                <w:lang w:val="en-US" w:eastAsia="zh-CN"/>
                <w14:textFill>
                  <w14:solidFill>
                    <w14:schemeClr w14:val="tx1"/>
                  </w14:solidFill>
                </w14:textFill>
              </w:rPr>
              <w:t>2i</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(T)</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靠近围护结构处室外</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N</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个声源</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倍频带的叠加声压级，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C9477FD">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eastAsia" w:cs="Times New Roman"/>
                <w:snapToGrid/>
                <w:color w:val="000000" w:themeColor="text1"/>
                <w:spacing w:val="0"/>
                <w:kern w:val="0"/>
                <w:position w:val="0"/>
                <w:sz w:val="24"/>
                <w:szCs w:val="24"/>
                <w:vertAlign w:val="subscript"/>
                <w:lang w:val="en-US" w:eastAsia="zh-CN"/>
                <w14:textFill>
                  <w14:solidFill>
                    <w14:schemeClr w14:val="tx1"/>
                  </w14:solidFill>
                </w14:textFill>
              </w:rPr>
              <w:t>1i</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(T)</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靠近围护结构处室内</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N</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个声源</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倍频带的叠加声压级，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47276C5">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i</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围护结构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倍频带的隔声量，</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265E18C0">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eastAsia="宋体"/>
                <w:color w:val="000000" w:themeColor="text1"/>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4）将室外声级和透声面积换算成等效的室外声源，计算出等效声源第</w:t>
            </w:r>
            <w:r>
              <w:rPr>
                <w:rFonts w:hint="default"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个倍频带的声功率级</w:t>
            </w:r>
            <w:r>
              <w:rPr>
                <w:rFonts w:hint="default"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cs="Times New Roman"/>
                <w:snapToGrid/>
                <w:color w:val="000000" w:themeColor="text1"/>
                <w:spacing w:val="0"/>
                <w:kern w:val="0"/>
                <w:position w:val="0"/>
                <w:sz w:val="24"/>
                <w:szCs w:val="24"/>
                <w:vertAlign w:val="subscript"/>
                <w:lang w:val="en-US" w:eastAsia="zh-CN"/>
                <w14:textFill>
                  <w14:solidFill>
                    <w14:schemeClr w14:val="tx1"/>
                  </w14:solidFill>
                </w14:textFill>
              </w:rPr>
              <w:t>w</w:t>
            </w:r>
          </w:p>
          <w:p w14:paraId="3318BEDF">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14"/>
                <w:sz w:val="24"/>
                <w:szCs w:val="24"/>
                <w:lang w:eastAsia="zh-CN"/>
                <w14:textFill>
                  <w14:solidFill>
                    <w14:schemeClr w14:val="tx1"/>
                  </w14:solidFill>
                </w14:textFill>
              </w:rPr>
              <w:object>
                <v:shape id="_x0000_i1033" o:spt="75" type="#_x0000_t75" style="height:19pt;width:103.95pt;" o:ole="t" filled="f" o:preferrelative="t" stroked="f" coordsize="21600,21600">
                  <v:path/>
                  <v:fill on="f" focussize="0,0"/>
                  <v:stroke on="f"/>
                  <v:imagedata r:id="rId33" o:title=""/>
                  <o:lock v:ext="edit" aspectratio="t"/>
                  <w10:wrap type="none"/>
                  <w10:anchorlock/>
                </v:shape>
                <o:OLEObject Type="Embed" ProgID="Equation.KSEE3" ShapeID="_x0000_i1033" DrawAspect="Content" ObjectID="_1468075733" r:id="rId32">
                  <o:LockedField>false</o:LockedField>
                </o:OLEObject>
              </w:object>
            </w:r>
          </w:p>
          <w:p w14:paraId="2CC8611C">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wi</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中心位置位于透声面积（</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）处的等效声源的倍频带声功率级，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6F964E9E">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eastAsia" w:cs="Times New Roman"/>
                <w:snapToGrid/>
                <w:color w:val="000000" w:themeColor="text1"/>
                <w:spacing w:val="0"/>
                <w:kern w:val="0"/>
                <w:position w:val="0"/>
                <w:sz w:val="24"/>
                <w:szCs w:val="24"/>
                <w:vertAlign w:val="subscript"/>
                <w:lang w:val="en-US" w:eastAsia="zh-CN"/>
                <w14:textFill>
                  <w14:solidFill>
                    <w14:schemeClr w14:val="tx1"/>
                  </w14:solidFill>
                </w14:textFill>
              </w:rPr>
              <w:t>2</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(T)</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靠近围护结构处室外声源的声压级，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C24AAC1">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透声面积，</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w:t>
            </w:r>
            <w:r>
              <w:rPr>
                <w:rFonts w:hint="default" w:ascii="Times New Roman" w:hAnsi="Times New Roman" w:eastAsia="宋体" w:cs="Times New Roman"/>
                <w:snapToGrid/>
                <w:color w:val="000000" w:themeColor="text1"/>
                <w:spacing w:val="0"/>
                <w:kern w:val="0"/>
                <w:position w:val="0"/>
                <w:sz w:val="24"/>
                <w:szCs w:val="24"/>
                <w:vertAlign w:val="superscript"/>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4F5A93A4">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5）按室外声源预测方法计算预测点处的</w:t>
            </w:r>
            <w:r>
              <w:rPr>
                <w:rFonts w:hint="default"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声级。室外声源处于半自由声场情况下，且声源可看作是位于地面上的，则：</w:t>
            </w:r>
          </w:p>
          <w:p w14:paraId="63F6843A">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14"/>
                <w:sz w:val="24"/>
                <w:szCs w:val="24"/>
                <w:lang w:eastAsia="zh-CN"/>
                <w14:textFill>
                  <w14:solidFill>
                    <w14:schemeClr w14:val="tx1"/>
                  </w14:solidFill>
                </w14:textFill>
              </w:rPr>
              <w:object>
                <v:shape id="_x0000_i1034" o:spt="75" type="#_x0000_t75" style="height:19pt;width:117pt;" o:ole="t" filled="f" o:preferrelative="t" stroked="f" coordsize="21600,21600">
                  <v:path/>
                  <v:fill on="f" focussize="0,0"/>
                  <v:stroke on="f"/>
                  <v:imagedata r:id="rId35" o:title=""/>
                  <o:lock v:ext="edit" aspectratio="t"/>
                  <w10:wrap type="none"/>
                  <w10:anchorlock/>
                </v:shape>
                <o:OLEObject Type="Embed" ProgID="Equation.KSEE3" ShapeID="_x0000_i1034" DrawAspect="Content" ObjectID="_1468075734" r:id="rId34">
                  <o:LockedField>false</o:LockedField>
                </o:OLEObject>
              </w:object>
            </w:r>
          </w:p>
          <w:p w14:paraId="0A858C9C">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vertAlign w:val="baseline"/>
                <w:lang w:val="en-US" w:eastAsia="zh-CN"/>
                <w14:textFill>
                  <w14:solidFill>
                    <w14:schemeClr w14:val="tx1"/>
                  </w14:solidFill>
                </w14:textFill>
              </w:rPr>
              <w:t>L</w:t>
            </w:r>
            <w:r>
              <w:rPr>
                <w:rFonts w:hint="default" w:ascii="Times New Roman" w:hAnsi="Times New Roman" w:eastAsia="宋体" w:cs="Times New Roman"/>
                <w:i/>
                <w:iCs/>
                <w:snapToGrid/>
                <w:color w:val="000000" w:themeColor="text1"/>
                <w:spacing w:val="0"/>
                <w:kern w:val="0"/>
                <w:position w:val="0"/>
                <w:sz w:val="24"/>
                <w:szCs w:val="24"/>
                <w:vertAlign w:val="subscript"/>
                <w:lang w:val="en-US" w:eastAsia="zh-CN"/>
                <w14:textFill>
                  <w14:solidFill>
                    <w14:schemeClr w14:val="tx1"/>
                  </w14:solidFill>
                </w14:textFill>
              </w:rPr>
              <w:t>p</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预测点处声压级，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74C305D">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eastAsia" w:cs="Times New Roman"/>
                <w:i/>
                <w:iCs/>
                <w:snapToGrid/>
                <w:color w:val="000000" w:themeColor="text1"/>
                <w:spacing w:val="0"/>
                <w:kern w:val="0"/>
                <w:position w:val="0"/>
                <w:sz w:val="24"/>
                <w:szCs w:val="24"/>
                <w:vertAlign w:val="subscript"/>
                <w:lang w:val="en-US" w:eastAsia="zh-CN"/>
                <w14:textFill>
                  <w14:solidFill>
                    <w14:schemeClr w14:val="tx1"/>
                  </w14:solidFill>
                </w14:textFill>
              </w:rPr>
              <w:t>w</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由点声源产生的倍频带声功率级，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2C29027B">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预测点距声源的距离。</w:t>
            </w:r>
          </w:p>
          <w:p w14:paraId="13DD9361">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6）倍频带声压级和</w:t>
            </w:r>
            <w:r>
              <w:rPr>
                <w:rFonts w:hint="default"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声级转换</w:t>
            </w:r>
          </w:p>
          <w:p w14:paraId="4676325E">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30"/>
                <w:sz w:val="24"/>
                <w:szCs w:val="24"/>
                <w:lang w:eastAsia="zh-CN"/>
                <w14:textFill>
                  <w14:solidFill>
                    <w14:schemeClr w14:val="tx1"/>
                  </w14:solidFill>
                </w14:textFill>
              </w:rPr>
              <w:object>
                <v:shape id="_x0000_i1035" o:spt="75" type="#_x0000_t75" style="height:36pt;width:147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5" r:id="rId36">
                  <o:LockedField>false</o:LockedField>
                </o:OLEObject>
              </w:object>
            </w:r>
          </w:p>
          <w:p w14:paraId="646E14AF">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A</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距声源</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处的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6C934378">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pi</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预测点（</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r</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）处，第</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倍频带声压级，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5428BC0C">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ΔL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i</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第</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倍频带的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计权网络修正值，</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4BCAADE">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7）运行设备到厂界噪声叠加按照下式计算</w:t>
            </w:r>
          </w:p>
          <w:p w14:paraId="64DFFE59">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34"/>
                <w:sz w:val="24"/>
                <w:szCs w:val="24"/>
                <w:lang w:eastAsia="zh-CN"/>
                <w14:textFill>
                  <w14:solidFill>
                    <w14:schemeClr w14:val="tx1"/>
                  </w14:solidFill>
                </w14:textFill>
              </w:rPr>
              <w:object>
                <v:shape id="_x0000_i1036" o:spt="75" type="#_x0000_t75" style="height:40pt;width:204.95pt;" o:ole="t" filled="f" o:preferrelative="t" stroked="f" coordsize="21600,21600">
                  <v:path/>
                  <v:fill on="f" focussize="0,0"/>
                  <v:stroke on="f"/>
                  <v:imagedata r:id="rId39" o:title=""/>
                  <o:lock v:ext="edit" aspectratio="t"/>
                  <w10:wrap type="none"/>
                  <w10:anchorlock/>
                </v:shape>
                <o:OLEObject Type="Embed" ProgID="Equation.KSEE3" ShapeID="_x0000_i1036" DrawAspect="Content" ObjectID="_1468075736" r:id="rId38">
                  <o:LockedField>false</o:LockedField>
                </o:OLEObject>
              </w:object>
            </w:r>
          </w:p>
          <w:p w14:paraId="3AC6C99B">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式中：</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eq</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建设项目声源在预测点的等效声级贡献值，</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233714A9">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L</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Ai</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室外</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声源在预测点产生的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声级，</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dB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15F4821D">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j</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等效室外声源在</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时间内</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j</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声源工作时间，</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A6F83A5">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w:t>
            </w:r>
            <w:r>
              <w:rPr>
                <w:rFonts w:hint="default" w:ascii="Times New Roman" w:hAnsi="Times New Roman" w:eastAsia="宋体" w:cs="Times New Roman"/>
                <w:snapToGrid/>
                <w:color w:val="000000" w:themeColor="text1"/>
                <w:spacing w:val="0"/>
                <w:kern w:val="0"/>
                <w:position w:val="0"/>
                <w:sz w:val="24"/>
                <w:szCs w:val="24"/>
                <w:vertAlign w:val="subscript"/>
                <w:lang w:val="en-US" w:eastAsia="zh-CN"/>
                <w14:textFill>
                  <w14:solidFill>
                    <w14:schemeClr w14:val="tx1"/>
                  </w14:solidFill>
                </w14:textFill>
              </w:rPr>
              <w:t>i</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室外声源在</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时间内</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声源工作时间，</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15570F45">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用于计算等效声级的时间，</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p>
          <w:p w14:paraId="5D360BDD">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N</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室外声源个数；</w:t>
            </w:r>
          </w:p>
          <w:p w14:paraId="7396A313">
            <w:pPr>
              <w:pStyle w:val="7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baseline"/>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等效室外声源个数</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p>
          <w:p w14:paraId="4E698AAF">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）噪声预测模式</w:t>
            </w:r>
          </w:p>
          <w:p w14:paraId="413366DD">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snapToGrid/>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项目各类主要噪声源均集中在厂房内，在采取措施的情况下，噪声厂界贡献值见下表。</w:t>
            </w:r>
          </w:p>
          <w:p w14:paraId="2A18FCD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11</w: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 xml:space="preserve">  项目厂界噪声预测结果一览表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69"/>
              <w:gridCol w:w="1663"/>
              <w:gridCol w:w="1678"/>
              <w:gridCol w:w="2730"/>
            </w:tblGrid>
            <w:tr w14:paraId="6A6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vMerge w:val="restart"/>
                  <w:tcBorders>
                    <w:tl2br w:val="nil"/>
                    <w:tr2bl w:val="nil"/>
                  </w:tcBorders>
                  <w:noWrap w:val="0"/>
                  <w:vAlign w:val="center"/>
                </w:tcPr>
                <w:p w14:paraId="08F1102B">
                  <w:pPr>
                    <w:jc w:val="center"/>
                    <w:rPr>
                      <w:b/>
                      <w:bCs/>
                      <w:snapToGrid/>
                      <w:color w:val="000000" w:themeColor="text1"/>
                      <w:spacing w:val="0"/>
                      <w:kern w:val="0"/>
                      <w:position w:val="0"/>
                      <w:sz w:val="21"/>
                      <w:szCs w:val="21"/>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点位</w:t>
                  </w:r>
                </w:p>
              </w:tc>
              <w:tc>
                <w:tcPr>
                  <w:tcW w:w="2027" w:type="pct"/>
                  <w:gridSpan w:val="2"/>
                  <w:tcBorders>
                    <w:tl2br w:val="nil"/>
                    <w:tr2bl w:val="nil"/>
                  </w:tcBorders>
                  <w:noWrap w:val="0"/>
                  <w:vAlign w:val="center"/>
                </w:tcPr>
                <w:p w14:paraId="0A0F0F95">
                  <w:pPr>
                    <w:jc w:val="center"/>
                    <w:rPr>
                      <w:b/>
                      <w:bCs/>
                      <w:snapToGrid/>
                      <w:color w:val="000000" w:themeColor="text1"/>
                      <w:spacing w:val="0"/>
                      <w:kern w:val="0"/>
                      <w:position w:val="0"/>
                      <w:sz w:val="21"/>
                      <w:szCs w:val="21"/>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贡献值</w:t>
                  </w:r>
                </w:p>
              </w:tc>
              <w:tc>
                <w:tcPr>
                  <w:tcW w:w="1656" w:type="pct"/>
                  <w:vMerge w:val="restart"/>
                  <w:tcBorders>
                    <w:tl2br w:val="nil"/>
                    <w:tr2bl w:val="nil"/>
                  </w:tcBorders>
                  <w:noWrap w:val="0"/>
                  <w:vAlign w:val="center"/>
                </w:tcPr>
                <w:p w14:paraId="204B8EC0">
                  <w:pPr>
                    <w:jc w:val="center"/>
                    <w:rPr>
                      <w:b/>
                      <w:bCs/>
                      <w:snapToGrid/>
                      <w:color w:val="000000" w:themeColor="text1"/>
                      <w:spacing w:val="0"/>
                      <w:kern w:val="0"/>
                      <w:position w:val="0"/>
                      <w:sz w:val="21"/>
                      <w:szCs w:val="21"/>
                      <w14:textFill>
                        <w14:solidFill>
                          <w14:schemeClr w14:val="tx1"/>
                        </w14:solidFill>
                      </w14:textFill>
                    </w:rPr>
                  </w:pPr>
                  <w:r>
                    <w:rPr>
                      <w:b/>
                      <w:bCs/>
                      <w:snapToGrid/>
                      <w:color w:val="000000" w:themeColor="text1"/>
                      <w:spacing w:val="0"/>
                      <w:kern w:val="0"/>
                      <w:position w:val="0"/>
                      <w:sz w:val="21"/>
                      <w:szCs w:val="21"/>
                      <w14:textFill>
                        <w14:solidFill>
                          <w14:schemeClr w14:val="tx1"/>
                        </w14:solidFill>
                      </w14:textFill>
                    </w:rPr>
                    <w:t>备注</w:t>
                  </w:r>
                </w:p>
              </w:tc>
            </w:tr>
            <w:tr w14:paraId="5717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316" w:type="pct"/>
                  <w:vMerge w:val="continue"/>
                  <w:tcBorders>
                    <w:tl2br w:val="nil"/>
                    <w:tr2bl w:val="nil"/>
                  </w:tcBorders>
                  <w:noWrap w:val="0"/>
                  <w:vAlign w:val="center"/>
                </w:tcPr>
                <w:p w14:paraId="2525F858">
                  <w:pPr>
                    <w:jc w:val="center"/>
                    <w:rPr>
                      <w:b/>
                      <w:bCs/>
                      <w:snapToGrid/>
                      <w:color w:val="000000" w:themeColor="text1"/>
                      <w:spacing w:val="0"/>
                      <w:kern w:val="0"/>
                      <w:position w:val="0"/>
                      <w:sz w:val="21"/>
                      <w:szCs w:val="21"/>
                      <w14:textFill>
                        <w14:solidFill>
                          <w14:schemeClr w14:val="tx1"/>
                        </w14:solidFill>
                      </w14:textFill>
                    </w:rPr>
                  </w:pPr>
                </w:p>
              </w:tc>
              <w:tc>
                <w:tcPr>
                  <w:tcW w:w="1009" w:type="pct"/>
                  <w:tcBorders>
                    <w:tl2br w:val="nil"/>
                    <w:tr2bl w:val="nil"/>
                  </w:tcBorders>
                  <w:noWrap w:val="0"/>
                  <w:vAlign w:val="center"/>
                </w:tcPr>
                <w:p w14:paraId="011A3120">
                  <w:pPr>
                    <w:jc w:val="center"/>
                    <w:rPr>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昼间</w:t>
                  </w:r>
                </w:p>
              </w:tc>
              <w:tc>
                <w:tcPr>
                  <w:tcW w:w="1018" w:type="pct"/>
                  <w:tcBorders>
                    <w:tl2br w:val="nil"/>
                    <w:tr2bl w:val="nil"/>
                  </w:tcBorders>
                  <w:noWrap w:val="0"/>
                  <w:vAlign w:val="center"/>
                </w:tcPr>
                <w:p w14:paraId="0E829C04">
                  <w:pPr>
                    <w:jc w:val="cente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夜间</w:t>
                  </w:r>
                </w:p>
              </w:tc>
              <w:tc>
                <w:tcPr>
                  <w:tcW w:w="1656" w:type="pct"/>
                  <w:vMerge w:val="continue"/>
                  <w:tcBorders>
                    <w:tl2br w:val="nil"/>
                    <w:tr2bl w:val="nil"/>
                  </w:tcBorders>
                  <w:noWrap w:val="0"/>
                  <w:vAlign w:val="center"/>
                </w:tcPr>
                <w:p w14:paraId="030F3701">
                  <w:pPr>
                    <w:jc w:val="center"/>
                    <w:rPr>
                      <w:b/>
                      <w:bCs/>
                      <w:snapToGrid/>
                      <w:color w:val="000000" w:themeColor="text1"/>
                      <w:spacing w:val="0"/>
                      <w:kern w:val="0"/>
                      <w:position w:val="0"/>
                      <w:sz w:val="21"/>
                      <w:szCs w:val="21"/>
                      <w14:textFill>
                        <w14:solidFill>
                          <w14:schemeClr w14:val="tx1"/>
                        </w14:solidFill>
                      </w14:textFill>
                    </w:rPr>
                  </w:pPr>
                </w:p>
              </w:tc>
            </w:tr>
            <w:tr w14:paraId="27C1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tcBorders>
                    <w:tl2br w:val="nil"/>
                    <w:tr2bl w:val="nil"/>
                  </w:tcBorders>
                  <w:noWrap w:val="0"/>
                  <w:vAlign w:val="center"/>
                </w:tcPr>
                <w:p w14:paraId="6B640232">
                  <w:pPr>
                    <w:jc w:val="center"/>
                    <w:rPr>
                      <w:rFonts w:hint="default" w:eastAsia="宋体"/>
                      <w:snapToGrid/>
                      <w:color w:val="000000" w:themeColor="text1"/>
                      <w:spacing w:val="0"/>
                      <w:kern w:val="0"/>
                      <w:position w:val="0"/>
                      <w:sz w:val="21"/>
                      <w:szCs w:val="21"/>
                      <w:lang w:val="en-US" w:eastAsia="zh-CN"/>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东厂界</w:t>
                  </w:r>
                  <w:r>
                    <w:rPr>
                      <w:rFonts w:hint="eastAsia"/>
                      <w:snapToGrid/>
                      <w:color w:val="000000" w:themeColor="text1"/>
                      <w:spacing w:val="0"/>
                      <w:kern w:val="0"/>
                      <w:position w:val="0"/>
                      <w:sz w:val="21"/>
                      <w:szCs w:val="21"/>
                      <w:lang w:val="en-US" w:eastAsia="zh-CN"/>
                      <w14:textFill>
                        <w14:solidFill>
                          <w14:schemeClr w14:val="tx1"/>
                        </w14:solidFill>
                      </w14:textFill>
                    </w:rPr>
                    <w:t>外1m处</w:t>
                  </w:r>
                </w:p>
              </w:tc>
              <w:tc>
                <w:tcPr>
                  <w:tcW w:w="1009" w:type="pct"/>
                  <w:tcBorders>
                    <w:tl2br w:val="nil"/>
                    <w:tr2bl w:val="nil"/>
                  </w:tcBorders>
                  <w:noWrap w:val="0"/>
                  <w:vAlign w:val="center"/>
                </w:tcPr>
                <w:p w14:paraId="1025510E">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32</w:t>
                  </w:r>
                </w:p>
              </w:tc>
              <w:tc>
                <w:tcPr>
                  <w:tcW w:w="1678" w:type="dxa"/>
                  <w:tcBorders>
                    <w:tl2br w:val="nil"/>
                    <w:tr2bl w:val="nil"/>
                  </w:tcBorders>
                  <w:noWrap w:val="0"/>
                  <w:vAlign w:val="center"/>
                </w:tcPr>
                <w:p w14:paraId="2527AF2D">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32</w:t>
                  </w:r>
                </w:p>
              </w:tc>
              <w:tc>
                <w:tcPr>
                  <w:tcW w:w="1656" w:type="pct"/>
                  <w:tcBorders>
                    <w:tl2br w:val="nil"/>
                    <w:tr2bl w:val="nil"/>
                  </w:tcBorders>
                  <w:noWrap w:val="0"/>
                  <w:vAlign w:val="center"/>
                </w:tcPr>
                <w:p w14:paraId="1046FCB5">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达标</w:t>
                  </w:r>
                </w:p>
              </w:tc>
            </w:tr>
            <w:tr w14:paraId="17FB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tcBorders>
                    <w:tl2br w:val="nil"/>
                    <w:tr2bl w:val="nil"/>
                  </w:tcBorders>
                  <w:noWrap w:val="0"/>
                  <w:vAlign w:val="center"/>
                </w:tcPr>
                <w:p w14:paraId="20978CB6">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南厂界</w:t>
                  </w:r>
                  <w:r>
                    <w:rPr>
                      <w:rFonts w:hint="eastAsia"/>
                      <w:snapToGrid/>
                      <w:color w:val="000000" w:themeColor="text1"/>
                      <w:spacing w:val="0"/>
                      <w:kern w:val="0"/>
                      <w:position w:val="0"/>
                      <w:sz w:val="21"/>
                      <w:szCs w:val="21"/>
                      <w:lang w:val="en-US" w:eastAsia="zh-CN"/>
                      <w14:textFill>
                        <w14:solidFill>
                          <w14:schemeClr w14:val="tx1"/>
                        </w14:solidFill>
                      </w14:textFill>
                    </w:rPr>
                    <w:t>外1m处</w:t>
                  </w:r>
                </w:p>
              </w:tc>
              <w:tc>
                <w:tcPr>
                  <w:tcW w:w="1009" w:type="pct"/>
                  <w:tcBorders>
                    <w:tl2br w:val="nil"/>
                    <w:tr2bl w:val="nil"/>
                  </w:tcBorders>
                  <w:noWrap w:val="0"/>
                  <w:vAlign w:val="center"/>
                </w:tcPr>
                <w:p w14:paraId="303FB2C1">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35</w:t>
                  </w:r>
                </w:p>
              </w:tc>
              <w:tc>
                <w:tcPr>
                  <w:tcW w:w="1678" w:type="dxa"/>
                  <w:tcBorders>
                    <w:tl2br w:val="nil"/>
                    <w:tr2bl w:val="nil"/>
                  </w:tcBorders>
                  <w:noWrap w:val="0"/>
                  <w:vAlign w:val="center"/>
                </w:tcPr>
                <w:p w14:paraId="3ADF2DE7">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35</w:t>
                  </w:r>
                </w:p>
              </w:tc>
              <w:tc>
                <w:tcPr>
                  <w:tcW w:w="1656" w:type="pct"/>
                  <w:tcBorders>
                    <w:tl2br w:val="nil"/>
                    <w:tr2bl w:val="nil"/>
                  </w:tcBorders>
                  <w:noWrap w:val="0"/>
                  <w:vAlign w:val="center"/>
                </w:tcPr>
                <w:p w14:paraId="1236B485">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达标</w:t>
                  </w:r>
                </w:p>
              </w:tc>
            </w:tr>
            <w:tr w14:paraId="6C67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tcBorders>
                    <w:tl2br w:val="nil"/>
                    <w:tr2bl w:val="nil"/>
                  </w:tcBorders>
                  <w:noWrap w:val="0"/>
                  <w:vAlign w:val="center"/>
                </w:tcPr>
                <w:p w14:paraId="2ACB108A">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西厂界</w:t>
                  </w:r>
                  <w:r>
                    <w:rPr>
                      <w:rFonts w:hint="eastAsia"/>
                      <w:snapToGrid/>
                      <w:color w:val="000000" w:themeColor="text1"/>
                      <w:spacing w:val="0"/>
                      <w:kern w:val="0"/>
                      <w:position w:val="0"/>
                      <w:sz w:val="21"/>
                      <w:szCs w:val="21"/>
                      <w:lang w:val="en-US" w:eastAsia="zh-CN"/>
                      <w14:textFill>
                        <w14:solidFill>
                          <w14:schemeClr w14:val="tx1"/>
                        </w14:solidFill>
                      </w14:textFill>
                    </w:rPr>
                    <w:t>外1m处</w:t>
                  </w:r>
                </w:p>
              </w:tc>
              <w:tc>
                <w:tcPr>
                  <w:tcW w:w="1009" w:type="pct"/>
                  <w:tcBorders>
                    <w:tl2br w:val="nil"/>
                    <w:tr2bl w:val="nil"/>
                  </w:tcBorders>
                  <w:noWrap w:val="0"/>
                  <w:vAlign w:val="center"/>
                </w:tcPr>
                <w:p w14:paraId="241A64C7">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37</w:t>
                  </w:r>
                </w:p>
              </w:tc>
              <w:tc>
                <w:tcPr>
                  <w:tcW w:w="1678" w:type="dxa"/>
                  <w:tcBorders>
                    <w:tl2br w:val="nil"/>
                    <w:tr2bl w:val="nil"/>
                  </w:tcBorders>
                  <w:noWrap w:val="0"/>
                  <w:vAlign w:val="center"/>
                </w:tcPr>
                <w:p w14:paraId="5F3111CA">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37</w:t>
                  </w:r>
                </w:p>
              </w:tc>
              <w:tc>
                <w:tcPr>
                  <w:tcW w:w="1656" w:type="pct"/>
                  <w:tcBorders>
                    <w:tl2br w:val="nil"/>
                    <w:tr2bl w:val="nil"/>
                  </w:tcBorders>
                  <w:noWrap w:val="0"/>
                  <w:vAlign w:val="center"/>
                </w:tcPr>
                <w:p w14:paraId="4EC7A71A">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达标</w:t>
                  </w:r>
                </w:p>
              </w:tc>
            </w:tr>
            <w:tr w14:paraId="5E4D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tcBorders>
                    <w:tl2br w:val="nil"/>
                    <w:tr2bl w:val="nil"/>
                  </w:tcBorders>
                  <w:noWrap w:val="0"/>
                  <w:vAlign w:val="center"/>
                </w:tcPr>
                <w:p w14:paraId="6749AB9D">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北厂界</w:t>
                  </w:r>
                  <w:r>
                    <w:rPr>
                      <w:rFonts w:hint="eastAsia"/>
                      <w:snapToGrid/>
                      <w:color w:val="000000" w:themeColor="text1"/>
                      <w:spacing w:val="0"/>
                      <w:kern w:val="0"/>
                      <w:position w:val="0"/>
                      <w:sz w:val="21"/>
                      <w:szCs w:val="21"/>
                      <w:lang w:val="en-US" w:eastAsia="zh-CN"/>
                      <w14:textFill>
                        <w14:solidFill>
                          <w14:schemeClr w14:val="tx1"/>
                        </w14:solidFill>
                      </w14:textFill>
                    </w:rPr>
                    <w:t>外1m处</w:t>
                  </w:r>
                </w:p>
              </w:tc>
              <w:tc>
                <w:tcPr>
                  <w:tcW w:w="1009" w:type="pct"/>
                  <w:tcBorders>
                    <w:tl2br w:val="nil"/>
                    <w:tr2bl w:val="nil"/>
                  </w:tcBorders>
                  <w:noWrap w:val="0"/>
                  <w:vAlign w:val="center"/>
                </w:tcPr>
                <w:p w14:paraId="323025B1">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39</w:t>
                  </w:r>
                </w:p>
              </w:tc>
              <w:tc>
                <w:tcPr>
                  <w:tcW w:w="1678" w:type="dxa"/>
                  <w:tcBorders>
                    <w:tl2br w:val="nil"/>
                    <w:tr2bl w:val="nil"/>
                  </w:tcBorders>
                  <w:noWrap w:val="0"/>
                  <w:vAlign w:val="center"/>
                </w:tcPr>
                <w:p w14:paraId="08D8BBA9">
                  <w:pPr>
                    <w:jc w:val="center"/>
                    <w:rPr>
                      <w:rFonts w:hint="default"/>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39</w:t>
                  </w:r>
                </w:p>
              </w:tc>
              <w:tc>
                <w:tcPr>
                  <w:tcW w:w="1656" w:type="pct"/>
                  <w:tcBorders>
                    <w:tl2br w:val="nil"/>
                    <w:tr2bl w:val="nil"/>
                  </w:tcBorders>
                  <w:noWrap w:val="0"/>
                  <w:vAlign w:val="center"/>
                </w:tcPr>
                <w:p w14:paraId="72170BFA">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达标</w:t>
                  </w:r>
                </w:p>
              </w:tc>
            </w:tr>
            <w:tr w14:paraId="66B1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16" w:type="pct"/>
                  <w:tcBorders>
                    <w:tl2br w:val="nil"/>
                    <w:tr2bl w:val="nil"/>
                  </w:tcBorders>
                  <w:noWrap w:val="0"/>
                  <w:vAlign w:val="center"/>
                </w:tcPr>
                <w:p w14:paraId="54F2F768">
                  <w:pPr>
                    <w:jc w:val="center"/>
                    <w:rPr>
                      <w:snapToGrid/>
                      <w:color w:val="000000" w:themeColor="text1"/>
                      <w:spacing w:val="0"/>
                      <w:kern w:val="0"/>
                      <w:position w:val="0"/>
                      <w:sz w:val="21"/>
                      <w:szCs w:val="21"/>
                      <w14:textFill>
                        <w14:solidFill>
                          <w14:schemeClr w14:val="tx1"/>
                        </w14:solidFill>
                      </w14:textFill>
                    </w:rPr>
                  </w:pPr>
                  <w:r>
                    <w:rPr>
                      <w:snapToGrid/>
                      <w:color w:val="000000" w:themeColor="text1"/>
                      <w:spacing w:val="0"/>
                      <w:kern w:val="0"/>
                      <w:position w:val="0"/>
                      <w:sz w:val="21"/>
                      <w:szCs w:val="21"/>
                      <w14:textFill>
                        <w14:solidFill>
                          <w14:schemeClr w14:val="tx1"/>
                        </w14:solidFill>
                      </w14:textFill>
                    </w:rPr>
                    <w:t>执行标准</w:t>
                  </w:r>
                </w:p>
              </w:tc>
              <w:tc>
                <w:tcPr>
                  <w:tcW w:w="3683" w:type="pct"/>
                  <w:gridSpan w:val="3"/>
                  <w:tcBorders>
                    <w:tl2br w:val="nil"/>
                    <w:tr2bl w:val="nil"/>
                  </w:tcBorders>
                  <w:noWrap w:val="0"/>
                  <w:vAlign w:val="center"/>
                </w:tcPr>
                <w:p w14:paraId="03749EC0">
                  <w:pPr>
                    <w:jc w:val="center"/>
                    <w:rPr>
                      <w:rFonts w:hint="eastAsia"/>
                      <w:snapToGrid/>
                      <w:color w:val="000000" w:themeColor="text1"/>
                      <w:spacing w:val="0"/>
                      <w:kern w:val="0"/>
                      <w:position w:val="0"/>
                      <w:sz w:val="21"/>
                      <w:szCs w:val="21"/>
                      <w:lang w:val="en-US" w:eastAsia="zh-CN"/>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《工业企业厂界环境噪声排放标准》2</w:t>
                  </w:r>
                  <w:r>
                    <w:rPr>
                      <w:snapToGrid/>
                      <w:color w:val="000000" w:themeColor="text1"/>
                      <w:spacing w:val="0"/>
                      <w:kern w:val="0"/>
                      <w:position w:val="0"/>
                      <w:sz w:val="21"/>
                      <w:szCs w:val="21"/>
                      <w14:textFill>
                        <w14:solidFill>
                          <w14:schemeClr w14:val="tx1"/>
                        </w14:solidFill>
                      </w14:textFill>
                    </w:rPr>
                    <w:t>类</w:t>
                  </w:r>
                  <w:r>
                    <w:rPr>
                      <w:rFonts w:hint="eastAsia"/>
                      <w:snapToGrid/>
                      <w:color w:val="000000" w:themeColor="text1"/>
                      <w:spacing w:val="0"/>
                      <w:kern w:val="0"/>
                      <w:position w:val="0"/>
                      <w:sz w:val="21"/>
                      <w:szCs w:val="21"/>
                      <w:lang w:val="en-US" w:eastAsia="zh-CN"/>
                      <w14:textFill>
                        <w14:solidFill>
                          <w14:schemeClr w14:val="tx1"/>
                        </w14:solidFill>
                      </w14:textFill>
                    </w:rPr>
                    <w:t>标准</w:t>
                  </w:r>
                </w:p>
                <w:p w14:paraId="0E3C90A1">
                  <w:pPr>
                    <w:jc w:val="center"/>
                    <w:rPr>
                      <w:snapToGrid/>
                      <w:color w:val="000000" w:themeColor="text1"/>
                      <w:spacing w:val="0"/>
                      <w:kern w:val="0"/>
                      <w:position w:val="0"/>
                      <w:sz w:val="21"/>
                      <w:szCs w:val="21"/>
                      <w14:textFill>
                        <w14:solidFill>
                          <w14:schemeClr w14:val="tx1"/>
                        </w14:solidFill>
                      </w14:textFill>
                    </w:rPr>
                  </w:pPr>
                  <w:r>
                    <w:rPr>
                      <w:rFonts w:hint="eastAsia"/>
                      <w:snapToGrid/>
                      <w:color w:val="000000" w:themeColor="text1"/>
                      <w:spacing w:val="0"/>
                      <w:kern w:val="0"/>
                      <w:position w:val="0"/>
                      <w:sz w:val="21"/>
                      <w:szCs w:val="21"/>
                      <w:lang w:val="en-US" w:eastAsia="zh-CN"/>
                      <w14:textFill>
                        <w14:solidFill>
                          <w14:schemeClr w14:val="tx1"/>
                        </w14:solidFill>
                      </w14:textFill>
                    </w:rPr>
                    <w:t>（</w:t>
                  </w:r>
                  <w:r>
                    <w:rPr>
                      <w:snapToGrid/>
                      <w:color w:val="000000" w:themeColor="text1"/>
                      <w:spacing w:val="0"/>
                      <w:kern w:val="0"/>
                      <w:position w:val="0"/>
                      <w:sz w:val="21"/>
                      <w:szCs w:val="21"/>
                      <w14:textFill>
                        <w14:solidFill>
                          <w14:schemeClr w14:val="tx1"/>
                        </w14:solidFill>
                      </w14:textFill>
                    </w:rPr>
                    <w:t>昼间：6</w:t>
                  </w:r>
                  <w:r>
                    <w:rPr>
                      <w:rFonts w:hint="eastAsia"/>
                      <w:snapToGrid/>
                      <w:color w:val="000000" w:themeColor="text1"/>
                      <w:spacing w:val="0"/>
                      <w:kern w:val="0"/>
                      <w:position w:val="0"/>
                      <w:sz w:val="21"/>
                      <w:szCs w:val="21"/>
                      <w:lang w:val="en-US" w:eastAsia="zh-CN"/>
                      <w14:textFill>
                        <w14:solidFill>
                          <w14:schemeClr w14:val="tx1"/>
                        </w14:solidFill>
                      </w14:textFill>
                    </w:rPr>
                    <w:t>0，夜间：50）</w:t>
                  </w:r>
                </w:p>
              </w:tc>
            </w:tr>
          </w:tbl>
          <w:p w14:paraId="0D1EB21E">
            <w:pPr>
              <w:pStyle w:val="70"/>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baseline"/>
              <w:rPr>
                <w:snapToGrid/>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由上表可以看出，本项目运营期厂界</w:t>
            </w:r>
            <w:r>
              <w:rPr>
                <w:rFonts w:hint="eastAsia" w:cs="Times New Roman"/>
                <w:snapToGrid/>
                <w:color w:val="000000" w:themeColor="text1"/>
                <w:spacing w:val="0"/>
                <w:kern w:val="0"/>
                <w:position w:val="0"/>
                <w:sz w:val="24"/>
                <w:szCs w:val="24"/>
                <w:lang w:val="en-US" w:eastAsia="zh-CN"/>
                <w14:textFill>
                  <w14:solidFill>
                    <w14:schemeClr w14:val="tx1"/>
                  </w14:solidFill>
                </w14:textFill>
              </w:rPr>
              <w:t>昼夜噪声</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贡献值均能够达到《工业企业厂界环境噪声排放标准》（</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GB12348-2008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类标准限值的要求，因此，本项目运营期间对周围环境的影响较小。</w:t>
            </w:r>
          </w:p>
          <w:p w14:paraId="732CE6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t>（</w:t>
            </w:r>
            <w:r>
              <w:rPr>
                <w:rFonts w:hint="eastAsia" w:cs="Times New Roman"/>
                <w:snapToGrid/>
                <w:color w:val="000000" w:themeColor="text1"/>
                <w:spacing w:val="0"/>
                <w:kern w:val="0"/>
                <w:position w:val="0"/>
                <w:sz w:val="24"/>
                <w:lang w:val="en-US" w:eastAsia="zh-CN"/>
                <w14:textFill>
                  <w14:solidFill>
                    <w14:schemeClr w14:val="tx1"/>
                  </w14:solidFill>
                </w14:textFill>
              </w:rPr>
              <w:t>5</w:t>
            </w:r>
            <w:r>
              <w:rPr>
                <w:rFonts w:hint="eastAsia" w:ascii="Times New Roman" w:hAnsi="Times New Roman" w:eastAsia="宋体" w:cs="Times New Roman"/>
                <w:snapToGrid/>
                <w:color w:val="000000" w:themeColor="text1"/>
                <w:spacing w:val="0"/>
                <w:kern w:val="0"/>
                <w:position w:val="0"/>
                <w:sz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14:textFill>
                  <w14:solidFill>
                    <w14:schemeClr w14:val="tx1"/>
                  </w14:solidFill>
                </w14:textFill>
              </w:rPr>
              <w:t>监测计划</w:t>
            </w:r>
          </w:p>
          <w:p w14:paraId="27FA638E">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按照《排污单位自行监测技术指南 总则》（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HJ819-2017</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）《排污许可证申请与核发技术规范 工业噪声》（</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1301</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23）要求，厂区</w:t>
            </w:r>
            <w:r>
              <w:rPr>
                <w:rFonts w:hint="eastAsia" w:cs="Times New Roman"/>
                <w:snapToGrid/>
                <w:color w:val="000000" w:themeColor="text1"/>
                <w:spacing w:val="0"/>
                <w:kern w:val="0"/>
                <w:position w:val="0"/>
                <w:sz w:val="24"/>
                <w:szCs w:val="24"/>
                <w:lang w:val="en-US" w:eastAsia="zh-CN"/>
                <w14:textFill>
                  <w14:solidFill>
                    <w14:schemeClr w14:val="tx1"/>
                  </w14:solidFill>
                </w14:textFill>
              </w:rPr>
              <w:t>噪声</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监测计划如下表所示：</w:t>
            </w:r>
          </w:p>
          <w:p w14:paraId="3041064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12</w: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 xml:space="preserve">  运营期</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噪声日常</w:t>
            </w:r>
            <w:r>
              <w:rPr>
                <w:rFonts w:hint="eastAsia" w:ascii="Times New Roman" w:hAnsi="Times New Roman" w:eastAsia="宋体" w:cs="Times New Roman"/>
                <w:b/>
                <w:bCs/>
                <w:snapToGrid/>
                <w:color w:val="000000" w:themeColor="text1"/>
                <w:spacing w:val="0"/>
                <w:kern w:val="0"/>
                <w:position w:val="0"/>
                <w:sz w:val="21"/>
                <w:szCs w:val="21"/>
                <w:lang w:val="en-US" w:eastAsia="zh-CN" w:bidi="ar-SA"/>
                <w14:textFill>
                  <w14:solidFill>
                    <w14:schemeClr w14:val="tx1"/>
                  </w14:solidFill>
                </w14:textFill>
              </w:rPr>
              <w:t>监测计划</w:t>
            </w:r>
            <w:r>
              <w:rPr>
                <w:rFonts w:hint="eastAsia" w:cs="Times New Roman"/>
                <w:b/>
                <w:bCs/>
                <w:snapToGrid/>
                <w:color w:val="000000" w:themeColor="text1"/>
                <w:spacing w:val="0"/>
                <w:kern w:val="0"/>
                <w:position w:val="0"/>
                <w:sz w:val="21"/>
                <w:szCs w:val="21"/>
                <w:lang w:val="en-US" w:eastAsia="zh-CN" w:bidi="ar-SA"/>
                <w14:textFill>
                  <w14:solidFill>
                    <w14:schemeClr w14:val="tx1"/>
                  </w14:solidFill>
                </w14:textFill>
              </w:rPr>
              <w:t>要求</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755"/>
              <w:gridCol w:w="918"/>
              <w:gridCol w:w="1329"/>
              <w:gridCol w:w="987"/>
              <w:gridCol w:w="3229"/>
            </w:tblGrid>
            <w:tr w14:paraId="2E7D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16" w:type="pct"/>
                  <w:tcBorders>
                    <w:tl2br w:val="nil"/>
                    <w:tr2bl w:val="nil"/>
                  </w:tcBorders>
                  <w:noWrap w:val="0"/>
                  <w:vAlign w:val="center"/>
                </w:tcPr>
                <w:p w14:paraId="65A243B8">
                  <w:pPr>
                    <w:spacing w:line="0" w:lineRule="atLeast"/>
                    <w:jc w:val="center"/>
                    <w:rPr>
                      <w:rFonts w:hint="eastAsia"/>
                      <w:b/>
                      <w:bCs/>
                      <w:snapToGrid/>
                      <w:color w:val="000000" w:themeColor="text1"/>
                      <w:spacing w:val="0"/>
                      <w:kern w:val="0"/>
                      <w:position w:val="0"/>
                      <w:sz w:val="21"/>
                      <w:szCs w:val="21"/>
                      <w:lang w:val="en-US"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监测时</w:t>
                  </w:r>
                </w:p>
                <w:p w14:paraId="09687FA5">
                  <w:pPr>
                    <w:spacing w:line="0" w:lineRule="atLeast"/>
                    <w:jc w:val="center"/>
                    <w:rPr>
                      <w:rFonts w:hint="default" w:eastAsia="宋体"/>
                      <w:b/>
                      <w:bCs/>
                      <w:snapToGrid/>
                      <w:color w:val="000000" w:themeColor="text1"/>
                      <w:spacing w:val="0"/>
                      <w:kern w:val="0"/>
                      <w:position w:val="0"/>
                      <w:sz w:val="21"/>
                      <w:szCs w:val="21"/>
                      <w:lang w:val="en-US"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间</w:t>
                  </w:r>
                </w:p>
              </w:tc>
              <w:tc>
                <w:tcPr>
                  <w:tcW w:w="458" w:type="pct"/>
                  <w:tcBorders>
                    <w:tl2br w:val="nil"/>
                    <w:tr2bl w:val="nil"/>
                  </w:tcBorders>
                  <w:noWrap w:val="0"/>
                  <w:vAlign w:val="center"/>
                </w:tcPr>
                <w:p w14:paraId="62676487">
                  <w:pPr>
                    <w:spacing w:line="0" w:lineRule="atLeast"/>
                    <w:jc w:val="center"/>
                    <w:rPr>
                      <w:rFonts w:hint="eastAsia" w:eastAsia="宋体"/>
                      <w:b/>
                      <w:bCs/>
                      <w:snapToGrid/>
                      <w:color w:val="000000" w:themeColor="text1"/>
                      <w:spacing w:val="0"/>
                      <w:kern w:val="0"/>
                      <w:position w:val="0"/>
                      <w:sz w:val="21"/>
                      <w:szCs w:val="21"/>
                      <w:lang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类别</w:t>
                  </w:r>
                </w:p>
              </w:tc>
              <w:tc>
                <w:tcPr>
                  <w:tcW w:w="557" w:type="pct"/>
                  <w:tcBorders>
                    <w:tl2br w:val="nil"/>
                    <w:tr2bl w:val="nil"/>
                  </w:tcBorders>
                  <w:noWrap w:val="0"/>
                  <w:vAlign w:val="center"/>
                </w:tcPr>
                <w:p w14:paraId="5700C271">
                  <w:pPr>
                    <w:spacing w:line="0" w:lineRule="atLeast"/>
                    <w:jc w:val="center"/>
                    <w:rPr>
                      <w:rFonts w:hint="eastAsia"/>
                      <w:b/>
                      <w:bCs/>
                      <w:snapToGrid/>
                      <w:color w:val="000000" w:themeColor="text1"/>
                      <w:spacing w:val="0"/>
                      <w:kern w:val="0"/>
                      <w:position w:val="0"/>
                      <w:sz w:val="21"/>
                      <w:szCs w:val="21"/>
                      <w:lang w:val="en-US"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监测</w:t>
                  </w:r>
                </w:p>
                <w:p w14:paraId="346D9353">
                  <w:pPr>
                    <w:spacing w:line="0" w:lineRule="atLeast"/>
                    <w:jc w:val="center"/>
                    <w:rPr>
                      <w:rFonts w:hint="default" w:eastAsia="宋体"/>
                      <w:b/>
                      <w:bCs/>
                      <w:snapToGrid/>
                      <w:color w:val="000000" w:themeColor="text1"/>
                      <w:spacing w:val="0"/>
                      <w:kern w:val="0"/>
                      <w:position w:val="0"/>
                      <w:sz w:val="21"/>
                      <w:szCs w:val="21"/>
                      <w:lang w:val="en-US"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点位</w:t>
                  </w:r>
                </w:p>
              </w:tc>
              <w:tc>
                <w:tcPr>
                  <w:tcW w:w="807" w:type="pct"/>
                  <w:tcBorders>
                    <w:tl2br w:val="nil"/>
                    <w:tr2bl w:val="nil"/>
                  </w:tcBorders>
                  <w:noWrap w:val="0"/>
                  <w:vAlign w:val="center"/>
                </w:tcPr>
                <w:p w14:paraId="3E4CD85C">
                  <w:pPr>
                    <w:spacing w:line="0" w:lineRule="atLeast"/>
                    <w:jc w:val="center"/>
                    <w:rPr>
                      <w:rFonts w:hint="eastAsia" w:eastAsia="宋体"/>
                      <w:b/>
                      <w:bCs/>
                      <w:snapToGrid/>
                      <w:color w:val="000000" w:themeColor="text1"/>
                      <w:spacing w:val="0"/>
                      <w:kern w:val="0"/>
                      <w:position w:val="0"/>
                      <w:sz w:val="21"/>
                      <w:szCs w:val="21"/>
                      <w:lang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监测因子</w:t>
                  </w:r>
                </w:p>
              </w:tc>
              <w:tc>
                <w:tcPr>
                  <w:tcW w:w="599" w:type="pct"/>
                  <w:tcBorders>
                    <w:tl2br w:val="nil"/>
                    <w:tr2bl w:val="nil"/>
                  </w:tcBorders>
                  <w:noWrap w:val="0"/>
                  <w:vAlign w:val="center"/>
                </w:tcPr>
                <w:p w14:paraId="56A49C39">
                  <w:pPr>
                    <w:spacing w:line="0" w:lineRule="atLeast"/>
                    <w:jc w:val="center"/>
                    <w:rPr>
                      <w:b/>
                      <w:bCs/>
                      <w:snapToGrid/>
                      <w:color w:val="000000" w:themeColor="text1"/>
                      <w:spacing w:val="0"/>
                      <w:kern w:val="0"/>
                      <w:position w:val="0"/>
                      <w:sz w:val="21"/>
                      <w:szCs w:val="21"/>
                      <w:lang w:bidi="ar"/>
                      <w14:textFill>
                        <w14:solidFill>
                          <w14:schemeClr w14:val="tx1"/>
                        </w14:solidFill>
                      </w14:textFill>
                    </w:rPr>
                  </w:pPr>
                  <w:r>
                    <w:rPr>
                      <w:b/>
                      <w:bCs/>
                      <w:snapToGrid/>
                      <w:color w:val="000000" w:themeColor="text1"/>
                      <w:spacing w:val="0"/>
                      <w:kern w:val="0"/>
                      <w:position w:val="0"/>
                      <w:sz w:val="21"/>
                      <w:szCs w:val="21"/>
                      <w:lang w:bidi="ar"/>
                      <w14:textFill>
                        <w14:solidFill>
                          <w14:schemeClr w14:val="tx1"/>
                        </w14:solidFill>
                      </w14:textFill>
                    </w:rPr>
                    <w:t>监测</w:t>
                  </w:r>
                </w:p>
                <w:p w14:paraId="04502D60">
                  <w:pPr>
                    <w:spacing w:line="0" w:lineRule="atLeast"/>
                    <w:jc w:val="center"/>
                    <w:rPr>
                      <w:rFonts w:hint="eastAsia" w:eastAsia="宋体"/>
                      <w:b/>
                      <w:bCs/>
                      <w:snapToGrid/>
                      <w:color w:val="000000" w:themeColor="text1"/>
                      <w:spacing w:val="0"/>
                      <w:kern w:val="0"/>
                      <w:position w:val="0"/>
                      <w:sz w:val="21"/>
                      <w:szCs w:val="21"/>
                      <w:lang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频次</w:t>
                  </w:r>
                </w:p>
              </w:tc>
              <w:tc>
                <w:tcPr>
                  <w:tcW w:w="1960" w:type="pct"/>
                  <w:tcBorders>
                    <w:tl2br w:val="nil"/>
                    <w:tr2bl w:val="nil"/>
                  </w:tcBorders>
                  <w:noWrap w:val="0"/>
                  <w:vAlign w:val="center"/>
                </w:tcPr>
                <w:p w14:paraId="1DECF2E3">
                  <w:pPr>
                    <w:spacing w:line="0" w:lineRule="atLeast"/>
                    <w:jc w:val="center"/>
                    <w:rPr>
                      <w:rFonts w:hint="default" w:eastAsia="宋体"/>
                      <w:b/>
                      <w:bCs/>
                      <w:snapToGrid/>
                      <w:color w:val="000000" w:themeColor="text1"/>
                      <w:spacing w:val="0"/>
                      <w:kern w:val="0"/>
                      <w:position w:val="0"/>
                      <w:sz w:val="21"/>
                      <w:szCs w:val="21"/>
                      <w:lang w:val="en-US" w:eastAsia="zh-CN" w:bidi="ar"/>
                      <w14:textFill>
                        <w14:solidFill>
                          <w14:schemeClr w14:val="tx1"/>
                        </w14:solidFill>
                      </w14:textFill>
                    </w:rPr>
                  </w:pPr>
                  <w:r>
                    <w:rPr>
                      <w:rFonts w:hint="eastAsia"/>
                      <w:b/>
                      <w:bCs/>
                      <w:snapToGrid/>
                      <w:color w:val="000000" w:themeColor="text1"/>
                      <w:spacing w:val="0"/>
                      <w:kern w:val="0"/>
                      <w:position w:val="0"/>
                      <w:sz w:val="21"/>
                      <w:szCs w:val="21"/>
                      <w:lang w:val="en-US" w:eastAsia="zh-CN" w:bidi="ar"/>
                      <w14:textFill>
                        <w14:solidFill>
                          <w14:schemeClr w14:val="tx1"/>
                        </w14:solidFill>
                      </w14:textFill>
                    </w:rPr>
                    <w:t>执行标准</w:t>
                  </w:r>
                </w:p>
              </w:tc>
            </w:tr>
            <w:tr w14:paraId="1D86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16" w:type="pct"/>
                  <w:tcBorders>
                    <w:tl2br w:val="nil"/>
                    <w:tr2bl w:val="nil"/>
                  </w:tcBorders>
                  <w:noWrap w:val="0"/>
                  <w:vAlign w:val="center"/>
                </w:tcPr>
                <w:p w14:paraId="094D343E">
                  <w:pPr>
                    <w:spacing w:line="0" w:lineRule="atLeast"/>
                    <w:jc w:val="center"/>
                    <w:rPr>
                      <w:rFonts w:hint="default"/>
                      <w:snapToGrid/>
                      <w:color w:val="000000" w:themeColor="text1"/>
                      <w:spacing w:val="0"/>
                      <w:kern w:val="0"/>
                      <w:position w:val="0"/>
                      <w:sz w:val="21"/>
                      <w:szCs w:val="21"/>
                      <w:lang w:val="en-US"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1天，昼夜各1次</w:t>
                  </w:r>
                </w:p>
              </w:tc>
              <w:tc>
                <w:tcPr>
                  <w:tcW w:w="458" w:type="pct"/>
                  <w:tcBorders>
                    <w:tl2br w:val="nil"/>
                    <w:tr2bl w:val="nil"/>
                  </w:tcBorders>
                  <w:noWrap w:val="0"/>
                  <w:vAlign w:val="center"/>
                </w:tcPr>
                <w:p w14:paraId="4CD8D6D4">
                  <w:pPr>
                    <w:spacing w:line="0" w:lineRule="atLeast"/>
                    <w:jc w:val="center"/>
                    <w:rPr>
                      <w:rFonts w:hint="default"/>
                      <w:snapToGrid/>
                      <w:color w:val="000000" w:themeColor="text1"/>
                      <w:spacing w:val="0"/>
                      <w:kern w:val="0"/>
                      <w:position w:val="0"/>
                      <w:sz w:val="21"/>
                      <w:szCs w:val="21"/>
                      <w:lang w:val="en-US"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噪声</w:t>
                  </w:r>
                </w:p>
              </w:tc>
              <w:tc>
                <w:tcPr>
                  <w:tcW w:w="557" w:type="pct"/>
                  <w:tcBorders>
                    <w:tl2br w:val="nil"/>
                    <w:tr2bl w:val="nil"/>
                  </w:tcBorders>
                  <w:noWrap w:val="0"/>
                  <w:vAlign w:val="center"/>
                </w:tcPr>
                <w:p w14:paraId="78887BA9">
                  <w:pPr>
                    <w:spacing w:line="0" w:lineRule="atLeast"/>
                    <w:jc w:val="center"/>
                    <w:rPr>
                      <w:rFonts w:hint="eastAsia"/>
                      <w:snapToGrid/>
                      <w:color w:val="000000" w:themeColor="text1"/>
                      <w:spacing w:val="0"/>
                      <w:kern w:val="0"/>
                      <w:position w:val="0"/>
                      <w:sz w:val="21"/>
                      <w:szCs w:val="21"/>
                      <w:lang w:val="en-US" w:eastAsia="zh-CN"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厂界</w:t>
                  </w:r>
                </w:p>
                <w:p w14:paraId="5B9EE512">
                  <w:pPr>
                    <w:spacing w:line="0" w:lineRule="atLeast"/>
                    <w:jc w:val="center"/>
                    <w:rPr>
                      <w:rFonts w:hint="default" w:eastAsia="宋体"/>
                      <w:snapToGrid/>
                      <w:color w:val="000000" w:themeColor="text1"/>
                      <w:spacing w:val="0"/>
                      <w:kern w:val="0"/>
                      <w:position w:val="0"/>
                      <w:sz w:val="21"/>
                      <w:szCs w:val="21"/>
                      <w:lang w:val="en-US" w:eastAsia="zh-CN"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四周</w:t>
                  </w:r>
                </w:p>
              </w:tc>
              <w:tc>
                <w:tcPr>
                  <w:tcW w:w="807" w:type="pct"/>
                  <w:tcBorders>
                    <w:tl2br w:val="nil"/>
                    <w:tr2bl w:val="nil"/>
                  </w:tcBorders>
                  <w:noWrap w:val="0"/>
                  <w:vAlign w:val="center"/>
                </w:tcPr>
                <w:p w14:paraId="1C6F6D1E">
                  <w:pPr>
                    <w:spacing w:line="0" w:lineRule="atLeast"/>
                    <w:jc w:val="center"/>
                    <w:rPr>
                      <w:rFonts w:hint="default" w:eastAsia="宋体"/>
                      <w:snapToGrid/>
                      <w:color w:val="000000" w:themeColor="text1"/>
                      <w:spacing w:val="0"/>
                      <w:kern w:val="0"/>
                      <w:position w:val="0"/>
                      <w:sz w:val="21"/>
                      <w:szCs w:val="21"/>
                      <w:lang w:val="en-US" w:eastAsia="zh-CN"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等效连续A声级</w:t>
                  </w:r>
                </w:p>
              </w:tc>
              <w:tc>
                <w:tcPr>
                  <w:tcW w:w="599" w:type="pct"/>
                  <w:tcBorders>
                    <w:tl2br w:val="nil"/>
                    <w:tr2bl w:val="nil"/>
                  </w:tcBorders>
                  <w:noWrap w:val="0"/>
                  <w:vAlign w:val="center"/>
                </w:tcPr>
                <w:p w14:paraId="290A336F">
                  <w:pPr>
                    <w:spacing w:line="0" w:lineRule="atLeast"/>
                    <w:jc w:val="center"/>
                    <w:rPr>
                      <w:rFonts w:hint="default" w:eastAsia="宋体"/>
                      <w:snapToGrid/>
                      <w:color w:val="000000" w:themeColor="text1"/>
                      <w:spacing w:val="0"/>
                      <w:kern w:val="0"/>
                      <w:position w:val="0"/>
                      <w:sz w:val="21"/>
                      <w:szCs w:val="21"/>
                      <w:lang w:val="en-US" w:eastAsia="zh-CN" w:bidi="ar"/>
                      <w14:textFill>
                        <w14:solidFill>
                          <w14:schemeClr w14:val="tx1"/>
                        </w14:solidFill>
                      </w14:textFill>
                    </w:rPr>
                  </w:pPr>
                  <w:r>
                    <w:rPr>
                      <w:rFonts w:hint="eastAsia"/>
                      <w:snapToGrid/>
                      <w:color w:val="000000" w:themeColor="text1"/>
                      <w:spacing w:val="0"/>
                      <w:kern w:val="0"/>
                      <w:position w:val="0"/>
                      <w:sz w:val="21"/>
                      <w:szCs w:val="21"/>
                      <w:lang w:val="en-US" w:eastAsia="zh-CN" w:bidi="ar"/>
                      <w14:textFill>
                        <w14:solidFill>
                          <w14:schemeClr w14:val="tx1"/>
                        </w14:solidFill>
                      </w14:textFill>
                    </w:rPr>
                    <w:t>1次/季度</w:t>
                  </w:r>
                </w:p>
              </w:tc>
              <w:tc>
                <w:tcPr>
                  <w:tcW w:w="1960" w:type="pct"/>
                  <w:tcBorders>
                    <w:tl2br w:val="nil"/>
                    <w:tr2bl w:val="nil"/>
                  </w:tcBorders>
                  <w:noWrap w:val="0"/>
                  <w:vAlign w:val="center"/>
                </w:tcPr>
                <w:p w14:paraId="2D315CA1">
                  <w:pPr>
                    <w:spacing w:line="0" w:lineRule="atLeast"/>
                    <w:jc w:val="center"/>
                    <w:rPr>
                      <w:rFonts w:hint="eastAsia"/>
                      <w:snapToGrid/>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《工业企业厂界环境噪声排放标准》（</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GB12348-2008</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）中</w:t>
                  </w:r>
                  <w:r>
                    <w:rPr>
                      <w:rFonts w:hint="eastAsia" w:cs="Times New Roman"/>
                      <w:snapToGrid/>
                      <w:color w:val="000000" w:themeColor="text1"/>
                      <w:spacing w:val="0"/>
                      <w:kern w:val="0"/>
                      <w:position w:val="0"/>
                      <w:sz w:val="21"/>
                      <w:szCs w:val="21"/>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类</w:t>
                  </w:r>
                </w:p>
              </w:tc>
            </w:tr>
          </w:tbl>
          <w:p w14:paraId="183763F6">
            <w:pPr>
              <w:pStyle w:val="70"/>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baseline"/>
              <w:rPr>
                <w:rFonts w:hint="default"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t>4</w:t>
            </w:r>
            <w:r>
              <w:rPr>
                <w:rFonts w:ascii="Times New Roman" w:hAnsi="Times New Roman" w:eastAsia="宋体" w:cs="Times New Roman"/>
                <w:b/>
                <w:snapToGrid/>
                <w:color w:val="000000" w:themeColor="text1"/>
                <w:spacing w:val="0"/>
                <w:kern w:val="0"/>
                <w:position w:val="0"/>
                <w:sz w:val="24"/>
                <w14:textFill>
                  <w14:solidFill>
                    <w14:schemeClr w14:val="tx1"/>
                  </w14:solidFill>
                </w14:textFill>
              </w:rPr>
              <w:t>、</w:t>
            </w:r>
            <w:r>
              <w:rPr>
                <w:rFonts w:hint="eastAsia" w:ascii="Times New Roman" w:hAnsi="Times New Roman" w:eastAsia="宋体" w:cs="Times New Roman"/>
                <w:b/>
                <w:snapToGrid/>
                <w:color w:val="000000" w:themeColor="text1"/>
                <w:spacing w:val="0"/>
                <w:kern w:val="0"/>
                <w:position w:val="0"/>
                <w:sz w:val="24"/>
                <w:lang w:val="en-US" w:eastAsia="zh-CN"/>
                <w14:textFill>
                  <w14:solidFill>
                    <w14:schemeClr w14:val="tx1"/>
                  </w14:solidFill>
                </w14:textFill>
              </w:rPr>
              <w:t>固体废物</w:t>
            </w:r>
          </w:p>
          <w:p w14:paraId="2D942DE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固体废物产生情况</w:t>
            </w:r>
          </w:p>
          <w:p w14:paraId="54BC7FB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生活垃圾</w:t>
            </w:r>
          </w:p>
          <w:p w14:paraId="73B4ACC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项目员工</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人，员工办公生活垃圾按</w:t>
            </w:r>
            <w:r>
              <w:rPr>
                <w:rFonts w:hint="eastAsia" w:cs="Times New Roman"/>
                <w:snapToGrid/>
                <w:color w:val="000000" w:themeColor="text1"/>
                <w:spacing w:val="0"/>
                <w:kern w:val="0"/>
                <w:position w:val="0"/>
                <w:sz w:val="24"/>
                <w:szCs w:val="24"/>
                <w:lang w:val="en-US" w:eastAsia="zh-CN"/>
                <w14:textFill>
                  <w14:solidFill>
                    <w14:schemeClr w14:val="tx1"/>
                  </w14:solidFill>
                </w14:textFill>
              </w:rPr>
              <w:t>0.5</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kg/</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人·d</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计，年工作</w:t>
            </w:r>
            <w:r>
              <w:rPr>
                <w:rFonts w:hint="eastAsia" w:cs="Times New Roman"/>
                <w:snapToGrid/>
                <w:color w:val="000000" w:themeColor="text1"/>
                <w:spacing w:val="0"/>
                <w:kern w:val="0"/>
                <w:position w:val="0"/>
                <w:sz w:val="24"/>
                <w:szCs w:val="24"/>
                <w:lang w:val="en-US" w:eastAsia="zh-CN"/>
                <w14:textFill>
                  <w14:solidFill>
                    <w14:schemeClr w14:val="tx1"/>
                  </w14:solidFill>
                </w14:textFill>
              </w:rPr>
              <w:t>300</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天，则生活垃圾产生量</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eastAsia" w:cs="Times New Roman"/>
                <w:snapToGrid/>
                <w:color w:val="000000" w:themeColor="text1"/>
                <w:spacing w:val="0"/>
                <w:kern w:val="0"/>
                <w:position w:val="0"/>
                <w:sz w:val="24"/>
                <w:szCs w:val="24"/>
                <w:lang w:val="en-US" w:eastAsia="zh-CN"/>
                <w14:textFill>
                  <w14:solidFill>
                    <w14:schemeClr w14:val="tx1"/>
                  </w14:solidFill>
                </w14:textFill>
              </w:rPr>
              <w:t>01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t/d（</w:t>
            </w: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在厂区内设带盖的垃圾箱收集，由环卫部门定期清运</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p>
          <w:p w14:paraId="1BDF542D">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一般工业固体废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物</w:t>
            </w:r>
          </w:p>
          <w:p w14:paraId="387E5B3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一般工业固体废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物</w:t>
            </w:r>
            <w:r>
              <w:rPr>
                <w:rFonts w:hint="eastAsia" w:cs="Times New Roman"/>
                <w:snapToGrid/>
                <w:color w:val="000000" w:themeColor="text1"/>
                <w:spacing w:val="0"/>
                <w:kern w:val="0"/>
                <w:position w:val="0"/>
                <w:sz w:val="24"/>
                <w:szCs w:val="24"/>
                <w:lang w:val="en-US" w:eastAsia="zh-CN"/>
                <w14:textFill>
                  <w14:solidFill>
                    <w14:schemeClr w14:val="tx1"/>
                  </w14:solidFill>
                </w14:textFill>
              </w:rPr>
              <w:t>包括除尘器收集粉尘、沉渣、废除尘布袋等。</w:t>
            </w:r>
          </w:p>
          <w:p w14:paraId="7960B5E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①除尘器收集粉尘</w:t>
            </w:r>
          </w:p>
          <w:p w14:paraId="3D7028E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本项目在储存、搅拌过程中会产生粉尘，粉尘通过布袋除尘器净化，筒仓布袋除尘器收集到的粉尘量为25.637</w:t>
            </w:r>
            <w:r>
              <w:rPr>
                <w:rFonts w:hint="default" w:cs="Times New Roman"/>
                <w:snapToGrid/>
                <w:color w:val="000000" w:themeColor="text1"/>
                <w:spacing w:val="0"/>
                <w:kern w:val="0"/>
                <w:position w:val="0"/>
                <w:sz w:val="24"/>
                <w:szCs w:val="24"/>
                <w:lang w:val="en-US" w:eastAsia="zh-CN"/>
                <w14:textFill>
                  <w14:solidFill>
                    <w14:schemeClr w14:val="tx1"/>
                  </w14:solidFill>
                </w14:textFill>
              </w:rPr>
              <w:t>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，搅拌过程中布袋除尘器收集到的粉尘量为181.522</w:t>
            </w:r>
            <w:r>
              <w:rPr>
                <w:rFonts w:hint="default" w:cs="Times New Roman"/>
                <w:snapToGrid/>
                <w:color w:val="000000" w:themeColor="text1"/>
                <w:spacing w:val="0"/>
                <w:kern w:val="0"/>
                <w:position w:val="0"/>
                <w:sz w:val="24"/>
                <w:szCs w:val="24"/>
                <w:lang w:val="en-US" w:eastAsia="zh-CN"/>
                <w14:textFill>
                  <w14:solidFill>
                    <w14:schemeClr w14:val="tx1"/>
                  </w14:solidFill>
                </w14:textFill>
              </w:rPr>
              <w:t>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，本项目除尘器收集粉尘总量为207.159</w:t>
            </w:r>
            <w:r>
              <w:rPr>
                <w:rFonts w:hint="default" w:cs="Times New Roman"/>
                <w:snapToGrid/>
                <w:color w:val="000000" w:themeColor="text1"/>
                <w:spacing w:val="0"/>
                <w:kern w:val="0"/>
                <w:position w:val="0"/>
                <w:sz w:val="24"/>
                <w:szCs w:val="24"/>
                <w:lang w:val="en-US" w:eastAsia="zh-CN"/>
                <w14:textFill>
                  <w14:solidFill>
                    <w14:schemeClr w14:val="tx1"/>
                  </w14:solidFill>
                </w14:textFill>
              </w:rPr>
              <w:t>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根据《固体废物分类与代码目录》（生态环境部公告2024年第4号），</w:t>
            </w:r>
            <w:r>
              <w:rPr>
                <w:rFonts w:hint="eastAsia" w:cs="Times New Roman"/>
                <w:snapToGrid/>
                <w:color w:val="000000" w:themeColor="text1"/>
                <w:spacing w:val="0"/>
                <w:kern w:val="0"/>
                <w:position w:val="0"/>
                <w:sz w:val="24"/>
                <w:szCs w:val="24"/>
                <w:lang w:val="en-US" w:eastAsia="zh-CN"/>
                <w14:textFill>
                  <w14:solidFill>
                    <w14:schemeClr w14:val="tx1"/>
                  </w14:solidFill>
                </w14:textFill>
              </w:rPr>
              <w:t>除尘器收集粉尘</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属于“SW59 其他工业固体废物”，废物代码为900-0</w:t>
            </w:r>
            <w:r>
              <w:rPr>
                <w:rFonts w:hint="eastAsia" w:cs="Times New Roman"/>
                <w:snapToGrid/>
                <w:color w:val="000000" w:themeColor="text1"/>
                <w:spacing w:val="0"/>
                <w:kern w:val="0"/>
                <w:position w:val="0"/>
                <w:sz w:val="24"/>
                <w:szCs w:val="24"/>
                <w:lang w:val="en-US" w:eastAsia="zh-CN"/>
                <w14:textFill>
                  <w14:solidFill>
                    <w14:schemeClr w14:val="tx1"/>
                  </w14:solidFill>
                </w14:textFill>
              </w:rPr>
              <w:t>99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-S59。</w:t>
            </w:r>
            <w:r>
              <w:rPr>
                <w:rFonts w:hint="eastAsia" w:cs="Times New Roman"/>
                <w:snapToGrid/>
                <w:color w:val="000000" w:themeColor="text1"/>
                <w:spacing w:val="0"/>
                <w:kern w:val="0"/>
                <w:position w:val="0"/>
                <w:sz w:val="24"/>
                <w:szCs w:val="24"/>
                <w:lang w:val="en-US" w:eastAsia="zh-CN"/>
                <w14:textFill>
                  <w14:solidFill>
                    <w14:schemeClr w14:val="tx1"/>
                  </w14:solidFill>
                </w14:textFill>
              </w:rPr>
              <w:t>布袋除尘器收集到的粉尘作为原料返回生产工序内。</w:t>
            </w:r>
          </w:p>
          <w:p w14:paraId="6F47E384">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②废除尘布袋</w:t>
            </w:r>
          </w:p>
          <w:p w14:paraId="40E4372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本项目布袋除尘器的布袋逐步磨损后需要定期更换，每一年更换一次，共计产生废除尘布袋14个，单个废除尘布袋重量约0.01t，则废除尘布袋产生量为0.14t/a。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根据《固体废物分类与代码目录》（生态环境部公告2024年第4号），</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废除尘布袋</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属于“SW59 其他工业固体废物”，废物代码为900-0</w:t>
            </w:r>
            <w:r>
              <w:rPr>
                <w:rFonts w:hint="eastAsia" w:cs="Times New Roman"/>
                <w:snapToGrid/>
                <w:color w:val="000000" w:themeColor="text1"/>
                <w:spacing w:val="0"/>
                <w:kern w:val="0"/>
                <w:position w:val="0"/>
                <w:sz w:val="24"/>
                <w:szCs w:val="24"/>
                <w:lang w:val="en-US" w:eastAsia="zh-CN"/>
                <w14:textFill>
                  <w14:solidFill>
                    <w14:schemeClr w14:val="tx1"/>
                  </w14:solidFill>
                </w14:textFill>
              </w:rPr>
              <w:t>09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-S59。</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废除尘布袋定期交由环卫部门清运处置。</w:t>
            </w:r>
          </w:p>
          <w:p w14:paraId="77BED229">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③沉渣</w:t>
            </w:r>
          </w:p>
          <w:p w14:paraId="69F1DAB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本项目沉渣主要来自车间沉淀池，</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SS</w:t>
            </w:r>
            <w:r>
              <w:rPr>
                <w:rFonts w:hint="eastAsia" w:cs="Times New Roman"/>
                <w:b w:val="0"/>
                <w:bCs w:val="0"/>
                <w:color w:val="000000" w:themeColor="text1"/>
                <w:spacing w:val="0"/>
                <w:sz w:val="24"/>
                <w:szCs w:val="24"/>
                <w:lang w:val="en-US" w:eastAsia="zh-CN"/>
                <w14:textFill>
                  <w14:solidFill>
                    <w14:schemeClr w14:val="tx1"/>
                  </w14:solidFill>
                </w14:textFill>
              </w:rPr>
              <w:t>产生</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浓度约1000mg/L，</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拟</w:t>
            </w:r>
            <w:r>
              <w:rPr>
                <w:rFonts w:ascii="宋体" w:hAnsi="宋体" w:eastAsia="宋体" w:cs="宋体"/>
                <w:sz w:val="24"/>
                <w:szCs w:val="24"/>
              </w:rPr>
              <w:t>经厂区导流沟收集至</w:t>
            </w:r>
            <w:r>
              <w:rPr>
                <w:rFonts w:hint="eastAsia" w:ascii="宋体" w:hAnsi="宋体" w:eastAsia="宋体" w:cs="宋体"/>
                <w:sz w:val="24"/>
                <w:szCs w:val="24"/>
                <w:lang w:val="en-US" w:eastAsia="zh-CN"/>
              </w:rPr>
              <w:t>车间</w:t>
            </w:r>
            <w:r>
              <w:rPr>
                <w:rFonts w:ascii="宋体" w:hAnsi="宋体" w:eastAsia="宋体" w:cs="宋体"/>
                <w:sz w:val="24"/>
                <w:szCs w:val="24"/>
              </w:rPr>
              <w:t>沉淀</w:t>
            </w:r>
            <w:r>
              <w:rPr>
                <w:rFonts w:hint="default" w:ascii="Times New Roman" w:hAnsi="Times New Roman" w:eastAsia="宋体" w:cs="Times New Roman"/>
                <w:sz w:val="24"/>
                <w:szCs w:val="24"/>
              </w:rPr>
              <w:t>池（沉淀池容积为</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ascii="宋体" w:hAnsi="宋体" w:eastAsia="宋体" w:cs="宋体"/>
                <w:sz w:val="24"/>
                <w:szCs w:val="24"/>
              </w:rPr>
              <w:t>后通过“砂水分离机+压滤设施”</w:t>
            </w:r>
            <w:r>
              <w:rPr>
                <w:rFonts w:hint="eastAsia" w:ascii="宋体" w:hAnsi="宋体" w:eastAsia="宋体" w:cs="宋体"/>
                <w:sz w:val="24"/>
                <w:szCs w:val="24"/>
                <w:lang w:val="en-US" w:eastAsia="zh-CN"/>
              </w:rPr>
              <w:t>处理</w:t>
            </w:r>
            <w:r>
              <w:rPr>
                <w:rFonts w:ascii="宋体" w:hAnsi="宋体" w:eastAsia="宋体" w:cs="宋体"/>
                <w:sz w:val="24"/>
                <w:szCs w:val="24"/>
              </w:rPr>
              <w:t>后</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SS浓度约</w:t>
            </w:r>
            <w:r>
              <w:rPr>
                <w:rFonts w:hint="eastAsia" w:cs="Times New Roman"/>
                <w:b w:val="0"/>
                <w:bCs w:val="0"/>
                <w:color w:val="000000" w:themeColor="text1"/>
                <w:spacing w:val="0"/>
                <w:sz w:val="24"/>
                <w:szCs w:val="24"/>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0mg/L，</w:t>
            </w:r>
            <w:r>
              <w:rPr>
                <w:rFonts w:hint="eastAsia" w:cs="Times New Roman"/>
                <w:snapToGrid/>
                <w:color w:val="000000" w:themeColor="text1"/>
                <w:spacing w:val="0"/>
                <w:kern w:val="0"/>
                <w:position w:val="0"/>
                <w:sz w:val="24"/>
                <w:lang w:val="en-US" w:eastAsia="zh-CN"/>
                <w14:textFill>
                  <w14:solidFill>
                    <w14:schemeClr w14:val="tx1"/>
                  </w14:solidFill>
                </w14:textFill>
              </w:rPr>
              <w:t>地面冲洗废水、搅拌机清洗废水年产量为2040m</w:t>
            </w:r>
            <w:r>
              <w:rPr>
                <w:rFonts w:hint="eastAsia" w:cs="Times New Roman"/>
                <w:snapToGrid/>
                <w:color w:val="000000" w:themeColor="text1"/>
                <w:spacing w:val="0"/>
                <w:kern w:val="0"/>
                <w:position w:val="0"/>
                <w:sz w:val="24"/>
                <w:vertAlign w:val="superscript"/>
                <w:lang w:val="en-US" w:eastAsia="zh-CN"/>
                <w14:textFill>
                  <w14:solidFill>
                    <w14:schemeClr w14:val="tx1"/>
                  </w14:solidFill>
                </w14:textFill>
              </w:rPr>
              <w:t>3</w:t>
            </w:r>
            <w:r>
              <w:rPr>
                <w:rFonts w:hint="eastAsia" w:cs="Times New Roman"/>
                <w:snapToGrid/>
                <w:color w:val="000000" w:themeColor="text1"/>
                <w:spacing w:val="0"/>
                <w:kern w:val="0"/>
                <w:position w:val="0"/>
                <w:sz w:val="24"/>
                <w:lang w:val="en-US" w:eastAsia="zh-CN"/>
                <w14:textFill>
                  <w14:solidFill>
                    <w14:schemeClr w14:val="tx1"/>
                  </w14:solidFill>
                </w14:textFill>
              </w:rPr>
              <w:t>/a，则地面冲洗废水、搅拌机清洗废水处理过程中SS（干基）的收集量约为1.8t/a，则本项目沉渣产生量（含水率以50%计）</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为3.</w:t>
            </w:r>
            <w:r>
              <w:rPr>
                <w:rFonts w:hint="default" w:cs="Times New Roman"/>
                <w:snapToGrid/>
                <w:color w:val="000000" w:themeColor="text1"/>
                <w:spacing w:val="0"/>
                <w:kern w:val="0"/>
                <w:position w:val="0"/>
                <w:sz w:val="24"/>
                <w:szCs w:val="24"/>
                <w:lang w:val="en-US" w:eastAsia="zh-CN"/>
                <w14:textFill>
                  <w14:solidFill>
                    <w14:schemeClr w14:val="tx1"/>
                  </w14:solidFill>
                </w14:textFill>
              </w:rPr>
              <w:t>6t/a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根据《固体废物分类与代码目录》（生态环境部公告2024年第4号），</w:t>
            </w:r>
            <w:r>
              <w:rPr>
                <w:rFonts w:hint="eastAsia" w:cs="Times New Roman"/>
                <w:snapToGrid/>
                <w:color w:val="000000" w:themeColor="text1"/>
                <w:spacing w:val="0"/>
                <w:kern w:val="0"/>
                <w:position w:val="0"/>
                <w:sz w:val="24"/>
                <w:szCs w:val="24"/>
                <w:lang w:val="en-US" w:eastAsia="zh-CN"/>
                <w14:textFill>
                  <w14:solidFill>
                    <w14:schemeClr w14:val="tx1"/>
                  </w14:solidFill>
                </w14:textFill>
              </w:rPr>
              <w:t>沉渣</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属于“SW07 污泥”，废物代码为900-0</w:t>
            </w:r>
            <w:r>
              <w:rPr>
                <w:rFonts w:hint="eastAsia" w:cs="Times New Roman"/>
                <w:snapToGrid/>
                <w:color w:val="000000" w:themeColor="text1"/>
                <w:spacing w:val="0"/>
                <w:kern w:val="0"/>
                <w:position w:val="0"/>
                <w:sz w:val="24"/>
                <w:szCs w:val="24"/>
                <w:lang w:val="en-US" w:eastAsia="zh-CN"/>
                <w14:textFill>
                  <w14:solidFill>
                    <w14:schemeClr w14:val="tx1"/>
                  </w14:solidFill>
                </w14:textFill>
              </w:rPr>
              <w:t>99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-S07。</w:t>
            </w:r>
            <w:r>
              <w:rPr>
                <w:rFonts w:hint="eastAsia" w:cs="Times New Roman"/>
                <w:snapToGrid/>
                <w:color w:val="000000" w:themeColor="text1"/>
                <w:spacing w:val="0"/>
                <w:kern w:val="0"/>
                <w:position w:val="0"/>
                <w:sz w:val="24"/>
                <w:szCs w:val="24"/>
                <w:lang w:val="en-US" w:eastAsia="zh-CN"/>
                <w14:textFill>
                  <w14:solidFill>
                    <w14:schemeClr w14:val="tx1"/>
                  </w14:solidFill>
                </w14:textFill>
              </w:rPr>
              <w:t>沉渣清掏后回用于生产。</w:t>
            </w:r>
          </w:p>
          <w:p w14:paraId="4C10150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④废实验样品</w:t>
            </w:r>
          </w:p>
          <w:p w14:paraId="25409F6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对产品检测实验过程中会产生废实验样品，产生量约为1.2t/a。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根据《固体废物分类与代码目录》（生态环境部公告2024年第4号），废实验样品属于“SW</w:t>
            </w:r>
            <w:r>
              <w:rPr>
                <w:rFonts w:hint="eastAsia" w:cs="Times New Roman"/>
                <w:snapToGrid/>
                <w:color w:val="000000" w:themeColor="text1"/>
                <w:spacing w:val="0"/>
                <w:kern w:val="0"/>
                <w:position w:val="0"/>
                <w:sz w:val="24"/>
                <w:szCs w:val="24"/>
                <w:lang w:val="en-US" w:eastAsia="zh-CN"/>
                <w14:textFill>
                  <w14:solidFill>
                    <w14:schemeClr w14:val="tx1"/>
                  </w14:solidFill>
                </w14:textFill>
              </w:rPr>
              <w:t>59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 其他工业固体废物”，废物代码为900-0</w:t>
            </w:r>
            <w:r>
              <w:rPr>
                <w:rFonts w:hint="eastAsia" w:cs="Times New Roman"/>
                <w:snapToGrid/>
                <w:color w:val="000000" w:themeColor="text1"/>
                <w:spacing w:val="0"/>
                <w:kern w:val="0"/>
                <w:position w:val="0"/>
                <w:sz w:val="24"/>
                <w:szCs w:val="24"/>
                <w:lang w:val="en-US" w:eastAsia="zh-CN"/>
                <w14:textFill>
                  <w14:solidFill>
                    <w14:schemeClr w14:val="tx1"/>
                  </w14:solidFill>
                </w14:textFill>
              </w:rPr>
              <w:t>99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-S</w:t>
            </w:r>
            <w:r>
              <w:rPr>
                <w:rFonts w:hint="eastAsia" w:cs="Times New Roman"/>
                <w:snapToGrid/>
                <w:color w:val="000000" w:themeColor="text1"/>
                <w:spacing w:val="0"/>
                <w:kern w:val="0"/>
                <w:position w:val="0"/>
                <w:sz w:val="24"/>
                <w:szCs w:val="24"/>
                <w:lang w:val="en-US" w:eastAsia="zh-CN"/>
                <w14:textFill>
                  <w14:solidFill>
                    <w14:schemeClr w14:val="tx1"/>
                  </w14:solidFill>
                </w14:textFill>
              </w:rPr>
              <w:t>59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废实验样品定期交由环卫部门清运处置。</w:t>
            </w:r>
          </w:p>
          <w:p w14:paraId="1A34535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危险废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物</w:t>
            </w:r>
          </w:p>
          <w:p w14:paraId="0EA4B68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废机油</w:t>
            </w:r>
          </w:p>
          <w:p w14:paraId="224F1B1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项目生产设备维护保养过程中会产生的废机油，废机油产生量为</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0.05t/a</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根据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《国家危险废物名录》（</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5年版），废机油属于</w:t>
            </w:r>
            <w:r>
              <w:rPr>
                <w:rFonts w:hint="eastAsia" w:cs="Times New Roman"/>
                <w:snapToGrid/>
                <w:color w:val="000000" w:themeColor="text1"/>
                <w:spacing w:val="0"/>
                <w:kern w:val="0"/>
                <w:position w:val="0"/>
                <w:sz w:val="24"/>
                <w:szCs w:val="24"/>
                <w:lang w:val="en-US" w:eastAsia="zh-CN"/>
                <w14:textFill>
                  <w14:solidFill>
                    <w14:schemeClr w14:val="tx1"/>
                  </w14:solidFill>
                </w14:textFill>
              </w:rPr>
              <w:t>其</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HW08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（代码</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900-2</w:t>
            </w:r>
            <w:r>
              <w:rPr>
                <w:rFonts w:hint="eastAsia" w:cs="Times New Roman"/>
                <w:snapToGrid/>
                <w:color w:val="000000" w:themeColor="text1"/>
                <w:spacing w:val="0"/>
                <w:kern w:val="0"/>
                <w:position w:val="0"/>
                <w:sz w:val="24"/>
                <w:szCs w:val="24"/>
                <w:lang w:val="en-US" w:eastAsia="zh-CN"/>
                <w14:textFill>
                  <w14:solidFill>
                    <w14:schemeClr w14:val="tx1"/>
                  </w14:solidFill>
                </w14:textFill>
              </w:rPr>
              <w:t>14</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），交由有危废处置资质单位处理。</w:t>
            </w:r>
          </w:p>
          <w:p w14:paraId="3FFCC86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②</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机油</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桶</w:t>
            </w:r>
          </w:p>
          <w:p w14:paraId="24702292">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设备维修使用</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油，废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桶产生量为0.1t/a。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根据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《国家危险废物名录》（</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5年版），</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机油</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桶</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属于</w:t>
            </w:r>
            <w:r>
              <w:rPr>
                <w:rFonts w:hint="eastAsia" w:cs="Times New Roman"/>
                <w:snapToGrid/>
                <w:color w:val="000000" w:themeColor="text1"/>
                <w:spacing w:val="0"/>
                <w:kern w:val="0"/>
                <w:position w:val="0"/>
                <w:sz w:val="24"/>
                <w:szCs w:val="24"/>
                <w:lang w:val="en-US" w:eastAsia="zh-CN"/>
                <w14:textFill>
                  <w14:solidFill>
                    <w14:schemeClr w14:val="tx1"/>
                  </w14:solidFill>
                </w14:textFill>
              </w:rPr>
              <w:t>其</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HW</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49（代码900-041-49），交由有危废处置资质单位处理。</w:t>
            </w:r>
          </w:p>
          <w:p w14:paraId="3C6E254F">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pacing w:val="0"/>
                <w:sz w:val="24"/>
                <w:szCs w:val="22"/>
                <w:lang w:val="en-US" w:eastAsia="zh-CN"/>
                <w14:textFill>
                  <w14:solidFill>
                    <w14:schemeClr w14:val="tx1"/>
                  </w14:solidFill>
                </w14:textFill>
              </w:rPr>
            </w:pPr>
            <w:r>
              <w:rPr>
                <w:rFonts w:hint="eastAsia" w:ascii="Times New Roman" w:hAnsi="Times New Roman" w:cs="Times New Roman"/>
                <w:color w:val="000000" w:themeColor="text1"/>
                <w:spacing w:val="0"/>
                <w:sz w:val="24"/>
                <w:szCs w:val="22"/>
                <w:lang w:val="en-US" w:eastAsia="zh-CN"/>
                <w14:textFill>
                  <w14:solidFill>
                    <w14:schemeClr w14:val="tx1"/>
                  </w14:solidFill>
                </w14:textFill>
              </w:rPr>
              <w:t>③含油废</w:t>
            </w:r>
            <w:r>
              <w:rPr>
                <w:rFonts w:hint="eastAsia" w:ascii="Times New Roman" w:hAnsi="Times New Roman" w:eastAsia="宋体" w:cs="Times New Roman"/>
                <w:color w:val="000000" w:themeColor="text1"/>
                <w:spacing w:val="0"/>
                <w:sz w:val="24"/>
                <w:szCs w:val="22"/>
                <w:lang w:val="en-US" w:eastAsia="zh-CN"/>
                <w14:textFill>
                  <w14:solidFill>
                    <w14:schemeClr w14:val="tx1"/>
                  </w14:solidFill>
                </w14:textFill>
              </w:rPr>
              <w:t>抹布、废手套</w:t>
            </w:r>
          </w:p>
          <w:p w14:paraId="198F3014">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ascii="Times New Roman" w:hAnsi="Times New Roman" w:cs="Times New Roman"/>
                <w:color w:val="000000" w:themeColor="text1"/>
                <w:spacing w:val="0"/>
                <w:sz w:val="24"/>
                <w:szCs w:val="24"/>
                <w:lang w:val="en-US" w:eastAsia="zh-CN"/>
                <w14:textFill>
                  <w14:solidFill>
                    <w14:schemeClr w14:val="tx1"/>
                  </w14:solidFill>
                </w14:textFill>
              </w:rPr>
              <w:t>设备</w:t>
            </w:r>
            <w:r>
              <w:rPr>
                <w:rFonts w:hint="default" w:ascii="Times New Roman" w:hAnsi="Times New Roman" w:cs="Times New Roman"/>
                <w:color w:val="000000" w:themeColor="text1"/>
                <w:spacing w:val="0"/>
                <w:sz w:val="24"/>
                <w:szCs w:val="24"/>
                <w14:textFill>
                  <w14:solidFill>
                    <w14:schemeClr w14:val="tx1"/>
                  </w14:solidFill>
                </w14:textFill>
              </w:rPr>
              <w:t>检修时</w:t>
            </w:r>
            <w:r>
              <w:rPr>
                <w:rFonts w:hint="default" w:ascii="Times New Roman" w:hAnsi="Times New Roman" w:eastAsia="宋体" w:cs="Times New Roman"/>
                <w:color w:val="000000" w:themeColor="text1"/>
                <w:spacing w:val="0"/>
                <w:sz w:val="24"/>
                <w:szCs w:val="24"/>
                <w14:textFill>
                  <w14:solidFill>
                    <w14:schemeClr w14:val="tx1"/>
                  </w14:solidFill>
                </w14:textFill>
              </w:rPr>
              <w:t>产生的含废油抹布</w:t>
            </w:r>
            <w:r>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废手套</w:t>
            </w:r>
            <w:r>
              <w:rPr>
                <w:rFonts w:hint="eastAsia" w:ascii="Times New Roman" w:hAnsi="Times New Roman" w:cs="Times New Roman"/>
                <w:color w:val="000000" w:themeColor="text1"/>
                <w:spacing w:val="0"/>
                <w:sz w:val="24"/>
                <w:szCs w:val="24"/>
                <w:lang w:val="en-US" w:eastAsia="zh-CN"/>
                <w14:textFill>
                  <w14:solidFill>
                    <w14:schemeClr w14:val="tx1"/>
                  </w14:solidFill>
                </w14:textFill>
              </w:rPr>
              <w:t>产生量为0.01t/a，</w:t>
            </w:r>
            <w:r>
              <w:rPr>
                <w:rFonts w:hint="eastAsia" w:cs="Times New Roman"/>
                <w:snapToGrid/>
                <w:color w:val="000000" w:themeColor="text1"/>
                <w:spacing w:val="0"/>
                <w:kern w:val="0"/>
                <w:position w:val="0"/>
                <w:sz w:val="24"/>
                <w:szCs w:val="24"/>
                <w:lang w:val="en-US" w:eastAsia="zh-CN"/>
                <w14:textFill>
                  <w14:solidFill>
                    <w14:schemeClr w14:val="tx1"/>
                  </w14:solidFill>
                </w14:textFill>
              </w:rPr>
              <w:t>根据</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《国家危险废物名录》（</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5年版），</w:t>
            </w:r>
            <w:r>
              <w:rPr>
                <w:rFonts w:hint="eastAsia" w:ascii="Times New Roman" w:hAnsi="Times New Roman" w:cs="Times New Roman"/>
                <w:color w:val="000000" w:themeColor="text1"/>
                <w:spacing w:val="0"/>
                <w:sz w:val="24"/>
                <w:szCs w:val="22"/>
                <w:lang w:val="en-US" w:eastAsia="zh-CN"/>
                <w14:textFill>
                  <w14:solidFill>
                    <w14:schemeClr w14:val="tx1"/>
                  </w14:solidFill>
                </w14:textFill>
              </w:rPr>
              <w:t>含油废</w:t>
            </w:r>
            <w:r>
              <w:rPr>
                <w:rFonts w:hint="eastAsia" w:ascii="Times New Roman" w:hAnsi="Times New Roman" w:eastAsia="宋体" w:cs="Times New Roman"/>
                <w:color w:val="000000" w:themeColor="text1"/>
                <w:spacing w:val="0"/>
                <w:sz w:val="24"/>
                <w:szCs w:val="22"/>
                <w:lang w:val="en-US" w:eastAsia="zh-CN"/>
                <w14:textFill>
                  <w14:solidFill>
                    <w14:schemeClr w14:val="tx1"/>
                  </w14:solidFill>
                </w14:textFill>
              </w:rPr>
              <w:t>抹布、废手套</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属于</w:t>
            </w:r>
            <w:r>
              <w:rPr>
                <w:rFonts w:hint="eastAsia" w:cs="Times New Roman"/>
                <w:snapToGrid/>
                <w:color w:val="000000" w:themeColor="text1"/>
                <w:spacing w:val="0"/>
                <w:kern w:val="0"/>
                <w:position w:val="0"/>
                <w:sz w:val="24"/>
                <w:szCs w:val="24"/>
                <w:lang w:val="en-US" w:eastAsia="zh-CN"/>
                <w14:textFill>
                  <w14:solidFill>
                    <w14:schemeClr w14:val="tx1"/>
                  </w14:solidFill>
                </w14:textFill>
              </w:rPr>
              <w:t>其</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中的</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HW</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49（代码900-041-49）</w:t>
            </w:r>
            <w:r>
              <w:rPr>
                <w:rFonts w:hint="default" w:ascii="Times New Roman" w:hAnsi="Times New Roman" w:cs="Times New Roman"/>
                <w:color w:val="000000" w:themeColor="text1"/>
                <w:spacing w:val="0"/>
                <w:sz w:val="24"/>
                <w:szCs w:val="24"/>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交由有危废处置资质单位处理</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w:t>
            </w:r>
          </w:p>
          <w:p w14:paraId="50CBA19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固体废物处置利用情况</w:t>
            </w:r>
          </w:p>
          <w:p w14:paraId="1F7CF75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本项目固体废物处置利用情况详见表4-</w:t>
            </w:r>
            <w:r>
              <w:rPr>
                <w:rFonts w:hint="eastAsia" w:cs="Times New Roman"/>
                <w:snapToGrid/>
                <w:color w:val="000000" w:themeColor="text1"/>
                <w:spacing w:val="0"/>
                <w:kern w:val="0"/>
                <w:position w:val="0"/>
                <w:sz w:val="24"/>
                <w:szCs w:val="24"/>
                <w:lang w:val="en-US" w:eastAsia="zh-CN"/>
                <w14:textFill>
                  <w14:solidFill>
                    <w14:schemeClr w14:val="tx1"/>
                  </w14:solidFill>
                </w14:textFill>
              </w:rPr>
              <w:t>13</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p>
          <w:p w14:paraId="158D623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 xml:space="preserve">13 </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 xml:space="preserve"> 本项目固体废物利用处置方式一览表</w:t>
            </w:r>
          </w:p>
          <w:tbl>
            <w:tblPr>
              <w:tblStyle w:val="81"/>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
              <w:gridCol w:w="1256"/>
              <w:gridCol w:w="911"/>
              <w:gridCol w:w="990"/>
              <w:gridCol w:w="840"/>
              <w:gridCol w:w="893"/>
              <w:gridCol w:w="1254"/>
              <w:gridCol w:w="769"/>
              <w:gridCol w:w="998"/>
            </w:tblGrid>
            <w:tr w14:paraId="6C8A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004AC19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序号</w:t>
                  </w:r>
                </w:p>
              </w:tc>
              <w:tc>
                <w:tcPr>
                  <w:tcW w:w="762" w:type="pct"/>
                  <w:tcBorders>
                    <w:tl2br w:val="nil"/>
                    <w:tr2bl w:val="nil"/>
                  </w:tcBorders>
                  <w:vAlign w:val="center"/>
                </w:tcPr>
                <w:p w14:paraId="1CB0AC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固废名称</w:t>
                  </w:r>
                </w:p>
              </w:tc>
              <w:tc>
                <w:tcPr>
                  <w:tcW w:w="553" w:type="pct"/>
                  <w:tcBorders>
                    <w:tl2br w:val="nil"/>
                    <w:tr2bl w:val="nil"/>
                  </w:tcBorders>
                  <w:vAlign w:val="center"/>
                </w:tcPr>
                <w:p w14:paraId="6FB475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属性</w:t>
                  </w:r>
                </w:p>
              </w:tc>
              <w:tc>
                <w:tcPr>
                  <w:tcW w:w="601" w:type="pct"/>
                  <w:tcBorders>
                    <w:tl2br w:val="nil"/>
                    <w:tr2bl w:val="nil"/>
                  </w:tcBorders>
                  <w:vAlign w:val="center"/>
                </w:tcPr>
                <w:p w14:paraId="0961528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产生工序</w:t>
                  </w:r>
                </w:p>
              </w:tc>
              <w:tc>
                <w:tcPr>
                  <w:tcW w:w="510" w:type="pct"/>
                  <w:tcBorders>
                    <w:tl2br w:val="nil"/>
                    <w:tr2bl w:val="nil"/>
                  </w:tcBorders>
                  <w:vAlign w:val="center"/>
                </w:tcPr>
                <w:p w14:paraId="2D231F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形态</w:t>
                  </w:r>
                </w:p>
              </w:tc>
              <w:tc>
                <w:tcPr>
                  <w:tcW w:w="542" w:type="pct"/>
                  <w:tcBorders>
                    <w:tl2br w:val="nil"/>
                    <w:tr2bl w:val="nil"/>
                  </w:tcBorders>
                  <w:vAlign w:val="center"/>
                </w:tcPr>
                <w:p w14:paraId="1658BD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废物类别</w:t>
                  </w:r>
                </w:p>
              </w:tc>
              <w:tc>
                <w:tcPr>
                  <w:tcW w:w="761" w:type="pct"/>
                  <w:tcBorders>
                    <w:tl2br w:val="nil"/>
                    <w:tr2bl w:val="nil"/>
                  </w:tcBorders>
                  <w:vAlign w:val="center"/>
                </w:tcPr>
                <w:p w14:paraId="33D928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废物代码</w:t>
                  </w:r>
                </w:p>
              </w:tc>
              <w:tc>
                <w:tcPr>
                  <w:tcW w:w="467" w:type="pct"/>
                  <w:tcBorders>
                    <w:tl2br w:val="nil"/>
                    <w:tr2bl w:val="nil"/>
                  </w:tcBorders>
                  <w:vAlign w:val="center"/>
                </w:tcPr>
                <w:p w14:paraId="51E8E9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产生量</w:t>
                  </w:r>
                  <w:r>
                    <w:rPr>
                      <w:rFonts w:hint="default" w:ascii="Times New Roman" w:hAnsi="Times New Roman" w:cs="Times New Roman"/>
                      <w:b/>
                      <w:bCs/>
                      <w:snapToGrid/>
                      <w:color w:val="000000" w:themeColor="text1"/>
                      <w:spacing w:val="0"/>
                      <w:kern w:val="0"/>
                      <w:position w:val="0"/>
                      <w:sz w:val="21"/>
                      <w:szCs w:val="21"/>
                      <w:lang w:eastAsia="zh-CN"/>
                      <w14:textFill>
                        <w14:solidFill>
                          <w14:schemeClr w14:val="tx1"/>
                        </w14:solidFill>
                      </w14:textFill>
                    </w:rPr>
                    <w:t>（</w:t>
                  </w:r>
                  <w:r>
                    <w:rPr>
                      <w:rFonts w:hint="default"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t</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w:t>
                  </w:r>
                  <w:r>
                    <w:rPr>
                      <w:rFonts w:hint="default" w:ascii="Times New Roman" w:hAnsi="Times New Roman" w:cs="Times New Roman"/>
                      <w:b/>
                      <w:bCs/>
                      <w:snapToGrid/>
                      <w:color w:val="000000" w:themeColor="text1"/>
                      <w:spacing w:val="0"/>
                      <w:kern w:val="0"/>
                      <w:position w:val="0"/>
                      <w:sz w:val="21"/>
                      <w:szCs w:val="21"/>
                      <w:lang w:val="en-US" w:eastAsia="zh-CN"/>
                      <w14:textFill>
                        <w14:solidFill>
                          <w14:schemeClr w14:val="tx1"/>
                        </w14:solidFill>
                      </w14:textFill>
                    </w:rPr>
                    <w:t>a</w:t>
                  </w:r>
                  <w:r>
                    <w:rPr>
                      <w:rFonts w:hint="default" w:ascii="Times New Roman" w:hAnsi="Times New Roman" w:cs="Times New Roman"/>
                      <w:b/>
                      <w:bCs/>
                      <w:snapToGrid/>
                      <w:color w:val="000000" w:themeColor="text1"/>
                      <w:spacing w:val="0"/>
                      <w:kern w:val="0"/>
                      <w:position w:val="0"/>
                      <w:sz w:val="21"/>
                      <w:szCs w:val="21"/>
                      <w:lang w:eastAsia="zh-CN"/>
                      <w14:textFill>
                        <w14:solidFill>
                          <w14:schemeClr w14:val="tx1"/>
                        </w14:solidFill>
                      </w14:textFill>
                    </w:rPr>
                    <w:t>）</w:t>
                  </w:r>
                </w:p>
              </w:tc>
              <w:tc>
                <w:tcPr>
                  <w:tcW w:w="606" w:type="pct"/>
                  <w:tcBorders>
                    <w:tl2br w:val="nil"/>
                    <w:tr2bl w:val="nil"/>
                  </w:tcBorders>
                  <w:vAlign w:val="center"/>
                </w:tcPr>
                <w:p w14:paraId="293F1C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处置方式</w:t>
                  </w:r>
                </w:p>
              </w:tc>
            </w:tr>
            <w:tr w14:paraId="2D10A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78B7B1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1</w:t>
                  </w:r>
                </w:p>
              </w:tc>
              <w:tc>
                <w:tcPr>
                  <w:tcW w:w="762" w:type="pct"/>
                  <w:tcBorders>
                    <w:tl2br w:val="nil"/>
                    <w:tr2bl w:val="nil"/>
                  </w:tcBorders>
                  <w:vAlign w:val="center"/>
                </w:tcPr>
                <w:p w14:paraId="382F93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生活垃圾</w:t>
                  </w:r>
                </w:p>
              </w:tc>
              <w:tc>
                <w:tcPr>
                  <w:tcW w:w="553" w:type="pct"/>
                  <w:vMerge w:val="restart"/>
                  <w:tcBorders>
                    <w:tl2br w:val="nil"/>
                    <w:tr2bl w:val="nil"/>
                  </w:tcBorders>
                  <w:vAlign w:val="center"/>
                </w:tcPr>
                <w:p w14:paraId="25F222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一般废物</w:t>
                  </w:r>
                </w:p>
              </w:tc>
              <w:tc>
                <w:tcPr>
                  <w:tcW w:w="601" w:type="pct"/>
                  <w:tcBorders>
                    <w:tl2br w:val="nil"/>
                    <w:tr2bl w:val="nil"/>
                  </w:tcBorders>
                  <w:vAlign w:val="center"/>
                </w:tcPr>
                <w:p w14:paraId="4A0543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职工生活</w:t>
                  </w:r>
                </w:p>
              </w:tc>
              <w:tc>
                <w:tcPr>
                  <w:tcW w:w="510" w:type="pct"/>
                  <w:tcBorders>
                    <w:tl2br w:val="nil"/>
                    <w:tr2bl w:val="nil"/>
                  </w:tcBorders>
                  <w:vAlign w:val="center"/>
                </w:tcPr>
                <w:p w14:paraId="655760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4FFAAB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761" w:type="pct"/>
                  <w:tcBorders>
                    <w:tl2br w:val="nil"/>
                    <w:tr2bl w:val="nil"/>
                  </w:tcBorders>
                  <w:vAlign w:val="center"/>
                </w:tcPr>
                <w:p w14:paraId="519737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w:t>
                  </w:r>
                </w:p>
              </w:tc>
              <w:tc>
                <w:tcPr>
                  <w:tcW w:w="467" w:type="pct"/>
                  <w:tcBorders>
                    <w:tl2br w:val="nil"/>
                    <w:tr2bl w:val="nil"/>
                  </w:tcBorders>
                  <w:vAlign w:val="center"/>
                </w:tcPr>
                <w:p w14:paraId="7ACB34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w:t>
                  </w:r>
                </w:p>
              </w:tc>
              <w:tc>
                <w:tcPr>
                  <w:tcW w:w="606" w:type="pct"/>
                  <w:tcBorders>
                    <w:tl2br w:val="nil"/>
                    <w:tr2bl w:val="nil"/>
                  </w:tcBorders>
                  <w:vAlign w:val="center"/>
                </w:tcPr>
                <w:p w14:paraId="487711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环卫清运</w:t>
                  </w:r>
                </w:p>
              </w:tc>
            </w:tr>
            <w:tr w14:paraId="31C49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1A2DB7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2</w:t>
                  </w:r>
                </w:p>
              </w:tc>
              <w:tc>
                <w:tcPr>
                  <w:tcW w:w="762" w:type="pct"/>
                  <w:tcBorders>
                    <w:tl2br w:val="nil"/>
                    <w:tr2bl w:val="nil"/>
                  </w:tcBorders>
                  <w:vAlign w:val="center"/>
                </w:tcPr>
                <w:p w14:paraId="53375D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布袋除尘器收集的粉尘</w:t>
                  </w:r>
                </w:p>
              </w:tc>
              <w:tc>
                <w:tcPr>
                  <w:tcW w:w="553" w:type="pct"/>
                  <w:vMerge w:val="continue"/>
                  <w:tcBorders>
                    <w:tl2br w:val="nil"/>
                    <w:tr2bl w:val="nil"/>
                  </w:tcBorders>
                  <w:vAlign w:val="center"/>
                </w:tcPr>
                <w:p w14:paraId="444F97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601" w:type="pct"/>
                  <w:vMerge w:val="restart"/>
                  <w:tcBorders>
                    <w:tl2br w:val="nil"/>
                    <w:tr2bl w:val="nil"/>
                  </w:tcBorders>
                  <w:vAlign w:val="center"/>
                </w:tcPr>
                <w:p w14:paraId="6EF305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生产处理区</w:t>
                  </w:r>
                </w:p>
              </w:tc>
              <w:tc>
                <w:tcPr>
                  <w:tcW w:w="510" w:type="pct"/>
                  <w:tcBorders>
                    <w:tl2br w:val="nil"/>
                    <w:tr2bl w:val="nil"/>
                  </w:tcBorders>
                  <w:vAlign w:val="center"/>
                </w:tcPr>
                <w:p w14:paraId="3E7759E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24E6D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SW</w:t>
                  </w:r>
                  <w:r>
                    <w:rPr>
                      <w:rFonts w:hint="eastAsia" w:cs="Times New Roman"/>
                      <w:snapToGrid/>
                      <w:color w:val="000000" w:themeColor="text1"/>
                      <w:spacing w:val="0"/>
                      <w:kern w:val="0"/>
                      <w:position w:val="0"/>
                      <w:sz w:val="21"/>
                      <w:szCs w:val="21"/>
                      <w:lang w:val="en-US" w:eastAsia="zh-CN"/>
                      <w14:textFill>
                        <w14:solidFill>
                          <w14:schemeClr w14:val="tx1"/>
                        </w14:solidFill>
                      </w14:textFill>
                    </w:rPr>
                    <w:t>59</w:t>
                  </w:r>
                </w:p>
              </w:tc>
              <w:tc>
                <w:tcPr>
                  <w:tcW w:w="761" w:type="pct"/>
                  <w:tcBorders>
                    <w:tl2br w:val="nil"/>
                    <w:tr2bl w:val="nil"/>
                  </w:tcBorders>
                  <w:vAlign w:val="center"/>
                </w:tcPr>
                <w:p w14:paraId="5B948F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900-099-S59</w:t>
                  </w:r>
                </w:p>
              </w:tc>
              <w:tc>
                <w:tcPr>
                  <w:tcW w:w="467" w:type="pct"/>
                  <w:tcBorders>
                    <w:tl2br w:val="nil"/>
                    <w:tr2bl w:val="nil"/>
                  </w:tcBorders>
                  <w:vAlign w:val="center"/>
                </w:tcPr>
                <w:p w14:paraId="270D90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207.159</w:t>
                  </w:r>
                </w:p>
              </w:tc>
              <w:tc>
                <w:tcPr>
                  <w:tcW w:w="606" w:type="pct"/>
                  <w:tcBorders>
                    <w:tl2br w:val="nil"/>
                    <w:tr2bl w:val="nil"/>
                  </w:tcBorders>
                  <w:vAlign w:val="center"/>
                </w:tcPr>
                <w:p w14:paraId="732365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回用于生产</w:t>
                  </w:r>
                </w:p>
              </w:tc>
            </w:tr>
            <w:tr w14:paraId="3638D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53D546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3</w:t>
                  </w:r>
                </w:p>
              </w:tc>
              <w:tc>
                <w:tcPr>
                  <w:tcW w:w="762" w:type="pct"/>
                  <w:tcBorders>
                    <w:tl2br w:val="nil"/>
                    <w:tr2bl w:val="nil"/>
                  </w:tcBorders>
                  <w:vAlign w:val="center"/>
                </w:tcPr>
                <w:p w14:paraId="5D9DD8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废除尘布袋</w:t>
                  </w:r>
                </w:p>
              </w:tc>
              <w:tc>
                <w:tcPr>
                  <w:tcW w:w="553" w:type="pct"/>
                  <w:vMerge w:val="continue"/>
                  <w:tcBorders>
                    <w:tl2br w:val="nil"/>
                    <w:tr2bl w:val="nil"/>
                  </w:tcBorders>
                  <w:vAlign w:val="center"/>
                </w:tcPr>
                <w:p w14:paraId="59802F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601" w:type="pct"/>
                  <w:vMerge w:val="continue"/>
                  <w:tcBorders>
                    <w:tl2br w:val="nil"/>
                    <w:tr2bl w:val="nil"/>
                  </w:tcBorders>
                  <w:vAlign w:val="center"/>
                </w:tcPr>
                <w:p w14:paraId="0AE60E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510" w:type="pct"/>
                  <w:tcBorders>
                    <w:tl2br w:val="nil"/>
                    <w:tr2bl w:val="nil"/>
                  </w:tcBorders>
                  <w:vAlign w:val="center"/>
                </w:tcPr>
                <w:p w14:paraId="7E743B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55B5D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SW</w:t>
                  </w:r>
                  <w:r>
                    <w:rPr>
                      <w:rFonts w:hint="eastAsia" w:cs="Times New Roman"/>
                      <w:snapToGrid/>
                      <w:color w:val="000000" w:themeColor="text1"/>
                      <w:spacing w:val="0"/>
                      <w:kern w:val="0"/>
                      <w:position w:val="0"/>
                      <w:sz w:val="21"/>
                      <w:szCs w:val="21"/>
                      <w:lang w:val="en-US" w:eastAsia="zh-CN"/>
                      <w14:textFill>
                        <w14:solidFill>
                          <w14:schemeClr w14:val="tx1"/>
                        </w14:solidFill>
                      </w14:textFill>
                    </w:rPr>
                    <w:t>59</w:t>
                  </w:r>
                </w:p>
              </w:tc>
              <w:tc>
                <w:tcPr>
                  <w:tcW w:w="761" w:type="pct"/>
                  <w:tcBorders>
                    <w:tl2br w:val="nil"/>
                    <w:tr2bl w:val="nil"/>
                  </w:tcBorders>
                  <w:vAlign w:val="center"/>
                </w:tcPr>
                <w:p w14:paraId="7AC729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900-009-S59</w:t>
                  </w:r>
                </w:p>
              </w:tc>
              <w:tc>
                <w:tcPr>
                  <w:tcW w:w="467" w:type="pct"/>
                  <w:tcBorders>
                    <w:tl2br w:val="nil"/>
                    <w:tr2bl w:val="nil"/>
                  </w:tcBorders>
                  <w:vAlign w:val="center"/>
                </w:tcPr>
                <w:p w14:paraId="4E1305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0.14</w:t>
                  </w:r>
                </w:p>
              </w:tc>
              <w:tc>
                <w:tcPr>
                  <w:tcW w:w="606" w:type="pct"/>
                  <w:tcBorders>
                    <w:tl2br w:val="nil"/>
                    <w:tr2bl w:val="nil"/>
                  </w:tcBorders>
                  <w:vAlign w:val="center"/>
                </w:tcPr>
                <w:p w14:paraId="3C96A4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环卫清运</w:t>
                  </w:r>
                </w:p>
              </w:tc>
            </w:tr>
            <w:tr w14:paraId="3D896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327F48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4</w:t>
                  </w:r>
                </w:p>
              </w:tc>
              <w:tc>
                <w:tcPr>
                  <w:tcW w:w="762" w:type="pct"/>
                  <w:tcBorders>
                    <w:tl2br w:val="nil"/>
                    <w:tr2bl w:val="nil"/>
                  </w:tcBorders>
                  <w:vAlign w:val="center"/>
                </w:tcPr>
                <w:p w14:paraId="756D793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沉渣</w:t>
                  </w:r>
                </w:p>
              </w:tc>
              <w:tc>
                <w:tcPr>
                  <w:tcW w:w="553" w:type="pct"/>
                  <w:vMerge w:val="continue"/>
                  <w:tcBorders>
                    <w:tl2br w:val="nil"/>
                    <w:tr2bl w:val="nil"/>
                  </w:tcBorders>
                  <w:vAlign w:val="center"/>
                </w:tcPr>
                <w:p w14:paraId="21B46A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601" w:type="pct"/>
                  <w:vMerge w:val="continue"/>
                  <w:tcBorders>
                    <w:tl2br w:val="nil"/>
                    <w:tr2bl w:val="nil"/>
                  </w:tcBorders>
                  <w:vAlign w:val="center"/>
                </w:tcPr>
                <w:p w14:paraId="40CD1C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510" w:type="pct"/>
                  <w:tcBorders>
                    <w:tl2br w:val="nil"/>
                    <w:tr2bl w:val="nil"/>
                  </w:tcBorders>
                  <w:vAlign w:val="center"/>
                </w:tcPr>
                <w:p w14:paraId="6E2062B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147FC7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SW07</w:t>
                  </w:r>
                </w:p>
              </w:tc>
              <w:tc>
                <w:tcPr>
                  <w:tcW w:w="761" w:type="pct"/>
                  <w:tcBorders>
                    <w:tl2br w:val="nil"/>
                    <w:tr2bl w:val="nil"/>
                  </w:tcBorders>
                  <w:vAlign w:val="center"/>
                </w:tcPr>
                <w:p w14:paraId="6F5D2D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900-099-S07</w:t>
                  </w:r>
                </w:p>
              </w:tc>
              <w:tc>
                <w:tcPr>
                  <w:tcW w:w="467" w:type="pct"/>
                  <w:tcBorders>
                    <w:tl2br w:val="nil"/>
                    <w:tr2bl w:val="nil"/>
                  </w:tcBorders>
                  <w:vAlign w:val="center"/>
                </w:tcPr>
                <w:p w14:paraId="500782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3.6</w:t>
                  </w:r>
                </w:p>
              </w:tc>
              <w:tc>
                <w:tcPr>
                  <w:tcW w:w="606" w:type="pct"/>
                  <w:tcBorders>
                    <w:tl2br w:val="nil"/>
                    <w:tr2bl w:val="nil"/>
                  </w:tcBorders>
                  <w:vAlign w:val="center"/>
                </w:tcPr>
                <w:p w14:paraId="518A28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回用于生产</w:t>
                  </w:r>
                </w:p>
              </w:tc>
            </w:tr>
            <w:tr w14:paraId="4FAC0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3F458FB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5</w:t>
                  </w:r>
                </w:p>
              </w:tc>
              <w:tc>
                <w:tcPr>
                  <w:tcW w:w="762" w:type="pct"/>
                  <w:tcBorders>
                    <w:tl2br w:val="nil"/>
                    <w:tr2bl w:val="nil"/>
                  </w:tcBorders>
                  <w:vAlign w:val="center"/>
                </w:tcPr>
                <w:p w14:paraId="166A25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废实验样品</w:t>
                  </w:r>
                </w:p>
              </w:tc>
              <w:tc>
                <w:tcPr>
                  <w:tcW w:w="553" w:type="pct"/>
                  <w:vMerge w:val="continue"/>
                  <w:tcBorders>
                    <w:tl2br w:val="nil"/>
                    <w:tr2bl w:val="nil"/>
                  </w:tcBorders>
                  <w:vAlign w:val="center"/>
                </w:tcPr>
                <w:p w14:paraId="481E3D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p>
              </w:tc>
              <w:tc>
                <w:tcPr>
                  <w:tcW w:w="601" w:type="pct"/>
                  <w:tcBorders>
                    <w:tl2br w:val="nil"/>
                    <w:tr2bl w:val="nil"/>
                  </w:tcBorders>
                  <w:vAlign w:val="center"/>
                </w:tcPr>
                <w:p w14:paraId="6B22FD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实验室</w:t>
                  </w:r>
                </w:p>
              </w:tc>
              <w:tc>
                <w:tcPr>
                  <w:tcW w:w="510" w:type="pct"/>
                  <w:tcBorders>
                    <w:tl2br w:val="nil"/>
                    <w:tr2bl w:val="nil"/>
                  </w:tcBorders>
                  <w:vAlign w:val="center"/>
                </w:tcPr>
                <w:p w14:paraId="1BE413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893" w:type="dxa"/>
                  <w:tcBorders>
                    <w:tl2br w:val="nil"/>
                    <w:tr2bl w:val="nil"/>
                  </w:tcBorders>
                  <w:vAlign w:val="center"/>
                </w:tcPr>
                <w:p w14:paraId="4A6213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SW</w:t>
                  </w:r>
                  <w:r>
                    <w:rPr>
                      <w:rFonts w:hint="eastAsia" w:cs="Times New Roman"/>
                      <w:snapToGrid/>
                      <w:color w:val="000000" w:themeColor="text1"/>
                      <w:spacing w:val="0"/>
                      <w:kern w:val="0"/>
                      <w:position w:val="0"/>
                      <w:sz w:val="21"/>
                      <w:szCs w:val="21"/>
                      <w:lang w:val="en-US" w:eastAsia="zh-CN"/>
                      <w14:textFill>
                        <w14:solidFill>
                          <w14:schemeClr w14:val="tx1"/>
                        </w14:solidFill>
                      </w14:textFill>
                    </w:rPr>
                    <w:t>59</w:t>
                  </w:r>
                </w:p>
              </w:tc>
              <w:tc>
                <w:tcPr>
                  <w:tcW w:w="1254" w:type="dxa"/>
                  <w:tcBorders>
                    <w:tl2br w:val="nil"/>
                    <w:tr2bl w:val="nil"/>
                  </w:tcBorders>
                  <w:vAlign w:val="center"/>
                </w:tcPr>
                <w:p w14:paraId="0107C8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w:t>
                  </w:r>
                  <w:r>
                    <w:rPr>
                      <w:rFonts w:hint="eastAsia" w:cs="Times New Roman"/>
                      <w:snapToGrid/>
                      <w:color w:val="000000" w:themeColor="text1"/>
                      <w:spacing w:val="0"/>
                      <w:kern w:val="0"/>
                      <w:position w:val="0"/>
                      <w:sz w:val="21"/>
                      <w:szCs w:val="21"/>
                      <w:lang w:val="en-US" w:eastAsia="zh-CN"/>
                      <w14:textFill>
                        <w14:solidFill>
                          <w14:schemeClr w14:val="tx1"/>
                        </w14:solidFill>
                      </w14:textFill>
                    </w:rPr>
                    <w:t>9</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9-S59</w:t>
                  </w:r>
                </w:p>
              </w:tc>
              <w:tc>
                <w:tcPr>
                  <w:tcW w:w="769" w:type="dxa"/>
                  <w:tcBorders>
                    <w:tl2br w:val="nil"/>
                    <w:tr2bl w:val="nil"/>
                  </w:tcBorders>
                  <w:vAlign w:val="center"/>
                </w:tcPr>
                <w:p w14:paraId="544552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1.2</w:t>
                  </w:r>
                </w:p>
              </w:tc>
              <w:tc>
                <w:tcPr>
                  <w:tcW w:w="998" w:type="dxa"/>
                  <w:tcBorders>
                    <w:tl2br w:val="nil"/>
                    <w:tr2bl w:val="nil"/>
                  </w:tcBorders>
                  <w:vAlign w:val="center"/>
                </w:tcPr>
                <w:p w14:paraId="4A34A0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环卫清运</w:t>
                  </w:r>
                </w:p>
              </w:tc>
            </w:tr>
            <w:tr w14:paraId="0E603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3E5BEF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6</w:t>
                  </w:r>
                </w:p>
              </w:tc>
              <w:tc>
                <w:tcPr>
                  <w:tcW w:w="762" w:type="pct"/>
                  <w:tcBorders>
                    <w:tl2br w:val="nil"/>
                    <w:tr2bl w:val="nil"/>
                  </w:tcBorders>
                  <w:vAlign w:val="center"/>
                </w:tcPr>
                <w:p w14:paraId="1E5041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w:t>
                  </w:r>
                </w:p>
              </w:tc>
              <w:tc>
                <w:tcPr>
                  <w:tcW w:w="553" w:type="pct"/>
                  <w:vMerge w:val="restart"/>
                  <w:tcBorders>
                    <w:tl2br w:val="nil"/>
                    <w:tr2bl w:val="nil"/>
                  </w:tcBorders>
                  <w:vAlign w:val="center"/>
                </w:tcPr>
                <w:p w14:paraId="670AD3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危险废物</w:t>
                  </w:r>
                </w:p>
              </w:tc>
              <w:tc>
                <w:tcPr>
                  <w:tcW w:w="601" w:type="pct"/>
                  <w:vMerge w:val="restart"/>
                  <w:tcBorders>
                    <w:tl2br w:val="nil"/>
                    <w:tr2bl w:val="nil"/>
                  </w:tcBorders>
                  <w:vAlign w:val="center"/>
                </w:tcPr>
                <w:p w14:paraId="5DB70C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设备检修</w:t>
                  </w:r>
                </w:p>
              </w:tc>
              <w:tc>
                <w:tcPr>
                  <w:tcW w:w="510" w:type="pct"/>
                  <w:tcBorders>
                    <w:tl2br w:val="nil"/>
                    <w:tr2bl w:val="nil"/>
                  </w:tcBorders>
                  <w:vAlign w:val="center"/>
                </w:tcPr>
                <w:p w14:paraId="0063BB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液</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态</w:t>
                  </w:r>
                </w:p>
              </w:tc>
              <w:tc>
                <w:tcPr>
                  <w:tcW w:w="542" w:type="pct"/>
                  <w:tcBorders>
                    <w:tl2br w:val="nil"/>
                    <w:tr2bl w:val="nil"/>
                  </w:tcBorders>
                  <w:vAlign w:val="center"/>
                </w:tcPr>
                <w:p w14:paraId="01B1FE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HW08</w:t>
                  </w:r>
                </w:p>
              </w:tc>
              <w:tc>
                <w:tcPr>
                  <w:tcW w:w="761" w:type="pct"/>
                  <w:tcBorders>
                    <w:tl2br w:val="nil"/>
                    <w:tr2bl w:val="nil"/>
                  </w:tcBorders>
                  <w:vAlign w:val="center"/>
                </w:tcPr>
                <w:p w14:paraId="56B643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900-249-08</w:t>
                  </w:r>
                </w:p>
              </w:tc>
              <w:tc>
                <w:tcPr>
                  <w:tcW w:w="467" w:type="pct"/>
                  <w:tcBorders>
                    <w:tl2br w:val="nil"/>
                    <w:tr2bl w:val="nil"/>
                  </w:tcBorders>
                  <w:vAlign w:val="center"/>
                </w:tcPr>
                <w:p w14:paraId="3E807A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0.05</w:t>
                  </w:r>
                </w:p>
              </w:tc>
              <w:tc>
                <w:tcPr>
                  <w:tcW w:w="606" w:type="pct"/>
                  <w:vMerge w:val="restart"/>
                  <w:tcBorders>
                    <w:tl2br w:val="nil"/>
                    <w:tr2bl w:val="nil"/>
                  </w:tcBorders>
                  <w:vAlign w:val="center"/>
                </w:tcPr>
                <w:p w14:paraId="052651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交由有危废处置资质单位处理</w:t>
                  </w:r>
                </w:p>
              </w:tc>
            </w:tr>
            <w:tr w14:paraId="4C3DE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1F8C9C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7</w:t>
                  </w:r>
                </w:p>
              </w:tc>
              <w:tc>
                <w:tcPr>
                  <w:tcW w:w="762" w:type="pct"/>
                  <w:tcBorders>
                    <w:tl2br w:val="nil"/>
                    <w:tr2bl w:val="nil"/>
                  </w:tcBorders>
                  <w:vAlign w:val="center"/>
                </w:tcPr>
                <w:p w14:paraId="014508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废机油桶</w:t>
                  </w:r>
                </w:p>
              </w:tc>
              <w:tc>
                <w:tcPr>
                  <w:tcW w:w="553" w:type="pct"/>
                  <w:vMerge w:val="continue"/>
                  <w:tcBorders>
                    <w:tl2br w:val="nil"/>
                    <w:tr2bl w:val="nil"/>
                  </w:tcBorders>
                  <w:vAlign w:val="center"/>
                </w:tcPr>
                <w:p w14:paraId="37B643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601" w:type="pct"/>
                  <w:vMerge w:val="continue"/>
                  <w:tcBorders>
                    <w:tl2br w:val="nil"/>
                    <w:tr2bl w:val="nil"/>
                  </w:tcBorders>
                  <w:vAlign w:val="center"/>
                </w:tcPr>
                <w:p w14:paraId="6ECEEB0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510" w:type="pct"/>
                  <w:tcBorders>
                    <w:tl2br w:val="nil"/>
                    <w:tr2bl w:val="nil"/>
                  </w:tcBorders>
                  <w:vAlign w:val="center"/>
                </w:tcPr>
                <w:p w14:paraId="13FC2E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6A2C2C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HW49</w:t>
                  </w:r>
                </w:p>
              </w:tc>
              <w:tc>
                <w:tcPr>
                  <w:tcW w:w="761" w:type="pct"/>
                  <w:tcBorders>
                    <w:tl2br w:val="nil"/>
                    <w:tr2bl w:val="nil"/>
                  </w:tcBorders>
                  <w:vAlign w:val="center"/>
                </w:tcPr>
                <w:p w14:paraId="2C02B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467" w:type="pct"/>
                  <w:tcBorders>
                    <w:tl2br w:val="nil"/>
                    <w:tr2bl w:val="nil"/>
                  </w:tcBorders>
                  <w:vAlign w:val="center"/>
                </w:tcPr>
                <w:p w14:paraId="294A57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0.1</w:t>
                  </w:r>
                </w:p>
              </w:tc>
              <w:tc>
                <w:tcPr>
                  <w:tcW w:w="606" w:type="pct"/>
                  <w:vMerge w:val="continue"/>
                  <w:tcBorders>
                    <w:tl2br w:val="nil"/>
                    <w:tr2bl w:val="nil"/>
                  </w:tcBorders>
                  <w:vAlign w:val="center"/>
                </w:tcPr>
                <w:p w14:paraId="0EA7C8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r>
            <w:tr w14:paraId="31F5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 w:type="pct"/>
                  <w:tcBorders>
                    <w:tl2br w:val="nil"/>
                    <w:tr2bl w:val="nil"/>
                  </w:tcBorders>
                  <w:vAlign w:val="center"/>
                </w:tcPr>
                <w:p w14:paraId="003693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8</w:t>
                  </w:r>
                </w:p>
              </w:tc>
              <w:tc>
                <w:tcPr>
                  <w:tcW w:w="762" w:type="pct"/>
                  <w:tcBorders>
                    <w:tl2br w:val="nil"/>
                    <w:tr2bl w:val="nil"/>
                  </w:tcBorders>
                  <w:vAlign w:val="center"/>
                </w:tcPr>
                <w:p w14:paraId="45070B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含油废抹布、废手套</w:t>
                  </w:r>
                </w:p>
              </w:tc>
              <w:tc>
                <w:tcPr>
                  <w:tcW w:w="553" w:type="pct"/>
                  <w:vMerge w:val="continue"/>
                  <w:tcBorders>
                    <w:tl2br w:val="nil"/>
                    <w:tr2bl w:val="nil"/>
                  </w:tcBorders>
                  <w:vAlign w:val="center"/>
                </w:tcPr>
                <w:p w14:paraId="6BEB4C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601" w:type="pct"/>
                  <w:vMerge w:val="continue"/>
                  <w:tcBorders>
                    <w:tl2br w:val="nil"/>
                    <w:tr2bl w:val="nil"/>
                  </w:tcBorders>
                  <w:vAlign w:val="center"/>
                </w:tcPr>
                <w:p w14:paraId="256AF0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c>
                <w:tcPr>
                  <w:tcW w:w="510" w:type="pct"/>
                  <w:tcBorders>
                    <w:tl2br w:val="nil"/>
                    <w:tr2bl w:val="nil"/>
                  </w:tcBorders>
                  <w:vAlign w:val="center"/>
                </w:tcPr>
                <w:p w14:paraId="61B95A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14:textFill>
                        <w14:solidFill>
                          <w14:schemeClr w14:val="tx1"/>
                        </w14:solidFill>
                      </w14:textFill>
                    </w:rPr>
                    <w:t>固态</w:t>
                  </w:r>
                </w:p>
              </w:tc>
              <w:tc>
                <w:tcPr>
                  <w:tcW w:w="542" w:type="pct"/>
                  <w:tcBorders>
                    <w:tl2br w:val="nil"/>
                    <w:tr2bl w:val="nil"/>
                  </w:tcBorders>
                  <w:vAlign w:val="center"/>
                </w:tcPr>
                <w:p w14:paraId="70D7AA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HW49</w:t>
                  </w:r>
                </w:p>
              </w:tc>
              <w:tc>
                <w:tcPr>
                  <w:tcW w:w="761" w:type="pct"/>
                  <w:tcBorders>
                    <w:tl2br w:val="nil"/>
                    <w:tr2bl w:val="nil"/>
                  </w:tcBorders>
                  <w:vAlign w:val="center"/>
                </w:tcPr>
                <w:p w14:paraId="77BD03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467" w:type="pct"/>
                  <w:tcBorders>
                    <w:tl2br w:val="nil"/>
                    <w:tr2bl w:val="nil"/>
                  </w:tcBorders>
                  <w:vAlign w:val="center"/>
                </w:tcPr>
                <w:p w14:paraId="547BE4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0.01</w:t>
                  </w:r>
                </w:p>
              </w:tc>
              <w:tc>
                <w:tcPr>
                  <w:tcW w:w="606" w:type="pct"/>
                  <w:vMerge w:val="continue"/>
                  <w:tcBorders>
                    <w:tl2br w:val="nil"/>
                    <w:tr2bl w:val="nil"/>
                  </w:tcBorders>
                  <w:vAlign w:val="center"/>
                </w:tcPr>
                <w:p w14:paraId="558B0B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p>
              </w:tc>
            </w:tr>
          </w:tbl>
          <w:p w14:paraId="6C8D4DFE">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eastAsia" w:ascii="Times New Roman" w:hAnsi="Times New Roman" w:eastAsia="宋体" w:cs="Times New Roman"/>
                <w:snapToGrid/>
                <w:color w:val="000000"/>
                <w:spacing w:val="0"/>
                <w:kern w:val="0"/>
                <w:position w:val="0"/>
                <w:sz w:val="24"/>
                <w:szCs w:val="24"/>
                <w:lang w:val="en-US" w:eastAsia="zh-CN"/>
              </w:rPr>
            </w:pPr>
            <w:r>
              <w:rPr>
                <w:rFonts w:hint="eastAsia" w:ascii="Times New Roman" w:hAnsi="Times New Roman" w:eastAsia="宋体" w:cs="Times New Roman"/>
                <w:snapToGrid/>
                <w:color w:val="000000"/>
                <w:spacing w:val="0"/>
                <w:kern w:val="0"/>
                <w:position w:val="0"/>
                <w:sz w:val="24"/>
                <w:szCs w:val="24"/>
                <w:lang w:val="en-US" w:eastAsia="zh-CN"/>
              </w:rPr>
              <w:t>根据《国家危险废物名录》（202</w:t>
            </w:r>
            <w:r>
              <w:rPr>
                <w:rFonts w:hint="eastAsia" w:cs="Times New Roman"/>
                <w:snapToGrid/>
                <w:color w:val="000000"/>
                <w:spacing w:val="0"/>
                <w:kern w:val="0"/>
                <w:position w:val="0"/>
                <w:sz w:val="24"/>
                <w:szCs w:val="24"/>
                <w:lang w:val="en-US" w:eastAsia="zh-CN"/>
              </w:rPr>
              <w:t>5</w:t>
            </w:r>
            <w:r>
              <w:rPr>
                <w:rFonts w:hint="eastAsia" w:ascii="Times New Roman" w:hAnsi="Times New Roman" w:eastAsia="宋体" w:cs="Times New Roman"/>
                <w:snapToGrid/>
                <w:color w:val="000000"/>
                <w:spacing w:val="0"/>
                <w:kern w:val="0"/>
                <w:position w:val="0"/>
                <w:sz w:val="24"/>
                <w:szCs w:val="24"/>
                <w:lang w:val="en-US" w:eastAsia="zh-CN"/>
              </w:rPr>
              <w:t>年版）、《危险废物鉴别标准通则》（GB5085.7-2019），判定是否属于危险废物，如下表所示。</w:t>
            </w:r>
          </w:p>
          <w:p w14:paraId="00BBDE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spacing w:val="0"/>
                <w:w w:val="100"/>
                <w:kern w:val="0"/>
                <w:position w:val="0"/>
                <w:sz w:val="21"/>
                <w:szCs w:val="21"/>
              </w:rPr>
            </w:pPr>
            <w:r>
              <w:rPr>
                <w:rFonts w:hint="default" w:ascii="Times New Roman" w:hAnsi="Times New Roman" w:eastAsia="宋体" w:cs="Times New Roman"/>
                <w:b/>
                <w:bCs/>
                <w:snapToGrid/>
                <w:color w:val="000000"/>
                <w:spacing w:val="0"/>
                <w:w w:val="100"/>
                <w:kern w:val="0"/>
                <w:position w:val="0"/>
                <w:sz w:val="21"/>
                <w:szCs w:val="21"/>
              </w:rPr>
              <w:t>表4-</w:t>
            </w:r>
            <w:r>
              <w:rPr>
                <w:rFonts w:hint="eastAsia" w:cs="Times New Roman"/>
                <w:b/>
                <w:bCs/>
                <w:snapToGrid/>
                <w:color w:val="000000"/>
                <w:spacing w:val="0"/>
                <w:w w:val="100"/>
                <w:kern w:val="0"/>
                <w:position w:val="0"/>
                <w:sz w:val="21"/>
                <w:szCs w:val="21"/>
                <w:lang w:val="en-US" w:eastAsia="zh-CN"/>
              </w:rPr>
              <w:t>14</w:t>
            </w:r>
            <w:r>
              <w:rPr>
                <w:rFonts w:hint="default" w:ascii="Times New Roman" w:hAnsi="Times New Roman" w:eastAsia="宋体" w:cs="Times New Roman"/>
                <w:b/>
                <w:bCs/>
                <w:snapToGrid/>
                <w:color w:val="000000"/>
                <w:spacing w:val="0"/>
                <w:w w:val="100"/>
                <w:kern w:val="0"/>
                <w:position w:val="0"/>
                <w:sz w:val="21"/>
                <w:szCs w:val="21"/>
              </w:rPr>
              <w:t xml:space="preserve">  </w:t>
            </w:r>
            <w:r>
              <w:rPr>
                <w:rFonts w:hint="eastAsia" w:ascii="Times New Roman" w:hAnsi="Times New Roman" w:eastAsia="宋体" w:cs="Times New Roman"/>
                <w:b/>
                <w:bCs/>
                <w:snapToGrid/>
                <w:color w:val="000000"/>
                <w:spacing w:val="0"/>
                <w:w w:val="100"/>
                <w:kern w:val="0"/>
                <w:position w:val="0"/>
                <w:sz w:val="21"/>
                <w:szCs w:val="21"/>
                <w:lang w:val="en-US" w:eastAsia="zh-CN"/>
              </w:rPr>
              <w:t>本项目</w:t>
            </w:r>
            <w:r>
              <w:rPr>
                <w:rFonts w:hint="default" w:ascii="Times New Roman" w:hAnsi="Times New Roman" w:eastAsia="宋体" w:cs="Times New Roman"/>
                <w:b/>
                <w:bCs/>
                <w:snapToGrid/>
                <w:color w:val="000000"/>
                <w:spacing w:val="0"/>
                <w:w w:val="100"/>
                <w:kern w:val="0"/>
                <w:position w:val="0"/>
                <w:sz w:val="21"/>
                <w:szCs w:val="21"/>
              </w:rPr>
              <w:t>危险废物</w:t>
            </w:r>
            <w:r>
              <w:rPr>
                <w:rFonts w:hint="eastAsia" w:ascii="Times New Roman" w:hAnsi="Times New Roman" w:eastAsia="宋体" w:cs="Times New Roman"/>
                <w:b/>
                <w:bCs/>
                <w:snapToGrid/>
                <w:color w:val="000000"/>
                <w:spacing w:val="0"/>
                <w:w w:val="100"/>
                <w:kern w:val="0"/>
                <w:position w:val="0"/>
                <w:sz w:val="21"/>
                <w:szCs w:val="21"/>
                <w:lang w:val="en-US" w:eastAsia="zh-CN"/>
              </w:rPr>
              <w:t>属性判定</w:t>
            </w:r>
            <w:r>
              <w:rPr>
                <w:rFonts w:hint="default" w:ascii="Times New Roman" w:hAnsi="Times New Roman" w:eastAsia="宋体" w:cs="Times New Roman"/>
                <w:b/>
                <w:bCs/>
                <w:snapToGrid/>
                <w:color w:val="000000"/>
                <w:spacing w:val="0"/>
                <w:w w:val="100"/>
                <w:kern w:val="0"/>
                <w:position w:val="0"/>
                <w:sz w:val="21"/>
                <w:szCs w:val="21"/>
              </w:rPr>
              <w:t>表</w:t>
            </w:r>
          </w:p>
          <w:tbl>
            <w:tblPr>
              <w:tblStyle w:val="27"/>
              <w:tblW w:w="818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2037"/>
              <w:gridCol w:w="1364"/>
              <w:gridCol w:w="1364"/>
              <w:gridCol w:w="1364"/>
              <w:gridCol w:w="1364"/>
            </w:tblGrid>
            <w:tr w14:paraId="27F344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3DBF85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序号</w:t>
                  </w:r>
                </w:p>
              </w:tc>
              <w:tc>
                <w:tcPr>
                  <w:tcW w:w="2037" w:type="dxa"/>
                  <w:tcBorders>
                    <w:tl2br w:val="nil"/>
                    <w:tr2bl w:val="nil"/>
                  </w:tcBorders>
                  <w:noWrap w:val="0"/>
                  <w:vAlign w:val="center"/>
                </w:tcPr>
                <w:p w14:paraId="0FCA2D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固体废物名称</w:t>
                  </w:r>
                </w:p>
              </w:tc>
              <w:tc>
                <w:tcPr>
                  <w:tcW w:w="1364" w:type="dxa"/>
                  <w:tcBorders>
                    <w:tl2br w:val="nil"/>
                    <w:tr2bl w:val="nil"/>
                  </w:tcBorders>
                  <w:noWrap w:val="0"/>
                  <w:vAlign w:val="center"/>
                </w:tcPr>
                <w:p w14:paraId="5BC543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主要成分</w:t>
                  </w:r>
                </w:p>
              </w:tc>
              <w:tc>
                <w:tcPr>
                  <w:tcW w:w="1364" w:type="dxa"/>
                  <w:tcBorders>
                    <w:tl2br w:val="nil"/>
                    <w:tr2bl w:val="nil"/>
                  </w:tcBorders>
                  <w:noWrap w:val="0"/>
                  <w:vAlign w:val="center"/>
                </w:tcPr>
                <w:p w14:paraId="4EEA48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是否属于危险废物</w:t>
                  </w:r>
                </w:p>
              </w:tc>
              <w:tc>
                <w:tcPr>
                  <w:tcW w:w="1364" w:type="dxa"/>
                  <w:tcBorders>
                    <w:tl2br w:val="nil"/>
                    <w:tr2bl w:val="nil"/>
                  </w:tcBorders>
                  <w:noWrap w:val="0"/>
                  <w:vAlign w:val="center"/>
                </w:tcPr>
                <w:p w14:paraId="244195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废物代码</w:t>
                  </w:r>
                </w:p>
              </w:tc>
              <w:tc>
                <w:tcPr>
                  <w:tcW w:w="1364" w:type="dxa"/>
                  <w:tcBorders>
                    <w:tl2br w:val="nil"/>
                    <w:tr2bl w:val="nil"/>
                  </w:tcBorders>
                  <w:noWrap w:val="0"/>
                  <w:vAlign w:val="center"/>
                </w:tcPr>
                <w:p w14:paraId="7043A0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产生量（</w:t>
                  </w:r>
                  <w:r>
                    <w:rPr>
                      <w:rFonts w:hint="default" w:ascii="Times New Roman" w:hAnsi="Times New Roman" w:eastAsia="宋体" w:cs="Times New Roman"/>
                      <w:b/>
                      <w:bCs/>
                      <w:snapToGrid/>
                      <w:color w:val="000000"/>
                      <w:spacing w:val="0"/>
                      <w:w w:val="100"/>
                      <w:kern w:val="0"/>
                      <w:position w:val="0"/>
                      <w:sz w:val="21"/>
                      <w:szCs w:val="21"/>
                      <w:lang w:val="en-US" w:eastAsia="zh-CN"/>
                    </w:rPr>
                    <w:t>t/a</w:t>
                  </w:r>
                  <w:r>
                    <w:rPr>
                      <w:rFonts w:hint="eastAsia" w:ascii="Times New Roman" w:hAnsi="Times New Roman" w:eastAsia="宋体" w:cs="Times New Roman"/>
                      <w:b/>
                      <w:bCs/>
                      <w:snapToGrid/>
                      <w:color w:val="000000"/>
                      <w:spacing w:val="0"/>
                      <w:w w:val="100"/>
                      <w:kern w:val="0"/>
                      <w:position w:val="0"/>
                      <w:sz w:val="21"/>
                      <w:szCs w:val="21"/>
                      <w:lang w:val="en-US" w:eastAsia="zh-CN"/>
                    </w:rPr>
                    <w:t>）</w:t>
                  </w:r>
                </w:p>
              </w:tc>
            </w:tr>
            <w:tr w14:paraId="7FB76C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0302B7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1</w:t>
                  </w:r>
                </w:p>
              </w:tc>
              <w:tc>
                <w:tcPr>
                  <w:tcW w:w="2037" w:type="dxa"/>
                  <w:tcBorders>
                    <w:tl2br w:val="nil"/>
                    <w:tr2bl w:val="nil"/>
                  </w:tcBorders>
                  <w:noWrap w:val="0"/>
                  <w:vAlign w:val="center"/>
                </w:tcPr>
                <w:p w14:paraId="30A8E3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w:t>
                  </w:r>
                </w:p>
              </w:tc>
              <w:tc>
                <w:tcPr>
                  <w:tcW w:w="1364" w:type="dxa"/>
                  <w:tcBorders>
                    <w:tl2br w:val="nil"/>
                    <w:tr2bl w:val="nil"/>
                  </w:tcBorders>
                  <w:noWrap w:val="0"/>
                  <w:vAlign w:val="center"/>
                </w:tcPr>
                <w:p w14:paraId="72C1E7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石油类</w:t>
                  </w:r>
                </w:p>
              </w:tc>
              <w:tc>
                <w:tcPr>
                  <w:tcW w:w="1364" w:type="dxa"/>
                  <w:tcBorders>
                    <w:tl2br w:val="nil"/>
                    <w:tr2bl w:val="nil"/>
                  </w:tcBorders>
                  <w:noWrap w:val="0"/>
                  <w:vAlign w:val="center"/>
                </w:tcPr>
                <w:p w14:paraId="6A92BE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是</w:t>
                  </w:r>
                </w:p>
              </w:tc>
              <w:tc>
                <w:tcPr>
                  <w:tcW w:w="1364" w:type="dxa"/>
                  <w:tcBorders>
                    <w:tl2br w:val="nil"/>
                    <w:tr2bl w:val="nil"/>
                  </w:tcBorders>
                  <w:noWrap w:val="0"/>
                  <w:vAlign w:val="center"/>
                </w:tcPr>
                <w:p w14:paraId="24AAF8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900-2</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14</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-08</w:t>
                  </w:r>
                </w:p>
              </w:tc>
              <w:tc>
                <w:tcPr>
                  <w:tcW w:w="1364" w:type="dxa"/>
                  <w:tcBorders>
                    <w:tl2br w:val="nil"/>
                    <w:tr2bl w:val="nil"/>
                  </w:tcBorders>
                  <w:noWrap w:val="0"/>
                  <w:vAlign w:val="center"/>
                </w:tcPr>
                <w:p w14:paraId="3709C4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5</w:t>
                  </w:r>
                </w:p>
              </w:tc>
            </w:tr>
            <w:tr w14:paraId="2E6D61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05F460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2</w:t>
                  </w:r>
                </w:p>
              </w:tc>
              <w:tc>
                <w:tcPr>
                  <w:tcW w:w="2037" w:type="dxa"/>
                  <w:tcBorders>
                    <w:tl2br w:val="nil"/>
                    <w:tr2bl w:val="nil"/>
                  </w:tcBorders>
                  <w:noWrap w:val="0"/>
                  <w:vAlign w:val="center"/>
                </w:tcPr>
                <w:p w14:paraId="656913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废机油桶</w:t>
                  </w:r>
                </w:p>
              </w:tc>
              <w:tc>
                <w:tcPr>
                  <w:tcW w:w="1364" w:type="dxa"/>
                  <w:tcBorders>
                    <w:tl2br w:val="nil"/>
                    <w:tr2bl w:val="nil"/>
                  </w:tcBorders>
                  <w:noWrap w:val="0"/>
                  <w:vAlign w:val="center"/>
                </w:tcPr>
                <w:p w14:paraId="4F4D31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石油类</w:t>
                  </w:r>
                </w:p>
              </w:tc>
              <w:tc>
                <w:tcPr>
                  <w:tcW w:w="1364" w:type="dxa"/>
                  <w:tcBorders>
                    <w:tl2br w:val="nil"/>
                    <w:tr2bl w:val="nil"/>
                  </w:tcBorders>
                  <w:noWrap w:val="0"/>
                  <w:vAlign w:val="center"/>
                </w:tcPr>
                <w:p w14:paraId="6034DF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是</w:t>
                  </w:r>
                </w:p>
              </w:tc>
              <w:tc>
                <w:tcPr>
                  <w:tcW w:w="1364" w:type="dxa"/>
                  <w:tcBorders>
                    <w:tl2br w:val="nil"/>
                    <w:tr2bl w:val="nil"/>
                  </w:tcBorders>
                  <w:noWrap w:val="0"/>
                  <w:vAlign w:val="center"/>
                </w:tcPr>
                <w:p w14:paraId="47856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1364" w:type="dxa"/>
                  <w:tcBorders>
                    <w:tl2br w:val="nil"/>
                    <w:tr2bl w:val="nil"/>
                  </w:tcBorders>
                  <w:noWrap w:val="0"/>
                  <w:vAlign w:val="center"/>
                </w:tcPr>
                <w:p w14:paraId="58B074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cs="Times New Roman"/>
                      <w:snapToGrid/>
                      <w:color w:val="000000" w:themeColor="text1"/>
                      <w:spacing w:val="0"/>
                      <w:kern w:val="0"/>
                      <w:position w:val="0"/>
                      <w:sz w:val="21"/>
                      <w:szCs w:val="21"/>
                      <w:lang w:val="en-US" w:eastAsia="zh-CN"/>
                      <w14:textFill>
                        <w14:solidFill>
                          <w14:schemeClr w14:val="tx1"/>
                        </w14:solidFill>
                      </w14:textFill>
                    </w:rPr>
                    <w:t>1</w:t>
                  </w:r>
                </w:p>
              </w:tc>
            </w:tr>
            <w:tr w14:paraId="6E9F37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4AC114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cs="Times New Roman"/>
                      <w:snapToGrid/>
                      <w:color w:val="000000"/>
                      <w:spacing w:val="0"/>
                      <w:w w:val="100"/>
                      <w:kern w:val="0"/>
                      <w:position w:val="0"/>
                      <w:sz w:val="21"/>
                      <w:szCs w:val="21"/>
                      <w:lang w:val="en-US" w:eastAsia="zh-CN"/>
                    </w:rPr>
                    <w:t>3</w:t>
                  </w:r>
                </w:p>
              </w:tc>
              <w:tc>
                <w:tcPr>
                  <w:tcW w:w="2037" w:type="dxa"/>
                  <w:tcBorders>
                    <w:tl2br w:val="nil"/>
                    <w:tr2bl w:val="nil"/>
                  </w:tcBorders>
                  <w:noWrap w:val="0"/>
                  <w:vAlign w:val="center"/>
                </w:tcPr>
                <w:p w14:paraId="45A71F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含油废抹布、废手套</w:t>
                  </w:r>
                </w:p>
              </w:tc>
              <w:tc>
                <w:tcPr>
                  <w:tcW w:w="1364" w:type="dxa"/>
                  <w:tcBorders>
                    <w:tl2br w:val="nil"/>
                    <w:tr2bl w:val="nil"/>
                  </w:tcBorders>
                  <w:noWrap w:val="0"/>
                  <w:vAlign w:val="center"/>
                </w:tcPr>
                <w:p w14:paraId="3110E3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石油类</w:t>
                  </w:r>
                </w:p>
              </w:tc>
              <w:tc>
                <w:tcPr>
                  <w:tcW w:w="1364" w:type="dxa"/>
                  <w:tcBorders>
                    <w:tl2br w:val="nil"/>
                    <w:tr2bl w:val="nil"/>
                  </w:tcBorders>
                  <w:noWrap w:val="0"/>
                  <w:vAlign w:val="center"/>
                </w:tcPr>
                <w:p w14:paraId="37D9BA5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spacing w:val="0"/>
                      <w:w w:val="100"/>
                      <w:kern w:val="0"/>
                      <w:position w:val="0"/>
                      <w:sz w:val="21"/>
                      <w:szCs w:val="21"/>
                      <w:lang w:val="en-US" w:eastAsia="zh-CN"/>
                    </w:rPr>
                    <w:t>是</w:t>
                  </w:r>
                </w:p>
              </w:tc>
              <w:tc>
                <w:tcPr>
                  <w:tcW w:w="1364" w:type="dxa"/>
                  <w:tcBorders>
                    <w:tl2br w:val="nil"/>
                    <w:tr2bl w:val="nil"/>
                  </w:tcBorders>
                  <w:noWrap w:val="0"/>
                  <w:vAlign w:val="center"/>
                </w:tcPr>
                <w:p w14:paraId="2CC83D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1364" w:type="dxa"/>
                  <w:tcBorders>
                    <w:tl2br w:val="nil"/>
                    <w:tr2bl w:val="nil"/>
                  </w:tcBorders>
                  <w:noWrap w:val="0"/>
                  <w:vAlign w:val="center"/>
                </w:tcPr>
                <w:p w14:paraId="1F0696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0.01</w:t>
                  </w:r>
                </w:p>
              </w:tc>
            </w:tr>
          </w:tbl>
          <w:p w14:paraId="4A7240E0">
            <w:pPr>
              <w:keepNext w:val="0"/>
              <w:keepLines w:val="0"/>
              <w:pageBreakBefore w:val="0"/>
              <w:widowControl w:val="0"/>
              <w:kinsoku/>
              <w:wordWrap/>
              <w:overflowPunct/>
              <w:topLinePunct w:val="0"/>
              <w:autoSpaceDE/>
              <w:autoSpaceDN/>
              <w:bidi w:val="0"/>
              <w:adjustRightInd/>
              <w:snapToGrid/>
              <w:spacing w:before="157" w:beforeLines="50" w:line="240" w:lineRule="auto"/>
              <w:ind w:right="0"/>
              <w:jc w:val="center"/>
              <w:textAlignment w:val="auto"/>
              <w:rPr>
                <w:rFonts w:hint="default" w:ascii="Times New Roman" w:hAnsi="Times New Roman" w:eastAsia="宋体" w:cs="Times New Roman"/>
                <w:b/>
                <w:bCs/>
                <w:snapToGrid/>
                <w:color w:val="000000"/>
                <w:spacing w:val="0"/>
                <w:w w:val="100"/>
                <w:kern w:val="0"/>
                <w:position w:val="0"/>
                <w:sz w:val="21"/>
                <w:szCs w:val="21"/>
              </w:rPr>
            </w:pPr>
            <w:r>
              <w:rPr>
                <w:rFonts w:hint="default" w:ascii="Times New Roman" w:hAnsi="Times New Roman" w:eastAsia="宋体" w:cs="Times New Roman"/>
                <w:b/>
                <w:bCs/>
                <w:snapToGrid/>
                <w:color w:val="000000"/>
                <w:spacing w:val="0"/>
                <w:w w:val="100"/>
                <w:kern w:val="0"/>
                <w:position w:val="0"/>
                <w:sz w:val="21"/>
                <w:szCs w:val="21"/>
              </w:rPr>
              <w:t>表4-</w:t>
            </w:r>
            <w:r>
              <w:rPr>
                <w:rFonts w:hint="eastAsia" w:ascii="Times New Roman" w:hAnsi="Times New Roman" w:eastAsia="宋体" w:cs="Times New Roman"/>
                <w:b/>
                <w:bCs/>
                <w:snapToGrid/>
                <w:color w:val="000000"/>
                <w:spacing w:val="0"/>
                <w:w w:val="100"/>
                <w:kern w:val="0"/>
                <w:position w:val="0"/>
                <w:sz w:val="21"/>
                <w:szCs w:val="21"/>
                <w:lang w:val="en-US" w:eastAsia="zh-CN"/>
              </w:rPr>
              <w:t>15</w:t>
            </w:r>
            <w:r>
              <w:rPr>
                <w:rFonts w:hint="default" w:ascii="Times New Roman" w:hAnsi="Times New Roman" w:eastAsia="宋体" w:cs="Times New Roman"/>
                <w:b/>
                <w:bCs/>
                <w:snapToGrid/>
                <w:color w:val="000000"/>
                <w:spacing w:val="0"/>
                <w:w w:val="100"/>
                <w:kern w:val="0"/>
                <w:position w:val="0"/>
                <w:sz w:val="21"/>
                <w:szCs w:val="21"/>
              </w:rPr>
              <w:t xml:space="preserve">  本项目危险废物汇总表</w:t>
            </w:r>
          </w:p>
          <w:tbl>
            <w:tblPr>
              <w:tblStyle w:val="27"/>
              <w:tblW w:w="8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81"/>
              <w:gridCol w:w="994"/>
              <w:gridCol w:w="893"/>
              <w:gridCol w:w="1196"/>
              <w:gridCol w:w="985"/>
              <w:gridCol w:w="985"/>
              <w:gridCol w:w="937"/>
              <w:gridCol w:w="983"/>
              <w:gridCol w:w="729"/>
            </w:tblGrid>
            <w:tr w14:paraId="1B0E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81" w:type="dxa"/>
                  <w:tcBorders>
                    <w:tl2br w:val="nil"/>
                    <w:tr2bl w:val="nil"/>
                  </w:tcBorders>
                  <w:noWrap w:val="0"/>
                  <w:vAlign w:val="center"/>
                </w:tcPr>
                <w:p w14:paraId="76E4A1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序号</w:t>
                  </w:r>
                </w:p>
              </w:tc>
              <w:tc>
                <w:tcPr>
                  <w:tcW w:w="994" w:type="dxa"/>
                  <w:tcBorders>
                    <w:tl2br w:val="nil"/>
                    <w:tr2bl w:val="nil"/>
                  </w:tcBorders>
                  <w:noWrap w:val="0"/>
                  <w:vAlign w:val="center"/>
                </w:tcPr>
                <w:p w14:paraId="0AEF46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危险废物名称</w:t>
                  </w:r>
                </w:p>
              </w:tc>
              <w:tc>
                <w:tcPr>
                  <w:tcW w:w="893" w:type="dxa"/>
                  <w:tcBorders>
                    <w:tl2br w:val="nil"/>
                    <w:tr2bl w:val="nil"/>
                  </w:tcBorders>
                  <w:noWrap w:val="0"/>
                  <w:vAlign w:val="center"/>
                </w:tcPr>
                <w:p w14:paraId="7ACD7B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危险废物类别</w:t>
                  </w:r>
                </w:p>
              </w:tc>
              <w:tc>
                <w:tcPr>
                  <w:tcW w:w="1196" w:type="dxa"/>
                  <w:tcBorders>
                    <w:tl2br w:val="nil"/>
                    <w:tr2bl w:val="nil"/>
                  </w:tcBorders>
                  <w:noWrap w:val="0"/>
                  <w:vAlign w:val="center"/>
                </w:tcPr>
                <w:p w14:paraId="5FED94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危险废物代码</w:t>
                  </w:r>
                </w:p>
              </w:tc>
              <w:tc>
                <w:tcPr>
                  <w:tcW w:w="985" w:type="dxa"/>
                  <w:tcBorders>
                    <w:tl2br w:val="nil"/>
                    <w:tr2bl w:val="nil"/>
                  </w:tcBorders>
                  <w:noWrap w:val="0"/>
                  <w:vAlign w:val="center"/>
                </w:tcPr>
                <w:p w14:paraId="26F7EBD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产生量</w:t>
                  </w:r>
                </w:p>
                <w:p w14:paraId="0D4C97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w:t>
                  </w:r>
                  <w:r>
                    <w:rPr>
                      <w:rFonts w:hint="default" w:ascii="Times New Roman" w:hAnsi="Times New Roman" w:eastAsia="宋体" w:cs="Times New Roman"/>
                      <w:b/>
                      <w:bCs/>
                      <w:snapToGrid/>
                      <w:color w:val="000000"/>
                      <w:spacing w:val="0"/>
                      <w:w w:val="100"/>
                      <w:kern w:val="0"/>
                      <w:position w:val="0"/>
                      <w:sz w:val="21"/>
                      <w:szCs w:val="21"/>
                      <w:lang w:val="en-US" w:eastAsia="zh-CN"/>
                    </w:rPr>
                    <w:t>t/a</w:t>
                  </w:r>
                  <w:r>
                    <w:rPr>
                      <w:rFonts w:hint="eastAsia" w:ascii="Times New Roman" w:hAnsi="Times New Roman" w:eastAsia="宋体" w:cs="Times New Roman"/>
                      <w:b/>
                      <w:bCs/>
                      <w:snapToGrid/>
                      <w:color w:val="000000"/>
                      <w:spacing w:val="0"/>
                      <w:w w:val="100"/>
                      <w:kern w:val="0"/>
                      <w:position w:val="0"/>
                      <w:sz w:val="21"/>
                      <w:szCs w:val="21"/>
                      <w:lang w:val="en-US" w:eastAsia="zh-CN"/>
                    </w:rPr>
                    <w:t>）</w:t>
                  </w:r>
                </w:p>
              </w:tc>
              <w:tc>
                <w:tcPr>
                  <w:tcW w:w="985" w:type="dxa"/>
                  <w:tcBorders>
                    <w:tl2br w:val="nil"/>
                    <w:tr2bl w:val="nil"/>
                  </w:tcBorders>
                  <w:noWrap w:val="0"/>
                  <w:vAlign w:val="center"/>
                </w:tcPr>
                <w:p w14:paraId="4266D49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危险特性</w:t>
                  </w:r>
                </w:p>
              </w:tc>
              <w:tc>
                <w:tcPr>
                  <w:tcW w:w="937" w:type="dxa"/>
                  <w:tcBorders>
                    <w:tl2br w:val="nil"/>
                    <w:tr2bl w:val="nil"/>
                  </w:tcBorders>
                  <w:noWrap w:val="0"/>
                  <w:vAlign w:val="center"/>
                </w:tcPr>
                <w:p w14:paraId="578B83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napToGrid/>
                      <w:color w:val="000000"/>
                      <w:spacing w:val="0"/>
                      <w:w w:val="100"/>
                      <w:kern w:val="0"/>
                      <w:position w:val="0"/>
                      <w:sz w:val="21"/>
                      <w:szCs w:val="21"/>
                      <w:lang w:val="en-US" w:eastAsia="zh-CN"/>
                    </w:rPr>
                  </w:pPr>
                  <w:r>
                    <w:rPr>
                      <w:rFonts w:hint="eastAsia" w:ascii="Times New Roman" w:hAnsi="Times New Roman" w:eastAsia="宋体" w:cs="Times New Roman"/>
                      <w:b/>
                      <w:bCs/>
                      <w:snapToGrid/>
                      <w:color w:val="000000"/>
                      <w:spacing w:val="0"/>
                      <w:w w:val="100"/>
                      <w:kern w:val="0"/>
                      <w:position w:val="0"/>
                      <w:sz w:val="21"/>
                      <w:szCs w:val="21"/>
                      <w:lang w:val="en-US" w:eastAsia="zh-CN"/>
                    </w:rPr>
                    <w:t>污染防治措施</w:t>
                  </w:r>
                </w:p>
              </w:tc>
              <w:tc>
                <w:tcPr>
                  <w:tcW w:w="983" w:type="dxa"/>
                  <w:tcBorders>
                    <w:tl2br w:val="nil"/>
                    <w:tr2bl w:val="nil"/>
                  </w:tcBorders>
                  <w:noWrap w:val="0"/>
                  <w:vAlign w:val="center"/>
                </w:tcPr>
                <w:p w14:paraId="0EF855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宋体" w:hAnsi="宋体" w:eastAsia="宋体" w:cs="宋体"/>
                      <w:b/>
                      <w:bCs/>
                      <w:i w:val="0"/>
                      <w:iCs w:val="0"/>
                      <w:color w:val="000000"/>
                      <w:spacing w:val="0"/>
                      <w:kern w:val="0"/>
                      <w:sz w:val="21"/>
                      <w:szCs w:val="21"/>
                      <w:u w:val="none"/>
                    </w:rPr>
                  </w:pPr>
                  <w:r>
                    <w:rPr>
                      <w:rFonts w:hint="eastAsia" w:ascii="宋体" w:hAnsi="宋体" w:eastAsia="宋体" w:cs="宋体"/>
                      <w:b/>
                      <w:bCs/>
                      <w:i w:val="0"/>
                      <w:iCs w:val="0"/>
                      <w:color w:val="000000"/>
                      <w:spacing w:val="0"/>
                      <w:kern w:val="0"/>
                      <w:sz w:val="21"/>
                      <w:szCs w:val="21"/>
                      <w:u w:val="none"/>
                      <w:lang w:val="en-US" w:eastAsia="zh-CN" w:bidi="ar"/>
                    </w:rPr>
                    <w:t>贮储周期（月）</w:t>
                  </w:r>
                </w:p>
              </w:tc>
              <w:tc>
                <w:tcPr>
                  <w:tcW w:w="729" w:type="dxa"/>
                  <w:tcBorders>
                    <w:tl2br w:val="nil"/>
                    <w:tr2bl w:val="nil"/>
                  </w:tcBorders>
                  <w:noWrap w:val="0"/>
                  <w:vAlign w:val="center"/>
                </w:tcPr>
                <w:p w14:paraId="0F13FD9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宋体" w:hAnsi="宋体" w:eastAsia="宋体" w:cs="宋体"/>
                      <w:b/>
                      <w:bCs/>
                      <w:i w:val="0"/>
                      <w:iCs w:val="0"/>
                      <w:color w:val="000000"/>
                      <w:spacing w:val="0"/>
                      <w:kern w:val="0"/>
                      <w:sz w:val="21"/>
                      <w:szCs w:val="21"/>
                      <w:u w:val="none"/>
                    </w:rPr>
                  </w:pPr>
                  <w:r>
                    <w:rPr>
                      <w:rFonts w:hint="eastAsia" w:ascii="宋体" w:hAnsi="宋体" w:eastAsia="宋体" w:cs="宋体"/>
                      <w:b/>
                      <w:bCs/>
                      <w:i w:val="0"/>
                      <w:iCs w:val="0"/>
                      <w:color w:val="000000"/>
                      <w:spacing w:val="0"/>
                      <w:kern w:val="0"/>
                      <w:sz w:val="21"/>
                      <w:szCs w:val="21"/>
                      <w:u w:val="none"/>
                      <w:lang w:val="en-US" w:eastAsia="zh-CN" w:bidi="ar"/>
                    </w:rPr>
                    <w:t>最大贮存量（</w:t>
                  </w:r>
                  <w:r>
                    <w:rPr>
                      <w:rFonts w:hint="default" w:ascii="Times New Roman" w:hAnsi="Times New Roman" w:eastAsia="宋体" w:cs="Times New Roman"/>
                      <w:b/>
                      <w:bCs/>
                      <w:i w:val="0"/>
                      <w:iCs w:val="0"/>
                      <w:color w:val="000000"/>
                      <w:spacing w:val="0"/>
                      <w:kern w:val="0"/>
                      <w:sz w:val="21"/>
                      <w:szCs w:val="21"/>
                      <w:u w:val="none"/>
                      <w:lang w:val="en-US" w:eastAsia="zh-CN" w:bidi="ar"/>
                    </w:rPr>
                    <w:t>t</w:t>
                  </w:r>
                  <w:r>
                    <w:rPr>
                      <w:rFonts w:hint="eastAsia" w:ascii="宋体" w:hAnsi="宋体" w:eastAsia="宋体" w:cs="宋体"/>
                      <w:b/>
                      <w:bCs/>
                      <w:i w:val="0"/>
                      <w:iCs w:val="0"/>
                      <w:color w:val="000000"/>
                      <w:spacing w:val="0"/>
                      <w:kern w:val="0"/>
                      <w:sz w:val="21"/>
                      <w:szCs w:val="21"/>
                      <w:u w:val="none"/>
                      <w:lang w:val="en-US" w:eastAsia="zh-CN" w:bidi="ar"/>
                    </w:rPr>
                    <w:t>）</w:t>
                  </w:r>
                </w:p>
              </w:tc>
            </w:tr>
            <w:tr w14:paraId="0DE6D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0" w:hRule="atLeast"/>
                <w:jc w:val="center"/>
              </w:trPr>
              <w:tc>
                <w:tcPr>
                  <w:tcW w:w="481" w:type="dxa"/>
                  <w:tcBorders>
                    <w:tl2br w:val="nil"/>
                    <w:tr2bl w:val="nil"/>
                  </w:tcBorders>
                  <w:noWrap w:val="0"/>
                  <w:vAlign w:val="center"/>
                </w:tcPr>
                <w:p w14:paraId="6E453F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1</w:t>
                  </w:r>
                </w:p>
              </w:tc>
              <w:tc>
                <w:tcPr>
                  <w:tcW w:w="994" w:type="dxa"/>
                  <w:tcBorders>
                    <w:tl2br w:val="nil"/>
                    <w:tr2bl w:val="nil"/>
                  </w:tcBorders>
                  <w:noWrap w:val="0"/>
                  <w:vAlign w:val="center"/>
                </w:tcPr>
                <w:p w14:paraId="19F794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w:t>
                  </w:r>
                </w:p>
              </w:tc>
              <w:tc>
                <w:tcPr>
                  <w:tcW w:w="893" w:type="dxa"/>
                  <w:tcBorders>
                    <w:tl2br w:val="nil"/>
                    <w:tr2bl w:val="nil"/>
                  </w:tcBorders>
                  <w:noWrap w:val="0"/>
                  <w:vAlign w:val="center"/>
                </w:tcPr>
                <w:p w14:paraId="166729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w:t>
                  </w:r>
                  <w:r>
                    <w:rPr>
                      <w:rFonts w:hint="eastAsia" w:cs="Times New Roman"/>
                      <w:snapToGrid/>
                      <w:color w:val="000000" w:themeColor="text1"/>
                      <w:spacing w:val="0"/>
                      <w:kern w:val="0"/>
                      <w:position w:val="0"/>
                      <w:sz w:val="21"/>
                      <w:szCs w:val="21"/>
                      <w:lang w:val="en-US" w:eastAsia="zh-CN"/>
                      <w14:textFill>
                        <w14:solidFill>
                          <w14:schemeClr w14:val="tx1"/>
                        </w14:solidFill>
                      </w14:textFill>
                    </w:rPr>
                    <w:t>08</w:t>
                  </w:r>
                </w:p>
              </w:tc>
              <w:tc>
                <w:tcPr>
                  <w:tcW w:w="1196" w:type="dxa"/>
                  <w:tcBorders>
                    <w:tl2br w:val="nil"/>
                    <w:tr2bl w:val="nil"/>
                  </w:tcBorders>
                  <w:noWrap w:val="0"/>
                  <w:vAlign w:val="center"/>
                </w:tcPr>
                <w:p w14:paraId="6924ED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900-2</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17</w:t>
                  </w:r>
                  <w:r>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-08</w:t>
                  </w:r>
                </w:p>
              </w:tc>
              <w:tc>
                <w:tcPr>
                  <w:tcW w:w="985" w:type="dxa"/>
                  <w:tcBorders>
                    <w:tl2br w:val="nil"/>
                    <w:tr2bl w:val="nil"/>
                  </w:tcBorders>
                  <w:noWrap w:val="0"/>
                  <w:vAlign w:val="center"/>
                </w:tcPr>
                <w:p w14:paraId="5665A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5</w:t>
                  </w:r>
                </w:p>
              </w:tc>
              <w:tc>
                <w:tcPr>
                  <w:tcW w:w="985" w:type="dxa"/>
                  <w:tcBorders>
                    <w:tl2br w:val="nil"/>
                    <w:tr2bl w:val="nil"/>
                  </w:tcBorders>
                  <w:noWrap w:val="0"/>
                  <w:vAlign w:val="center"/>
                </w:tcPr>
                <w:p w14:paraId="24D50CD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T</w:t>
                  </w:r>
                  <w:r>
                    <w:rPr>
                      <w:rFonts w:hint="eastAsia" w:ascii="Times New Roman" w:hAnsi="Times New Roman" w:eastAsia="宋体" w:cs="Times New Roman"/>
                      <w:snapToGrid/>
                      <w:color w:val="000000"/>
                      <w:spacing w:val="0"/>
                      <w:w w:val="100"/>
                      <w:kern w:val="0"/>
                      <w:position w:val="0"/>
                      <w:sz w:val="21"/>
                      <w:szCs w:val="21"/>
                      <w:lang w:val="en-US" w:eastAsia="zh-CN"/>
                    </w:rPr>
                    <w:t>/In</w:t>
                  </w:r>
                </w:p>
              </w:tc>
              <w:tc>
                <w:tcPr>
                  <w:tcW w:w="937" w:type="dxa"/>
                  <w:vMerge w:val="restart"/>
                  <w:tcBorders>
                    <w:tl2br w:val="nil"/>
                    <w:tr2bl w:val="nil"/>
                  </w:tcBorders>
                  <w:noWrap w:val="0"/>
                  <w:vAlign w:val="center"/>
                </w:tcPr>
                <w:p w14:paraId="175047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交由有危废处置资质单位处理</w:t>
                  </w:r>
                </w:p>
              </w:tc>
              <w:tc>
                <w:tcPr>
                  <w:tcW w:w="983" w:type="dxa"/>
                  <w:vMerge w:val="restart"/>
                  <w:tcBorders>
                    <w:tl2br w:val="nil"/>
                    <w:tr2bl w:val="nil"/>
                  </w:tcBorders>
                  <w:noWrap w:val="0"/>
                  <w:vAlign w:val="center"/>
                </w:tcPr>
                <w:p w14:paraId="451864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cs="Times New Roman"/>
                      <w:i w:val="0"/>
                      <w:iCs w:val="0"/>
                      <w:color w:val="000000"/>
                      <w:spacing w:val="0"/>
                      <w:kern w:val="0"/>
                      <w:sz w:val="21"/>
                      <w:szCs w:val="21"/>
                      <w:u w:val="none"/>
                    </w:rPr>
                  </w:pPr>
                  <w:r>
                    <w:rPr>
                      <w:rFonts w:hint="eastAsia" w:ascii="Times New Roman" w:hAnsi="Times New Roman" w:eastAsia="宋体" w:cs="Times New Roman"/>
                      <w:i w:val="0"/>
                      <w:iCs w:val="0"/>
                      <w:color w:val="000000"/>
                      <w:spacing w:val="0"/>
                      <w:kern w:val="0"/>
                      <w:sz w:val="21"/>
                      <w:szCs w:val="21"/>
                      <w:u w:val="none"/>
                      <w:lang w:val="en-US" w:eastAsia="zh-CN" w:bidi="ar"/>
                    </w:rPr>
                    <w:t>6</w:t>
                  </w:r>
                </w:p>
              </w:tc>
              <w:tc>
                <w:tcPr>
                  <w:tcW w:w="729" w:type="dxa"/>
                  <w:tcBorders>
                    <w:tl2br w:val="nil"/>
                    <w:tr2bl w:val="nil"/>
                  </w:tcBorders>
                  <w:noWrap w:val="0"/>
                  <w:vAlign w:val="center"/>
                </w:tcPr>
                <w:p w14:paraId="3DC92C4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cs="Times New Roman"/>
                      <w:i w:val="0"/>
                      <w:iCs w:val="0"/>
                      <w:color w:val="000000"/>
                      <w:spacing w:val="0"/>
                      <w:kern w:val="0"/>
                      <w:sz w:val="21"/>
                      <w:szCs w:val="21"/>
                      <w:u w:val="none"/>
                      <w:lang w:val="en-US"/>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1</w:t>
                  </w:r>
                </w:p>
              </w:tc>
            </w:tr>
            <w:tr w14:paraId="6204E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81" w:type="dxa"/>
                  <w:tcBorders>
                    <w:tl2br w:val="nil"/>
                    <w:tr2bl w:val="nil"/>
                  </w:tcBorders>
                  <w:noWrap w:val="0"/>
                  <w:vAlign w:val="center"/>
                </w:tcPr>
                <w:p w14:paraId="6C182C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2</w:t>
                  </w:r>
                </w:p>
              </w:tc>
              <w:tc>
                <w:tcPr>
                  <w:tcW w:w="994" w:type="dxa"/>
                  <w:tcBorders>
                    <w:tl2br w:val="nil"/>
                    <w:tr2bl w:val="nil"/>
                  </w:tcBorders>
                  <w:noWrap w:val="0"/>
                  <w:vAlign w:val="center"/>
                </w:tcPr>
                <w:p w14:paraId="71B1FB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废机油桶</w:t>
                  </w:r>
                </w:p>
              </w:tc>
              <w:tc>
                <w:tcPr>
                  <w:tcW w:w="893" w:type="dxa"/>
                  <w:tcBorders>
                    <w:tl2br w:val="nil"/>
                    <w:tr2bl w:val="nil"/>
                  </w:tcBorders>
                  <w:noWrap w:val="0"/>
                  <w:vAlign w:val="center"/>
                </w:tcPr>
                <w:p w14:paraId="08DD09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w:t>
                  </w:r>
                  <w:r>
                    <w:rPr>
                      <w:rFonts w:hint="eastAsia" w:cs="Times New Roman"/>
                      <w:snapToGrid/>
                      <w:color w:val="000000" w:themeColor="text1"/>
                      <w:spacing w:val="0"/>
                      <w:kern w:val="0"/>
                      <w:position w:val="0"/>
                      <w:sz w:val="21"/>
                      <w:szCs w:val="21"/>
                      <w:lang w:val="en-US" w:eastAsia="zh-CN"/>
                      <w14:textFill>
                        <w14:solidFill>
                          <w14:schemeClr w14:val="tx1"/>
                        </w14:solidFill>
                      </w14:textFill>
                    </w:rPr>
                    <w:t>49</w:t>
                  </w:r>
                </w:p>
              </w:tc>
              <w:tc>
                <w:tcPr>
                  <w:tcW w:w="1196" w:type="dxa"/>
                  <w:tcBorders>
                    <w:tl2br w:val="nil"/>
                    <w:tr2bl w:val="nil"/>
                  </w:tcBorders>
                  <w:noWrap w:val="0"/>
                  <w:vAlign w:val="center"/>
                </w:tcPr>
                <w:p w14:paraId="676BE1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985" w:type="dxa"/>
                  <w:tcBorders>
                    <w:tl2br w:val="nil"/>
                    <w:tr2bl w:val="nil"/>
                  </w:tcBorders>
                  <w:noWrap w:val="0"/>
                  <w:vAlign w:val="center"/>
                </w:tcPr>
                <w:p w14:paraId="1C9024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0.</w:t>
                  </w:r>
                  <w:r>
                    <w:rPr>
                      <w:rFonts w:hint="eastAsia" w:cs="Times New Roman"/>
                      <w:snapToGrid/>
                      <w:color w:val="000000" w:themeColor="text1"/>
                      <w:spacing w:val="0"/>
                      <w:kern w:val="0"/>
                      <w:position w:val="0"/>
                      <w:sz w:val="21"/>
                      <w:szCs w:val="21"/>
                      <w:lang w:val="en-US" w:eastAsia="zh-CN"/>
                      <w14:textFill>
                        <w14:solidFill>
                          <w14:schemeClr w14:val="tx1"/>
                        </w14:solidFill>
                      </w14:textFill>
                    </w:rPr>
                    <w:t>1</w:t>
                  </w:r>
                </w:p>
              </w:tc>
              <w:tc>
                <w:tcPr>
                  <w:tcW w:w="985" w:type="dxa"/>
                  <w:tcBorders>
                    <w:tl2br w:val="nil"/>
                    <w:tr2bl w:val="nil"/>
                  </w:tcBorders>
                  <w:noWrap w:val="0"/>
                  <w:vAlign w:val="center"/>
                </w:tcPr>
                <w:p w14:paraId="711F8D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T</w:t>
                  </w:r>
                  <w:r>
                    <w:rPr>
                      <w:rFonts w:hint="eastAsia" w:ascii="Times New Roman" w:hAnsi="Times New Roman" w:eastAsia="宋体" w:cs="Times New Roman"/>
                      <w:snapToGrid/>
                      <w:color w:val="000000"/>
                      <w:spacing w:val="0"/>
                      <w:w w:val="100"/>
                      <w:kern w:val="0"/>
                      <w:position w:val="0"/>
                      <w:sz w:val="21"/>
                      <w:szCs w:val="21"/>
                      <w:lang w:val="en-US" w:eastAsia="zh-CN"/>
                    </w:rPr>
                    <w:t>/In</w:t>
                  </w:r>
                </w:p>
              </w:tc>
              <w:tc>
                <w:tcPr>
                  <w:tcW w:w="937" w:type="dxa"/>
                  <w:vMerge w:val="continue"/>
                  <w:tcBorders>
                    <w:tl2br w:val="nil"/>
                    <w:tr2bl w:val="nil"/>
                  </w:tcBorders>
                  <w:noWrap w:val="0"/>
                  <w:vAlign w:val="center"/>
                </w:tcPr>
                <w:p w14:paraId="4AF1DD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p>
              </w:tc>
              <w:tc>
                <w:tcPr>
                  <w:tcW w:w="983" w:type="dxa"/>
                  <w:vMerge w:val="continue"/>
                  <w:tcBorders>
                    <w:tl2br w:val="nil"/>
                    <w:tr2bl w:val="nil"/>
                  </w:tcBorders>
                  <w:noWrap w:val="0"/>
                  <w:vAlign w:val="center"/>
                </w:tcPr>
                <w:p w14:paraId="5DEDBE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cs="Times New Roman"/>
                      <w:i w:val="0"/>
                      <w:iCs w:val="0"/>
                      <w:color w:val="000000"/>
                      <w:spacing w:val="0"/>
                      <w:kern w:val="0"/>
                      <w:sz w:val="21"/>
                      <w:szCs w:val="21"/>
                      <w:u w:val="none"/>
                    </w:rPr>
                  </w:pPr>
                </w:p>
              </w:tc>
              <w:tc>
                <w:tcPr>
                  <w:tcW w:w="729" w:type="dxa"/>
                  <w:tcBorders>
                    <w:tl2br w:val="nil"/>
                    <w:tr2bl w:val="nil"/>
                  </w:tcBorders>
                  <w:noWrap w:val="0"/>
                  <w:vAlign w:val="center"/>
                </w:tcPr>
                <w:p w14:paraId="1EA34DF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cs="Times New Roman"/>
                      <w:i w:val="0"/>
                      <w:iCs w:val="0"/>
                      <w:color w:val="000000"/>
                      <w:spacing w:val="0"/>
                      <w:kern w:val="0"/>
                      <w:sz w:val="21"/>
                      <w:szCs w:val="21"/>
                      <w:u w:val="none"/>
                      <w:lang w:val="en-US"/>
                    </w:rPr>
                  </w:pPr>
                  <w:r>
                    <w:rPr>
                      <w:rFonts w:hint="eastAsia" w:ascii="Times New Roman" w:hAnsi="Times New Roman" w:eastAsia="宋体" w:cs="Times New Roman"/>
                      <w:i w:val="0"/>
                      <w:iCs w:val="0"/>
                      <w:color w:val="000000"/>
                      <w:spacing w:val="0"/>
                      <w:kern w:val="0"/>
                      <w:sz w:val="21"/>
                      <w:szCs w:val="21"/>
                      <w:u w:val="none"/>
                      <w:lang w:val="en-US" w:eastAsia="zh-CN" w:bidi="ar"/>
                    </w:rPr>
                    <w:t>1</w:t>
                  </w:r>
                </w:p>
              </w:tc>
            </w:tr>
            <w:tr w14:paraId="5D6D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81" w:type="dxa"/>
                  <w:tcBorders>
                    <w:tl2br w:val="nil"/>
                    <w:tr2bl w:val="nil"/>
                  </w:tcBorders>
                  <w:noWrap w:val="0"/>
                  <w:vAlign w:val="center"/>
                </w:tcPr>
                <w:p w14:paraId="1EBBD1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eastAsia" w:cs="Times New Roman"/>
                      <w:snapToGrid/>
                      <w:color w:val="000000"/>
                      <w:spacing w:val="0"/>
                      <w:w w:val="100"/>
                      <w:kern w:val="0"/>
                      <w:position w:val="0"/>
                      <w:sz w:val="21"/>
                      <w:szCs w:val="21"/>
                      <w:lang w:val="en-US" w:eastAsia="zh-CN"/>
                    </w:rPr>
                    <w:t>3</w:t>
                  </w:r>
                </w:p>
              </w:tc>
              <w:tc>
                <w:tcPr>
                  <w:tcW w:w="994" w:type="dxa"/>
                  <w:tcBorders>
                    <w:tl2br w:val="nil"/>
                    <w:tr2bl w:val="nil"/>
                  </w:tcBorders>
                  <w:noWrap w:val="0"/>
                  <w:vAlign w:val="center"/>
                </w:tcPr>
                <w:p w14:paraId="59B4F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含油废抹布、废手套</w:t>
                  </w:r>
                </w:p>
              </w:tc>
              <w:tc>
                <w:tcPr>
                  <w:tcW w:w="893" w:type="dxa"/>
                  <w:tcBorders>
                    <w:tl2br w:val="nil"/>
                    <w:tr2bl w:val="nil"/>
                  </w:tcBorders>
                  <w:noWrap w:val="0"/>
                  <w:vAlign w:val="center"/>
                </w:tcPr>
                <w:p w14:paraId="3D412D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HW</w:t>
                  </w:r>
                  <w:r>
                    <w:rPr>
                      <w:rFonts w:hint="eastAsia" w:cs="Times New Roman"/>
                      <w:snapToGrid/>
                      <w:color w:val="000000" w:themeColor="text1"/>
                      <w:spacing w:val="0"/>
                      <w:kern w:val="0"/>
                      <w:position w:val="0"/>
                      <w:sz w:val="21"/>
                      <w:szCs w:val="21"/>
                      <w:lang w:val="en-US" w:eastAsia="zh-CN"/>
                      <w14:textFill>
                        <w14:solidFill>
                          <w14:schemeClr w14:val="tx1"/>
                        </w14:solidFill>
                      </w14:textFill>
                    </w:rPr>
                    <w:t>49</w:t>
                  </w:r>
                </w:p>
              </w:tc>
              <w:tc>
                <w:tcPr>
                  <w:tcW w:w="1196" w:type="dxa"/>
                  <w:tcBorders>
                    <w:tl2br w:val="nil"/>
                    <w:tr2bl w:val="nil"/>
                  </w:tcBorders>
                  <w:noWrap w:val="0"/>
                  <w:vAlign w:val="center"/>
                </w:tcPr>
                <w:p w14:paraId="5AF75F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900-041-49</w:t>
                  </w:r>
                </w:p>
              </w:tc>
              <w:tc>
                <w:tcPr>
                  <w:tcW w:w="985" w:type="dxa"/>
                  <w:tcBorders>
                    <w:tl2br w:val="nil"/>
                    <w:tr2bl w:val="nil"/>
                  </w:tcBorders>
                  <w:noWrap w:val="0"/>
                  <w:vAlign w:val="center"/>
                </w:tcPr>
                <w:p w14:paraId="03D81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cs="Times New Roman"/>
                      <w:snapToGrid/>
                      <w:color w:val="000000" w:themeColor="text1"/>
                      <w:spacing w:val="0"/>
                      <w:kern w:val="0"/>
                      <w:position w:val="0"/>
                      <w:sz w:val="21"/>
                      <w:szCs w:val="21"/>
                      <w:lang w:val="en-US" w:eastAsia="zh-CN"/>
                      <w14:textFill>
                        <w14:solidFill>
                          <w14:schemeClr w14:val="tx1"/>
                        </w14:solidFill>
                      </w14:textFill>
                    </w:rPr>
                    <w:t>0.01</w:t>
                  </w:r>
                </w:p>
              </w:tc>
              <w:tc>
                <w:tcPr>
                  <w:tcW w:w="985" w:type="dxa"/>
                  <w:tcBorders>
                    <w:tl2br w:val="nil"/>
                    <w:tr2bl w:val="nil"/>
                  </w:tcBorders>
                  <w:noWrap w:val="0"/>
                  <w:vAlign w:val="center"/>
                </w:tcPr>
                <w:p w14:paraId="0E18DF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r>
                    <w:rPr>
                      <w:rFonts w:hint="default" w:ascii="Times New Roman" w:hAnsi="Times New Roman" w:eastAsia="宋体" w:cs="Times New Roman"/>
                      <w:snapToGrid/>
                      <w:color w:val="000000"/>
                      <w:spacing w:val="0"/>
                      <w:w w:val="100"/>
                      <w:kern w:val="0"/>
                      <w:position w:val="0"/>
                      <w:sz w:val="21"/>
                      <w:szCs w:val="21"/>
                      <w:lang w:val="en-US" w:eastAsia="zh-CN"/>
                    </w:rPr>
                    <w:t>T</w:t>
                  </w:r>
                  <w:r>
                    <w:rPr>
                      <w:rFonts w:hint="eastAsia" w:ascii="Times New Roman" w:hAnsi="Times New Roman" w:eastAsia="宋体" w:cs="Times New Roman"/>
                      <w:snapToGrid/>
                      <w:color w:val="000000"/>
                      <w:spacing w:val="0"/>
                      <w:w w:val="100"/>
                      <w:kern w:val="0"/>
                      <w:position w:val="0"/>
                      <w:sz w:val="21"/>
                      <w:szCs w:val="21"/>
                      <w:lang w:val="en-US" w:eastAsia="zh-CN"/>
                    </w:rPr>
                    <w:t>/In</w:t>
                  </w:r>
                </w:p>
              </w:tc>
              <w:tc>
                <w:tcPr>
                  <w:tcW w:w="937" w:type="dxa"/>
                  <w:vMerge w:val="continue"/>
                  <w:tcBorders>
                    <w:tl2br w:val="nil"/>
                    <w:tr2bl w:val="nil"/>
                  </w:tcBorders>
                  <w:noWrap w:val="0"/>
                  <w:vAlign w:val="center"/>
                </w:tcPr>
                <w:p w14:paraId="6A6349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napToGrid/>
                      <w:color w:val="000000"/>
                      <w:spacing w:val="0"/>
                      <w:w w:val="100"/>
                      <w:kern w:val="0"/>
                      <w:position w:val="0"/>
                      <w:sz w:val="21"/>
                      <w:szCs w:val="21"/>
                      <w:lang w:val="en-US" w:eastAsia="zh-CN"/>
                    </w:rPr>
                  </w:pPr>
                </w:p>
              </w:tc>
              <w:tc>
                <w:tcPr>
                  <w:tcW w:w="983" w:type="dxa"/>
                  <w:vMerge w:val="continue"/>
                  <w:tcBorders>
                    <w:tl2br w:val="nil"/>
                    <w:tr2bl w:val="nil"/>
                  </w:tcBorders>
                  <w:noWrap w:val="0"/>
                  <w:vAlign w:val="center"/>
                </w:tcPr>
                <w:p w14:paraId="0D106E8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spacing w:val="0"/>
                      <w:kern w:val="0"/>
                      <w:sz w:val="21"/>
                      <w:szCs w:val="21"/>
                      <w:u w:val="none"/>
                      <w:lang w:val="en-US" w:eastAsia="zh-CN" w:bidi="ar"/>
                    </w:rPr>
                  </w:pPr>
                </w:p>
              </w:tc>
              <w:tc>
                <w:tcPr>
                  <w:tcW w:w="729" w:type="dxa"/>
                  <w:tcBorders>
                    <w:tl2br w:val="nil"/>
                    <w:tr2bl w:val="nil"/>
                  </w:tcBorders>
                  <w:noWrap w:val="0"/>
                  <w:vAlign w:val="center"/>
                </w:tcPr>
                <w:p w14:paraId="61E12CF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spacing w:val="0"/>
                      <w:kern w:val="0"/>
                      <w:sz w:val="21"/>
                      <w:szCs w:val="21"/>
                      <w:u w:val="none"/>
                      <w:lang w:val="en-US" w:eastAsia="zh-CN" w:bidi="ar"/>
                    </w:rPr>
                  </w:pPr>
                  <w:r>
                    <w:rPr>
                      <w:rFonts w:hint="eastAsia" w:cs="Times New Roman"/>
                      <w:i w:val="0"/>
                      <w:iCs w:val="0"/>
                      <w:color w:val="000000"/>
                      <w:spacing w:val="0"/>
                      <w:kern w:val="0"/>
                      <w:sz w:val="21"/>
                      <w:szCs w:val="21"/>
                      <w:u w:val="none"/>
                      <w:lang w:val="en-US" w:eastAsia="zh-CN" w:bidi="ar"/>
                    </w:rPr>
                    <w:t>1</w:t>
                  </w:r>
                </w:p>
              </w:tc>
            </w:tr>
          </w:tbl>
          <w:p w14:paraId="1E528B90">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）固废暂存场所（设施）环境影响分析</w:t>
            </w:r>
          </w:p>
          <w:p w14:paraId="275F901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一般工业</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固体废物贮存场所影响分析</w:t>
            </w:r>
          </w:p>
          <w:p w14:paraId="6FD5CF4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在2#料仓建设1个占地面积20</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m</w:t>
            </w:r>
            <w:r>
              <w:rPr>
                <w:rFonts w:hint="eastAsia" w:ascii="Times New Roman" w:hAnsi="Times New Roman" w:eastAsia="宋体" w:cs="Times New Roman"/>
                <w:snapToGrid/>
                <w:color w:val="000000" w:themeColor="text1"/>
                <w:spacing w:val="0"/>
                <w:kern w:val="0"/>
                <w:position w:val="0"/>
                <w:sz w:val="24"/>
                <w:szCs w:val="24"/>
                <w:vertAlign w:val="superscript"/>
                <w:lang w:eastAsia="zh-CN"/>
                <w14:textFill>
                  <w14:solidFill>
                    <w14:schemeClr w14:val="tx1"/>
                  </w14:solidFill>
                </w14:textFill>
              </w:rPr>
              <w:t>2</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一般</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固废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用于暂存处理过程中产生的废除尘布袋。一般</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固废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暂存间参</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照《一般工业固体废物贮存和填埋污染控制标准》（GB18599-2020）要求建设，对地面进行硬化，并做好防腐、防渗和防漏处理。固废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w:t>
            </w:r>
            <w:r>
              <w:rPr>
                <w:rFonts w:ascii="Times New Roman" w:hAnsi="Times New Roman" w:eastAsia="宋体" w:cs="Times New Roman"/>
                <w:color w:val="000000" w:themeColor="text1"/>
                <w:kern w:val="0"/>
                <w:sz w:val="24"/>
                <w:szCs w:val="24"/>
                <w:highlight w:val="none"/>
                <w14:textFill>
                  <w14:solidFill>
                    <w14:schemeClr w14:val="tx1"/>
                  </w14:solidFill>
                </w14:textFill>
              </w:rPr>
              <w:t>设计平均堆高</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m，考虑库区留有通道和隔断，使用面积约</w:t>
            </w:r>
            <w:r>
              <w:rPr>
                <w:rFonts w:hint="eastAsia" w:cs="Times New Roman"/>
                <w:color w:val="000000" w:themeColor="text1"/>
                <w:kern w:val="0"/>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w:t>
            </w:r>
            <w:r>
              <w:rPr>
                <w:rFonts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，设计</w:t>
            </w:r>
            <w:r>
              <w:rPr>
                <w:rFonts w:ascii="Times New Roman" w:hAnsi="Times New Roman" w:eastAsia="宋体" w:cs="Times New Roman"/>
                <w:bCs/>
                <w:color w:val="000000" w:themeColor="text1"/>
                <w:kern w:val="0"/>
                <w:sz w:val="24"/>
                <w:szCs w:val="24"/>
                <w:highlight w:val="none"/>
                <w14:textFill>
                  <w14:solidFill>
                    <w14:schemeClr w14:val="tx1"/>
                  </w14:solidFill>
                </w14:textFill>
              </w:rPr>
              <w:t>有效容积</w:t>
            </w:r>
            <w:r>
              <w:rPr>
                <w:rFonts w:hint="eastAsia" w:cs="Times New Roman"/>
                <w:color w:val="000000" w:themeColor="text1"/>
                <w:kern w:val="0"/>
                <w:sz w:val="24"/>
                <w:szCs w:val="24"/>
                <w:highlight w:val="none"/>
                <w:lang w:val="en-US" w:eastAsia="zh-CN"/>
                <w14:textFill>
                  <w14:solidFill>
                    <w14:schemeClr w14:val="tx1"/>
                  </w14:solidFill>
                </w14:textFill>
              </w:rPr>
              <w:t>28</w:t>
            </w:r>
            <w:r>
              <w:rPr>
                <w:rFonts w:ascii="Times New Roman" w:hAnsi="Times New Roman" w:eastAsia="宋体" w:cs="Times New Roman"/>
                <w:bCs/>
                <w:color w:val="000000" w:themeColor="text1"/>
                <w:kern w:val="0"/>
                <w:sz w:val="24"/>
                <w:szCs w:val="24"/>
                <w:highlight w:val="none"/>
                <w14:textFill>
                  <w14:solidFill>
                    <w14:schemeClr w14:val="tx1"/>
                  </w14:solidFill>
                </w14:textFill>
              </w:rPr>
              <w:t>m</w:t>
            </w:r>
            <w:r>
              <w:rPr>
                <w:rFonts w:ascii="Times New Roman" w:hAnsi="Times New Roman" w:eastAsia="宋体" w:cs="Times New Roman"/>
                <w:bCs/>
                <w:color w:val="000000" w:themeColor="text1"/>
                <w:kern w:val="0"/>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设计暂存能力</w:t>
            </w:r>
            <w:r>
              <w:rPr>
                <w:rFonts w:hint="eastAsia" w:cs="Times New Roman"/>
                <w:bCs/>
                <w:color w:val="000000" w:themeColor="text1"/>
                <w:kern w:val="0"/>
                <w:sz w:val="24"/>
                <w:szCs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t，</w:t>
            </w:r>
            <w:r>
              <w:rPr>
                <w:rFonts w:ascii="Times New Roman" w:hAnsi="Times New Roman" w:eastAsia="宋体" w:cs="Times New Roman"/>
                <w:bCs/>
                <w:color w:val="000000" w:themeColor="text1"/>
                <w:kern w:val="0"/>
                <w:sz w:val="24"/>
                <w:szCs w:val="24"/>
                <w:highlight w:val="none"/>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废除尘布袋、废实验样品</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产生量为</w:t>
            </w:r>
            <w:r>
              <w:rPr>
                <w:rFonts w:hint="eastAsia" w:cs="Times New Roman"/>
                <w:bCs/>
                <w:color w:val="000000" w:themeColor="text1"/>
                <w:kern w:val="0"/>
                <w:sz w:val="24"/>
                <w:szCs w:val="24"/>
                <w:highlight w:val="none"/>
                <w:lang w:val="en-US" w:eastAsia="zh-CN"/>
                <w14:textFill>
                  <w14:solidFill>
                    <w14:schemeClr w14:val="tx1"/>
                  </w14:solidFill>
                </w14:textFill>
              </w:rPr>
              <w:t>1.34</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t/a，固废暂存间</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每</w:t>
            </w:r>
            <w:r>
              <w:rPr>
                <w:rFonts w:hint="eastAsia" w:cs="Times New Roman"/>
                <w:bCs/>
                <w:color w:val="000000" w:themeColor="text1"/>
                <w:kern w:val="0"/>
                <w:sz w:val="24"/>
                <w:szCs w:val="24"/>
                <w:highlight w:val="none"/>
                <w:lang w:val="en-US" w:eastAsia="zh-CN"/>
                <w14:textFill>
                  <w14:solidFill>
                    <w14:schemeClr w14:val="tx1"/>
                  </w14:solidFill>
                </w14:textFill>
              </w:rPr>
              <w:t>1年</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周转一次</w:t>
            </w:r>
            <w:r>
              <w:rPr>
                <w:rFonts w:hint="eastAsia" w:ascii="Times New Roman" w:hAnsi="Times New Roman" w:eastAsia="宋体" w:cs="Times New Roman"/>
                <w:bCs/>
                <w:color w:val="000000" w:themeColor="text1"/>
                <w:kern w:val="0"/>
                <w:sz w:val="24"/>
                <w:szCs w:val="24"/>
                <w:highlight w:val="none"/>
                <w:lang w:eastAsia="zh-CN"/>
                <w14:textFill>
                  <w14:solidFill>
                    <w14:schemeClr w14:val="tx1"/>
                  </w14:solidFill>
                </w14:textFill>
              </w:rPr>
              <w:t>，</w:t>
            </w:r>
            <w:r>
              <w:rPr>
                <w:rFonts w:ascii="Times New Roman" w:hAnsi="Times New Roman" w:eastAsia="宋体" w:cs="Times New Roman"/>
                <w:bCs/>
                <w:color w:val="000000" w:themeColor="text1"/>
                <w:kern w:val="0"/>
                <w:sz w:val="24"/>
                <w:szCs w:val="24"/>
                <w:highlight w:val="none"/>
                <w14:textFill>
                  <w14:solidFill>
                    <w14:schemeClr w14:val="tx1"/>
                  </w14:solidFill>
                </w14:textFill>
              </w:rPr>
              <w:t>本项目的</w:t>
            </w:r>
            <w:r>
              <w:rPr>
                <w:rFonts w:hint="eastAsia" w:cs="Times New Roman"/>
                <w:bCs/>
                <w:color w:val="000000" w:themeColor="text1"/>
                <w:kern w:val="0"/>
                <w:sz w:val="24"/>
                <w:szCs w:val="24"/>
                <w:highlight w:val="none"/>
                <w:lang w:val="en-US" w:eastAsia="zh-CN"/>
                <w14:textFill>
                  <w14:solidFill>
                    <w14:schemeClr w14:val="tx1"/>
                  </w14:solidFill>
                </w14:textFill>
              </w:rPr>
              <w:t>一般</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固废暂存间</w:t>
            </w:r>
            <w:r>
              <w:rPr>
                <w:rFonts w:ascii="Times New Roman" w:hAnsi="Times New Roman" w:eastAsia="宋体" w:cs="Times New Roman"/>
                <w:bCs/>
                <w:color w:val="000000" w:themeColor="text1"/>
                <w:kern w:val="0"/>
                <w:sz w:val="24"/>
                <w:szCs w:val="24"/>
                <w:highlight w:val="none"/>
                <w14:textFill>
                  <w14:solidFill>
                    <w14:schemeClr w14:val="tx1"/>
                  </w14:solidFill>
                </w14:textFill>
              </w:rPr>
              <w:t>能满足要求</w:t>
            </w:r>
            <w:r>
              <w:rPr>
                <w:rFonts w:hint="eastAsia" w:ascii="Times New Roman" w:hAnsi="Times New Roman" w:eastAsia="宋体" w:cs="Times New Roman"/>
                <w:bCs/>
                <w:color w:val="000000" w:themeColor="text1"/>
                <w:kern w:val="0"/>
                <w:sz w:val="24"/>
                <w:szCs w:val="24"/>
                <w:highlight w:val="none"/>
                <w:lang w:eastAsia="zh-CN"/>
                <w14:textFill>
                  <w14:solidFill>
                    <w14:schemeClr w14:val="tx1"/>
                  </w14:solidFill>
                </w14:textFill>
              </w:rPr>
              <w:t>。</w:t>
            </w:r>
          </w:p>
          <w:p w14:paraId="4569463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危险废物贮存场所环境影响分析</w:t>
            </w:r>
          </w:p>
          <w:p w14:paraId="66E8865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在2#料仓建设1个占地面积10</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m</w:t>
            </w:r>
            <w:r>
              <w:rPr>
                <w:rFonts w:hint="eastAsia" w:ascii="Times New Roman" w:hAnsi="Times New Roman" w:eastAsia="宋体" w:cs="Times New Roman"/>
                <w:snapToGrid/>
                <w:color w:val="000000" w:themeColor="text1"/>
                <w:spacing w:val="0"/>
                <w:kern w:val="0"/>
                <w:position w:val="0"/>
                <w:sz w:val="24"/>
                <w:szCs w:val="24"/>
                <w:vertAlign w:val="superscript"/>
                <w:lang w:eastAsia="zh-CN"/>
                <w14:textFill>
                  <w14:solidFill>
                    <w14:schemeClr w14:val="tx1"/>
                  </w14:solidFill>
                </w14:textFill>
              </w:rPr>
              <w:t>2</w:t>
            </w:r>
            <w:r>
              <w:rPr>
                <w:rFonts w:hint="eastAsia" w:cs="Times New Roman"/>
                <w:snapToGrid/>
                <w:color w:val="000000" w:themeColor="text1"/>
                <w:spacing w:val="0"/>
                <w:kern w:val="0"/>
                <w:position w:val="0"/>
                <w:sz w:val="24"/>
                <w:szCs w:val="24"/>
                <w:vertAlign w:val="baseline"/>
                <w:lang w:val="en-US" w:eastAsia="zh-CN"/>
                <w14:textFill>
                  <w14:solidFill>
                    <w14:schemeClr w14:val="tx1"/>
                  </w14:solidFill>
                </w14:textFill>
              </w:rPr>
              <w:t>的</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，按照《危险废物贮存污染控制标准》（GB18597-20</w:t>
            </w:r>
            <w:r>
              <w:rPr>
                <w:rFonts w:hint="eastAsia" w:cs="Times New Roman"/>
                <w:snapToGrid/>
                <w:color w:val="000000" w:themeColor="text1"/>
                <w:spacing w:val="0"/>
                <w:kern w:val="0"/>
                <w:position w:val="0"/>
                <w:sz w:val="24"/>
                <w:szCs w:val="24"/>
                <w:lang w:val="en-US" w:eastAsia="zh-CN"/>
                <w14:textFill>
                  <w14:solidFill>
                    <w14:schemeClr w14:val="tx1"/>
                  </w14:solidFill>
                </w14:textFill>
              </w:rPr>
              <w:t>23</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）的相关要求建设，建设项目危废拟分类存放、贮存，不相容的危险废物除分类存放，还应设置隔离间隔断</w:t>
            </w:r>
            <w:r>
              <w:rPr>
                <w:rFonts w:hint="eastAsia" w:ascii="Times New Roman" w:hAnsi="Times New Roman" w:eastAsia="宋体" w:cs="Times New Roman"/>
                <w:snapToGrid/>
                <w:color w:val="000000" w:themeColor="text1"/>
                <w:spacing w:val="0"/>
                <w:kern w:val="0"/>
                <w:position w:val="0"/>
                <w:sz w:val="24"/>
                <w:szCs w:val="24"/>
                <w:vertAlign w:val="baseline"/>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w:t>
            </w:r>
            <w:r>
              <w:rPr>
                <w:rFonts w:ascii="Times New Roman" w:hAnsi="Times New Roman" w:eastAsia="宋体" w:cs="Times New Roman"/>
                <w:color w:val="000000" w:themeColor="text1"/>
                <w:kern w:val="0"/>
                <w:sz w:val="24"/>
                <w:szCs w:val="24"/>
                <w:highlight w:val="none"/>
                <w14:textFill>
                  <w14:solidFill>
                    <w14:schemeClr w14:val="tx1"/>
                  </w14:solidFill>
                </w14:textFill>
              </w:rPr>
              <w:t>设计平均堆高</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m，考虑库区留有通道和隔断，使用面积约</w:t>
            </w:r>
            <w:r>
              <w:rPr>
                <w:rFonts w:hint="eastAsia" w:cs="Times New Roman"/>
                <w:color w:val="000000" w:themeColor="text1"/>
                <w:kern w:val="0"/>
                <w:sz w:val="24"/>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w:t>
            </w:r>
            <w:r>
              <w:rPr>
                <w:rFonts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，设计</w:t>
            </w:r>
            <w:r>
              <w:rPr>
                <w:rFonts w:ascii="Times New Roman" w:hAnsi="Times New Roman" w:eastAsia="宋体" w:cs="Times New Roman"/>
                <w:bCs/>
                <w:color w:val="000000" w:themeColor="text1"/>
                <w:kern w:val="0"/>
                <w:sz w:val="24"/>
                <w:szCs w:val="24"/>
                <w:highlight w:val="none"/>
                <w14:textFill>
                  <w14:solidFill>
                    <w14:schemeClr w14:val="tx1"/>
                  </w14:solidFill>
                </w14:textFill>
              </w:rPr>
              <w:t>有效容积</w:t>
            </w:r>
            <w:r>
              <w:rPr>
                <w:rFonts w:hint="eastAsia" w:cs="Times New Roman"/>
                <w:color w:val="000000" w:themeColor="text1"/>
                <w:kern w:val="0"/>
                <w:sz w:val="24"/>
                <w:szCs w:val="24"/>
                <w:highlight w:val="none"/>
                <w:lang w:val="en-US" w:eastAsia="zh-CN"/>
                <w14:textFill>
                  <w14:solidFill>
                    <w14:schemeClr w14:val="tx1"/>
                  </w14:solidFill>
                </w14:textFill>
              </w:rPr>
              <w:t>7</w:t>
            </w:r>
            <w:r>
              <w:rPr>
                <w:rFonts w:ascii="Times New Roman" w:hAnsi="Times New Roman" w:eastAsia="宋体" w:cs="Times New Roman"/>
                <w:bCs/>
                <w:color w:val="000000" w:themeColor="text1"/>
                <w:kern w:val="0"/>
                <w:sz w:val="24"/>
                <w:szCs w:val="24"/>
                <w:highlight w:val="none"/>
                <w14:textFill>
                  <w14:solidFill>
                    <w14:schemeClr w14:val="tx1"/>
                  </w14:solidFill>
                </w14:textFill>
              </w:rPr>
              <w:t>m</w:t>
            </w:r>
            <w:r>
              <w:rPr>
                <w:rFonts w:ascii="Times New Roman" w:hAnsi="Times New Roman" w:eastAsia="宋体" w:cs="Times New Roman"/>
                <w:bCs/>
                <w:color w:val="000000" w:themeColor="text1"/>
                <w:kern w:val="0"/>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设计暂存能力</w:t>
            </w:r>
            <w:r>
              <w:rPr>
                <w:rFonts w:hint="eastAsia" w:cs="Times New Roman"/>
                <w:bCs/>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t，</w:t>
            </w:r>
            <w:r>
              <w:rPr>
                <w:rFonts w:ascii="Times New Roman" w:hAnsi="Times New Roman" w:eastAsia="宋体" w:cs="Times New Roman"/>
                <w:bCs/>
                <w:color w:val="000000" w:themeColor="text1"/>
                <w:kern w:val="0"/>
                <w:sz w:val="24"/>
                <w:szCs w:val="24"/>
                <w:highlight w:val="none"/>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废机油、废机油桶及</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含油废抹布、废手套产生量为</w:t>
            </w:r>
            <w:r>
              <w:rPr>
                <w:rFonts w:hint="eastAsia" w:cs="Times New Roman"/>
                <w:bCs/>
                <w:color w:val="000000" w:themeColor="text1"/>
                <w:kern w:val="0"/>
                <w:sz w:val="24"/>
                <w:szCs w:val="24"/>
                <w:highlight w:val="none"/>
                <w:lang w:val="en-US" w:eastAsia="zh-CN"/>
                <w14:textFill>
                  <w14:solidFill>
                    <w14:schemeClr w14:val="tx1"/>
                  </w14:solidFill>
                </w14:textFill>
              </w:rPr>
              <w:t>0.16</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t/a，</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每半年</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周转一次</w:t>
            </w:r>
            <w:r>
              <w:rPr>
                <w:rFonts w:hint="eastAsia" w:ascii="Times New Roman" w:hAnsi="Times New Roman" w:eastAsia="宋体" w:cs="Times New Roman"/>
                <w:bCs/>
                <w:color w:val="000000" w:themeColor="text1"/>
                <w:kern w:val="0"/>
                <w:sz w:val="24"/>
                <w:szCs w:val="24"/>
                <w:highlight w:val="none"/>
                <w:lang w:eastAsia="zh-CN"/>
                <w14:textFill>
                  <w14:solidFill>
                    <w14:schemeClr w14:val="tx1"/>
                  </w14:solidFill>
                </w14:textFill>
              </w:rPr>
              <w:t>，</w:t>
            </w:r>
            <w:r>
              <w:rPr>
                <w:rFonts w:ascii="Times New Roman" w:hAnsi="Times New Roman" w:eastAsia="宋体" w:cs="Times New Roman"/>
                <w:bCs/>
                <w:color w:val="000000" w:themeColor="text1"/>
                <w:kern w:val="0"/>
                <w:sz w:val="24"/>
                <w:szCs w:val="24"/>
                <w:highlight w:val="none"/>
                <w14:textFill>
                  <w14:solidFill>
                    <w14:schemeClr w14:val="tx1"/>
                  </w14:solidFill>
                </w14:textFill>
              </w:rPr>
              <w:t>本项目的</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w:t>
            </w:r>
            <w:r>
              <w:rPr>
                <w:rFonts w:hint="eastAsia" w:cs="Times New Roman"/>
                <w:snapToGrid/>
                <w:color w:val="000000" w:themeColor="text1"/>
                <w:spacing w:val="0"/>
                <w:kern w:val="0"/>
                <w:position w:val="0"/>
                <w:sz w:val="24"/>
                <w:szCs w:val="24"/>
                <w:lang w:val="en-US" w:eastAsia="zh-CN"/>
                <w14:textFill>
                  <w14:solidFill>
                    <w14:schemeClr w14:val="tx1"/>
                  </w14:solidFill>
                </w14:textFill>
              </w:rPr>
              <w:t>暂存间应</w:t>
            </w:r>
            <w:r>
              <w:rPr>
                <w:rFonts w:ascii="Times New Roman" w:hAnsi="Times New Roman" w:eastAsia="宋体" w:cs="Times New Roman"/>
                <w:bCs/>
                <w:color w:val="000000" w:themeColor="text1"/>
                <w:kern w:val="0"/>
                <w:sz w:val="24"/>
                <w:szCs w:val="24"/>
                <w:highlight w:val="none"/>
                <w14:textFill>
                  <w14:solidFill>
                    <w14:schemeClr w14:val="tx1"/>
                  </w14:solidFill>
                </w14:textFill>
              </w:rPr>
              <w:t>能满足</w:t>
            </w:r>
            <w:r>
              <w:rPr>
                <w:rFonts w:hint="eastAsia" w:cs="Times New Roman"/>
                <w:bCs/>
                <w:color w:val="000000" w:themeColor="text1"/>
                <w:kern w:val="0"/>
                <w:sz w:val="24"/>
                <w:szCs w:val="24"/>
                <w:highlight w:val="none"/>
                <w:lang w:val="en-US" w:eastAsia="zh-CN"/>
                <w14:textFill>
                  <w14:solidFill>
                    <w14:schemeClr w14:val="tx1"/>
                  </w14:solidFill>
                </w14:textFill>
              </w:rPr>
              <w:t>如下</w:t>
            </w:r>
            <w:r>
              <w:rPr>
                <w:rFonts w:ascii="Times New Roman" w:hAnsi="Times New Roman" w:eastAsia="宋体" w:cs="Times New Roman"/>
                <w:bCs/>
                <w:color w:val="000000" w:themeColor="text1"/>
                <w:kern w:val="0"/>
                <w:sz w:val="24"/>
                <w:szCs w:val="24"/>
                <w:highlight w:val="none"/>
                <w14:textFill>
                  <w14:solidFill>
                    <w14:schemeClr w14:val="tx1"/>
                  </w14:solidFill>
                </w14:textFill>
              </w:rPr>
              <w:t>要求</w:t>
            </w:r>
            <w:r>
              <w:rPr>
                <w:rFonts w:hint="eastAsia" w:cs="Times New Roman"/>
                <w:bCs/>
                <w:color w:val="000000" w:themeColor="text1"/>
                <w:kern w:val="0"/>
                <w:sz w:val="24"/>
                <w:szCs w:val="24"/>
                <w:highlight w:val="none"/>
                <w:lang w:eastAsia="zh-CN"/>
                <w14:textFill>
                  <w14:solidFill>
                    <w14:schemeClr w14:val="tx1"/>
                  </w14:solidFill>
                </w14:textFill>
              </w:rPr>
              <w:t>：</w:t>
            </w:r>
          </w:p>
          <w:p w14:paraId="7BD745A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①有产生的危险废物均应当使用符合标准的容器盛装，装载危险废物的容器及材质要满足相应的强度要求，且必须完好无损；</w:t>
            </w:r>
          </w:p>
          <w:p w14:paraId="504ADC6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②禁止将不相容（相互反应）的危险废物在同一容器内混装，装危险废物的容器上必须粘贴符合标准附录 </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A </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所示的标签；</w:t>
            </w:r>
          </w:p>
          <w:p w14:paraId="007D5E2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③危险废物贮存间的地面与裙脚要用坚固、防渗的材料建造，建筑材料必须与危险废物相容，贮存间要有安全照明设施和观察窗口，应设计堵截泄漏的</w:t>
            </w:r>
            <w:r>
              <w:rPr>
                <w:rFonts w:hint="eastAsia" w:cs="Times New Roman"/>
                <w:snapToGrid/>
                <w:color w:val="000000" w:themeColor="text1"/>
                <w:spacing w:val="0"/>
                <w:kern w:val="0"/>
                <w:position w:val="0"/>
                <w:sz w:val="24"/>
                <w:szCs w:val="24"/>
                <w:lang w:val="en-US" w:eastAsia="zh-CN"/>
                <w14:textFill>
                  <w14:solidFill>
                    <w14:schemeClr w14:val="tx1"/>
                  </w14:solidFill>
                </w14:textFill>
              </w:rPr>
              <w:t>裙角</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，地面与裙脚所围建的容积不低于堵截最大容器的最大储量或总储量的五分之一，不相容的危险废物必须分开存放，并设有隔离间隔断；</w:t>
            </w:r>
          </w:p>
          <w:p w14:paraId="66F10D8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④厂内建立</w:t>
            </w:r>
            <w:r>
              <w:rPr>
                <w:rFonts w:hint="eastAsia" w:cs="Times New Roman"/>
                <w:snapToGrid/>
                <w:color w:val="000000" w:themeColor="text1"/>
                <w:spacing w:val="0"/>
                <w:kern w:val="0"/>
                <w:position w:val="0"/>
                <w:sz w:val="24"/>
                <w:szCs w:val="24"/>
                <w:lang w:val="en-US" w:eastAsia="zh-CN"/>
                <w14:textFill>
                  <w14:solidFill>
                    <w14:schemeClr w14:val="tx1"/>
                  </w14:solidFill>
                </w14:textFill>
              </w:rPr>
              <w:t>危险废物台账</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管理制度，</w:t>
            </w:r>
            <w:r>
              <w:rPr>
                <w:rFonts w:hint="eastAsia" w:cs="Times New Roman"/>
                <w:snapToGrid/>
                <w:color w:val="000000" w:themeColor="text1"/>
                <w:spacing w:val="0"/>
                <w:kern w:val="0"/>
                <w:position w:val="0"/>
                <w:sz w:val="24"/>
                <w:szCs w:val="24"/>
                <w:lang w:val="en-US" w:eastAsia="zh-CN"/>
                <w14:textFill>
                  <w14:solidFill>
                    <w14:schemeClr w14:val="tx1"/>
                  </w14:solidFill>
                </w14:textFill>
              </w:rPr>
              <w:t>做好</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危险废物情况的记录，记录上须注明危险废物的名称、来源、数量、特性和包装容器的类别、入库日期、存放库位、废物出库日期及接收单位名称，危险废物的记录和货单在危险废物回取后应继续保留三年；</w:t>
            </w:r>
          </w:p>
          <w:p w14:paraId="3E2F08E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⑤必须定期对所贮存的危险物包装容器及贮存设施进行检查，发现破损，应及时采取措施清理更换；</w:t>
            </w:r>
          </w:p>
          <w:p w14:paraId="5AB1528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⑥危险废物贮存设施必须按 </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GB15562.2 </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的规定设置警示标志，周围应设置围墙</w:t>
            </w:r>
            <w:r>
              <w:rPr>
                <w:rFonts w:hint="eastAsia" w:cs="Times New Roman"/>
                <w:snapToGrid/>
                <w:color w:val="000000" w:themeColor="text1"/>
                <w:spacing w:val="0"/>
                <w:kern w:val="0"/>
                <w:position w:val="0"/>
                <w:sz w:val="24"/>
                <w:szCs w:val="24"/>
                <w:lang w:val="en-US" w:eastAsia="zh-CN"/>
                <w14:textFill>
                  <w14:solidFill>
                    <w14:schemeClr w14:val="tx1"/>
                  </w14:solidFill>
                </w14:textFill>
              </w:rPr>
              <w:t>或其他</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防护栅栏，配备通讯设备、照明设施、安全防护服装及工具，并设有应急防护设施</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p>
          <w:p w14:paraId="6F81460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4</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）运输过程的环境影响分析</w:t>
            </w:r>
          </w:p>
          <w:p w14:paraId="1B94397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危险废物的收集、运输按照《危险废物收集、贮存、运输技术规范》（HJ2025-2012）的要求进行。建设单位须针对此对员工进行培训，加强安全生产及防止污染的意识，培训通过后方可上岗，对于固体废弃物的收集、运输要实施专人专职管理制度并建立好台账。</w:t>
            </w:r>
          </w:p>
          <w:p w14:paraId="6D7C5643">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eastAsia" w:ascii="Times New Roman" w:hAnsi="Times New Roman" w:eastAsia="宋体" w:cs="Times New Roman"/>
                <w:b/>
                <w:bCs/>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eastAsia="zh-CN"/>
                <w14:textFill>
                  <w14:solidFill>
                    <w14:schemeClr w14:val="tx1"/>
                  </w14:solidFill>
                </w14:textFill>
              </w:rPr>
              <w:t>5、地下水及土壤</w:t>
            </w:r>
          </w:p>
          <w:p w14:paraId="2CEEFE5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（1）污染源及污染途径分析</w:t>
            </w:r>
          </w:p>
          <w:p w14:paraId="55C1C32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污染源：</w:t>
            </w:r>
            <w:r>
              <w:rPr>
                <w:rFonts w:hint="eastAsia" w:cs="Times New Roman"/>
                <w:snapToGrid/>
                <w:color w:val="000000" w:themeColor="text1"/>
                <w:spacing w:val="0"/>
                <w:kern w:val="0"/>
                <w:position w:val="0"/>
                <w:sz w:val="24"/>
                <w:szCs w:val="24"/>
                <w:lang w:val="en-US" w:eastAsia="zh-CN"/>
                <w14:textFill>
                  <w14:solidFill>
                    <w14:schemeClr w14:val="tx1"/>
                  </w14:solidFill>
                </w14:textFill>
              </w:rPr>
              <w:t>车间沉淀池、设备楼</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7FDE1AA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污染途径：本项目的地下水及土壤的主要污染途径为垂直入渗、大气沉降，污染途径分析如下：</w:t>
            </w:r>
          </w:p>
          <w:p w14:paraId="7742F30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垂直入渗</w:t>
            </w:r>
          </w:p>
          <w:p w14:paraId="5C503AA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w:t>
            </w:r>
            <w:r>
              <w:rPr>
                <w:rFonts w:hint="eastAsia" w:cs="Times New Roman"/>
                <w:snapToGrid/>
                <w:color w:val="000000" w:themeColor="text1"/>
                <w:spacing w:val="0"/>
                <w:kern w:val="0"/>
                <w:position w:val="0"/>
                <w:sz w:val="24"/>
                <w:szCs w:val="24"/>
                <w:lang w:val="en-US" w:eastAsia="zh-CN"/>
                <w14:textFill>
                  <w14:solidFill>
                    <w14:schemeClr w14:val="tx1"/>
                  </w14:solidFill>
                </w14:textFill>
              </w:rPr>
              <w:t>对车间沉淀池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设置了防渗措施，污染土壤和地下水的可能性较小。</w:t>
            </w:r>
          </w:p>
          <w:p w14:paraId="53162B4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大气沉降</w:t>
            </w:r>
          </w:p>
          <w:p w14:paraId="105FA0A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大气沉降主要指由于生产活动产生气体排放间接造成</w:t>
            </w:r>
            <w:r>
              <w:rPr>
                <w:rFonts w:hint="eastAsia" w:cs="Times New Roman"/>
                <w:snapToGrid/>
                <w:color w:val="000000" w:themeColor="text1"/>
                <w:spacing w:val="0"/>
                <w:kern w:val="0"/>
                <w:position w:val="0"/>
                <w:sz w:val="24"/>
                <w:szCs w:val="24"/>
                <w:lang w:val="en-US" w:eastAsia="zh-CN"/>
                <w14:textFill>
                  <w14:solidFill>
                    <w14:schemeClr w14:val="tx1"/>
                  </w14:solidFill>
                </w14:textFill>
              </w:rPr>
              <w:t>地下水及</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土壤环境污染的影响途径。</w:t>
            </w:r>
          </w:p>
          <w:p w14:paraId="35DD09D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本项目大气污染物主要为</w:t>
            </w:r>
            <w:r>
              <w:rPr>
                <w:rFonts w:hint="eastAsia" w:cs="Times New Roman"/>
                <w:snapToGrid/>
                <w:color w:val="000000" w:themeColor="text1"/>
                <w:spacing w:val="0"/>
                <w:kern w:val="0"/>
                <w:position w:val="0"/>
                <w:sz w:val="24"/>
                <w:szCs w:val="24"/>
                <w:lang w:val="en-US" w:eastAsia="zh-CN"/>
                <w14:textFill>
                  <w14:solidFill>
                    <w14:schemeClr w14:val="tx1"/>
                  </w14:solidFill>
                </w14:textFill>
              </w:rPr>
              <w:t>颗粒物</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，且其排放浓度没有超标，经扩散、降解等作用后，</w:t>
            </w:r>
            <w:r>
              <w:rPr>
                <w:rFonts w:hint="eastAsia" w:cs="Times New Roman"/>
                <w:snapToGrid/>
                <w:color w:val="000000" w:themeColor="text1"/>
                <w:spacing w:val="0"/>
                <w:kern w:val="0"/>
                <w:position w:val="0"/>
                <w:sz w:val="24"/>
                <w:szCs w:val="24"/>
                <w:lang w:val="en-US" w:eastAsia="zh-CN"/>
                <w14:textFill>
                  <w14:solidFill>
                    <w14:schemeClr w14:val="tx1"/>
                  </w14:solidFill>
                </w14:textFill>
              </w:rPr>
              <w:t>颗粒物主要沉降于车间内，对</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周边土壤环境的污染物较少。</w:t>
            </w:r>
          </w:p>
          <w:p w14:paraId="0D5D0E9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（2）防控措施</w:t>
            </w:r>
          </w:p>
          <w:p w14:paraId="244B46C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）源头控制措施</w:t>
            </w:r>
          </w:p>
          <w:p w14:paraId="4CA38A9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①工艺、管道设备、污水储存及处理构筑物采取有效的污染控制措施，将污染物跑冒滴漏降到最低限。污水输送管道尽可能架空敷设，同时施工过程中保证高质量安装，运营过程中要加强管理，杜绝废水跑、冒、滴、漏现象。</w:t>
            </w:r>
          </w:p>
          <w:p w14:paraId="2B63E1C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②加强对职工环境保护意识的教育，采取严格的污染防治措施，对每个排污环节加强控制、管理，尽量将污染物排放降至最低限度。</w:t>
            </w:r>
          </w:p>
          <w:p w14:paraId="3E62F27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）过程防控措施</w:t>
            </w:r>
          </w:p>
          <w:p w14:paraId="1DAFBDA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根据本项目的特点，将厂区不同的区域划分为重点防渗区、一般防渗区和简单防渗区。</w:t>
            </w:r>
            <w:r>
              <w:rPr>
                <w:rFonts w:hint="eastAsia"/>
                <w:color w:val="000000" w:themeColor="text1"/>
                <w:sz w:val="24"/>
                <w:szCs w:val="24"/>
                <w:lang w:val="en-US" w:eastAsia="zh-CN"/>
                <w14:textFill>
                  <w14:solidFill>
                    <w14:schemeClr w14:val="tx1"/>
                  </w14:solidFill>
                </w14:textFill>
              </w:rPr>
              <w:t>危废暂存间、初期雨水池及沉淀池</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设置为重点防渗</w:t>
            </w:r>
            <w:r>
              <w:rPr>
                <w:rFonts w:hint="eastAsia" w:cs="Times New Roman"/>
                <w:snapToGrid/>
                <w:color w:val="000000" w:themeColor="text1"/>
                <w:spacing w:val="0"/>
                <w:kern w:val="0"/>
                <w:position w:val="0"/>
                <w:sz w:val="24"/>
                <w:szCs w:val="24"/>
                <w:lang w:val="en-US" w:eastAsia="zh-CN"/>
                <w14:textFill>
                  <w14:solidFill>
                    <w14:schemeClr w14:val="tx1"/>
                  </w14:solidFill>
                </w14:textFill>
              </w:rPr>
              <w:t>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；设备楼、料仓</w:t>
            </w:r>
            <w:r>
              <w:rPr>
                <w:rFonts w:hint="eastAsia"/>
                <w:color w:val="000000" w:themeColor="text1"/>
                <w:sz w:val="24"/>
                <w:szCs w:val="24"/>
                <w:lang w:val="en-US" w:eastAsia="zh-CN"/>
                <w14:textFill>
                  <w14:solidFill>
                    <w14:schemeClr w14:val="tx1"/>
                  </w14:solidFill>
                </w14:textFill>
              </w:rPr>
              <w:t>及</w:t>
            </w:r>
            <w:r>
              <w:rPr>
                <w:rFonts w:hint="eastAsia"/>
                <w:color w:val="000000" w:themeColor="text1"/>
                <w:sz w:val="24"/>
                <w:szCs w:val="24"/>
                <w14:textFill>
                  <w14:solidFill>
                    <w14:schemeClr w14:val="tx1"/>
                  </w14:solidFill>
                </w14:textFill>
              </w:rPr>
              <w:t>一般固废暂存间</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设为一般防渗区</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除重点防渗区、一般防渗区以外的厂区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设为简单防渗区。重点防渗区：等效黏土防渗层厚度</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Mb≥6.0m</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，渗透系数</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K≤1.0×10</w:t>
            </w:r>
            <w:r>
              <w:rPr>
                <w:rFonts w:hint="default" w:ascii="Times New Roman" w:hAnsi="Times New Roman" w:eastAsia="宋体" w:cs="Times New Roman"/>
                <w:snapToGrid/>
                <w:color w:val="000000" w:themeColor="text1"/>
                <w:spacing w:val="0"/>
                <w:kern w:val="0"/>
                <w:position w:val="0"/>
                <w:sz w:val="24"/>
                <w:szCs w:val="24"/>
                <w:vertAlign w:val="superscript"/>
                <w:lang w:val="en-US" w:eastAsia="zh-CN"/>
                <w14:textFill>
                  <w14:solidFill>
                    <w14:schemeClr w14:val="tx1"/>
                  </w14:solidFill>
                </w14:textFill>
              </w:rPr>
              <w:t>-7</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cm/s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；一般防渗区：等效黏土防渗层厚度</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Mb≥1.50m</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K≤1×10</w:t>
            </w:r>
            <w:r>
              <w:rPr>
                <w:rFonts w:hint="default" w:ascii="Times New Roman" w:hAnsi="Times New Roman" w:eastAsia="宋体" w:cs="Times New Roman"/>
                <w:snapToGrid/>
                <w:color w:val="000000" w:themeColor="text1"/>
                <w:spacing w:val="0"/>
                <w:kern w:val="0"/>
                <w:position w:val="0"/>
                <w:sz w:val="24"/>
                <w:szCs w:val="24"/>
                <w:vertAlign w:val="superscript"/>
                <w:lang w:val="en-US" w:eastAsia="zh-CN"/>
                <w14:textFill>
                  <w14:solidFill>
                    <w14:schemeClr w14:val="tx1"/>
                  </w14:solidFill>
                </w14:textFill>
              </w:rPr>
              <w:t>-7</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cm/s</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3CE7588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综上所述，本项目对地下水、土壤环境的影响是可接受的。</w:t>
            </w:r>
          </w:p>
          <w:p w14:paraId="6B7FF02F">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t>6、生态</w:t>
            </w:r>
          </w:p>
          <w:p w14:paraId="7943D26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本项目位于</w:t>
            </w:r>
            <w:r>
              <w:rPr>
                <w:rFonts w:hint="eastAsia" w:cs="Times New Roman"/>
                <w:snapToGrid/>
                <w:color w:val="000000" w:themeColor="text1"/>
                <w:spacing w:val="0"/>
                <w:kern w:val="0"/>
                <w:position w:val="0"/>
                <w:sz w:val="24"/>
                <w:szCs w:val="24"/>
                <w:u w:val="none"/>
                <w:lang w:val="en-US" w:eastAsia="zh-CN"/>
                <w14:textFill>
                  <w14:solidFill>
                    <w14:schemeClr w14:val="tx1"/>
                  </w14:solidFill>
                </w14:textFill>
              </w:rPr>
              <w:t>江西省赣州市宁都县梅江镇土围村下枝坊组</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，用地性质为工业用地，项目运营期间，各项污染</w:t>
            </w:r>
            <w:r>
              <w:rPr>
                <w:rFonts w:hint="eastAsia" w:cs="Times New Roman"/>
                <w:snapToGrid/>
                <w:color w:val="000000" w:themeColor="text1"/>
                <w:spacing w:val="0"/>
                <w:kern w:val="0"/>
                <w:position w:val="0"/>
                <w:sz w:val="24"/>
                <w:szCs w:val="24"/>
                <w:lang w:val="en-US" w:eastAsia="zh-CN"/>
                <w14:textFill>
                  <w14:solidFill>
                    <w14:schemeClr w14:val="tx1"/>
                  </w14:solidFill>
                </w14:textFill>
              </w:rPr>
              <w:t>物</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达标排放且</w:t>
            </w:r>
            <w:r>
              <w:rPr>
                <w:rFonts w:hint="eastAsia" w:cs="Times New Roman"/>
                <w:snapToGrid/>
                <w:color w:val="000000" w:themeColor="text1"/>
                <w:spacing w:val="0"/>
                <w:kern w:val="0"/>
                <w:position w:val="0"/>
                <w:sz w:val="24"/>
                <w:szCs w:val="24"/>
                <w:lang w:val="en-US" w:eastAsia="zh-CN"/>
                <w14:textFill>
                  <w14:solidFill>
                    <w14:schemeClr w14:val="tx1"/>
                  </w14:solidFill>
                </w14:textFill>
              </w:rPr>
              <w:t>厂区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有一定的绿化率，不会对周围生态环境产生较大影响，甚至有所改善。</w:t>
            </w:r>
          </w:p>
          <w:p w14:paraId="23F41B3F">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snapToGrid/>
                <w:color w:val="000000" w:themeColor="text1"/>
                <w:spacing w:val="0"/>
                <w:kern w:val="0"/>
                <w:position w:val="0"/>
                <w:sz w:val="24"/>
                <w:szCs w:val="24"/>
                <w:lang w:val="en-US" w:eastAsia="zh-CN"/>
                <w14:textFill>
                  <w14:solidFill>
                    <w14:schemeClr w14:val="tx1"/>
                  </w14:solidFill>
                </w14:textFill>
              </w:rPr>
              <w:t>7</w:t>
            </w:r>
            <w:r>
              <w:rPr>
                <w:rFonts w:hint="eastAsia" w:ascii="Times New Roman" w:hAnsi="Times New Roman" w:eastAsia="宋体" w:cs="Times New Roman"/>
                <w:b/>
                <w:bCs/>
                <w:snapToGrid/>
                <w:color w:val="000000" w:themeColor="text1"/>
                <w:spacing w:val="0"/>
                <w:kern w:val="0"/>
                <w:position w:val="0"/>
                <w:sz w:val="24"/>
                <w:szCs w:val="24"/>
                <w:lang w:eastAsia="zh-CN"/>
                <w14:textFill>
                  <w14:solidFill>
                    <w14:schemeClr w14:val="tx1"/>
                  </w14:solidFill>
                </w14:textFill>
              </w:rPr>
              <w:t>、</w:t>
            </w:r>
            <w:r>
              <w:rPr>
                <w:rFonts w:hint="eastAsia" w:eastAsia="宋体" w:cs="Times New Roman"/>
                <w:b/>
                <w:bCs/>
                <w:snapToGrid/>
                <w:color w:val="000000" w:themeColor="text1"/>
                <w:spacing w:val="0"/>
                <w:kern w:val="0"/>
                <w:position w:val="0"/>
                <w:sz w:val="24"/>
                <w:szCs w:val="24"/>
                <w:lang w:val="en-US" w:eastAsia="zh-CN"/>
                <w14:textFill>
                  <w14:solidFill>
                    <w14:schemeClr w14:val="tx1"/>
                  </w14:solidFill>
                </w14:textFill>
              </w:rPr>
              <w:t>环境风险</w:t>
            </w:r>
          </w:p>
          <w:p w14:paraId="42D52F5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评价依据</w:t>
            </w:r>
          </w:p>
          <w:p w14:paraId="1D33E15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风险调查</w:t>
            </w:r>
          </w:p>
          <w:p w14:paraId="6F5DBDD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对照《企业突发环境事件风险分级方法》（HJ941-2018）、《建设项目环境风险评价技术导则》（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HJ169-2018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）附录</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，确定本项目风险物质为</w:t>
            </w:r>
            <w:r>
              <w:rPr>
                <w:rFonts w:hint="eastAsia" w:cs="Times New Roman"/>
                <w:snapToGrid/>
                <w:color w:val="000000" w:themeColor="text1"/>
                <w:spacing w:val="0"/>
                <w:kern w:val="0"/>
                <w:position w:val="0"/>
                <w:sz w:val="24"/>
                <w:szCs w:val="24"/>
                <w:lang w:val="en-US" w:eastAsia="zh-CN"/>
                <w14:textFill>
                  <w14:solidFill>
                    <w14:schemeClr w14:val="tx1"/>
                  </w14:solidFill>
                </w14:textFill>
              </w:rPr>
              <w:t>废机油</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689E32F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2）环境风险潜势初判</w:t>
            </w:r>
          </w:p>
          <w:p w14:paraId="1294168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计算所涉及的每种危险物质在厂界内的最大存在总量与其在《建设项目环境风险评价技术导则》（HJ169-2018）附录B</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及《企业突发环境事件风险分级方法》（HJ941-2018）</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中对应临界量的比值Q。</w:t>
            </w:r>
          </w:p>
          <w:p w14:paraId="55CA886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当只涉及一种危险物质时，计算该物质的总量与其临界量比值，即为Q；</w:t>
            </w:r>
          </w:p>
          <w:p w14:paraId="601E318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snapToGrid/>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当存在多种危险物质时，则按</w:t>
            </w:r>
            <w:r>
              <w:rPr>
                <w:rFonts w:hint="eastAsia" w:cs="Times New Roman"/>
                <w:snapToGrid/>
                <w:color w:val="000000" w:themeColor="text1"/>
                <w:spacing w:val="0"/>
                <w:kern w:val="0"/>
                <w:position w:val="0"/>
                <w:sz w:val="24"/>
                <w:szCs w:val="24"/>
                <w:lang w:val="en-US" w:eastAsia="zh-CN"/>
                <w14:textFill>
                  <w14:solidFill>
                    <w14:schemeClr w14:val="tx1"/>
                  </w14:solidFill>
                </w14:textFill>
              </w:rPr>
              <w:t>下</w:t>
            </w:r>
            <w:r>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式计算物质总量与其临界量比值（Q）：</w:t>
            </w:r>
          </w:p>
          <w:p w14:paraId="16F44797">
            <w:pPr>
              <w:pStyle w:val="70"/>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position w:val="-30"/>
                <w:sz w:val="24"/>
                <w:szCs w:val="24"/>
                <w:lang w:eastAsia="zh-CN"/>
                <w14:textFill>
                  <w14:solidFill>
                    <w14:schemeClr w14:val="tx1"/>
                  </w14:solidFill>
                </w14:textFill>
              </w:rPr>
              <w:object>
                <v:shape id="_x0000_i1037" o:spt="75" type="#_x0000_t75" style="height:34pt;width:98pt;" o:ole="t" filled="f" o:preferrelative="t" stroked="f" coordsize="21600,21600">
                  <v:path/>
                  <v:fill on="f" focussize="0,0"/>
                  <v:stroke on="f"/>
                  <v:imagedata r:id="rId41" o:title=""/>
                  <o:lock v:ext="edit" aspectratio="t"/>
                  <w10:wrap type="none"/>
                  <w10:anchorlock/>
                </v:shape>
                <o:OLEObject Type="Embed" ProgID="Equation.KSEE3" ShapeID="_x0000_i1037" DrawAspect="Content" ObjectID="_1468075737" r:id="rId40">
                  <o:LockedField>false</o:LockedField>
                </o:OLEObject>
              </w:object>
            </w:r>
          </w:p>
          <w:p w14:paraId="7762522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式中：q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1</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2</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n</w:t>
            </w:r>
            <w:r>
              <w:rPr>
                <w:rFonts w:hint="eastAsia" w:cs="Times New Roman"/>
                <w:snapToGrid/>
                <w:color w:val="000000" w:themeColor="text1"/>
                <w:spacing w:val="0"/>
                <w:w w:val="10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每种危险物质的最大存在总量，t；</w:t>
            </w:r>
          </w:p>
          <w:p w14:paraId="0D225DC8">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1</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2</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，…，Q</w:t>
            </w:r>
            <w:r>
              <w:rPr>
                <w:rFonts w:hint="default" w:ascii="Times New Roman" w:hAnsi="Times New Roman" w:eastAsia="宋体" w:cs="Times New Roman"/>
                <w:snapToGrid/>
                <w:color w:val="000000" w:themeColor="text1"/>
                <w:spacing w:val="0"/>
                <w:w w:val="100"/>
                <w:kern w:val="0"/>
                <w:position w:val="0"/>
                <w:sz w:val="24"/>
                <w:szCs w:val="24"/>
                <w:vertAlign w:val="subscript"/>
                <w14:textFill>
                  <w14:solidFill>
                    <w14:schemeClr w14:val="tx1"/>
                  </w14:solidFill>
                </w14:textFill>
              </w:rPr>
              <w:t>n</w:t>
            </w:r>
            <w:r>
              <w:rPr>
                <w:rFonts w:hint="eastAsia" w:cs="Times New Roman"/>
                <w:snapToGrid/>
                <w:color w:val="000000" w:themeColor="text1"/>
                <w:spacing w:val="0"/>
                <w:w w:val="10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每种危险物质的临界量，t。</w:t>
            </w:r>
          </w:p>
          <w:p w14:paraId="279685D9">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当Q＜1时，该项目环境风险潜势为I；</w:t>
            </w:r>
          </w:p>
          <w:p w14:paraId="386817CB">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4"/>
                <w:szCs w:val="24"/>
                <w14:textFill>
                  <w14:solidFill>
                    <w14:schemeClr w14:val="tx1"/>
                  </w14:solidFill>
                </w14:textFill>
              </w:rPr>
              <w:t>当Q≥1时，将Q值划分为：①1≤Q＜10；②10≤Q＜100，③Q≥100。</w:t>
            </w:r>
          </w:p>
          <w:p w14:paraId="221AEC6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本项目Q值</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计算结果见下表：</w:t>
            </w:r>
          </w:p>
          <w:p w14:paraId="2E57E9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16</w:t>
            </w:r>
            <w:r>
              <w:rPr>
                <w:rFonts w:hint="default"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 xml:space="preserve">  本项目Q值确定表</w:t>
            </w:r>
          </w:p>
          <w:tbl>
            <w:tblPr>
              <w:tblStyle w:val="8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438"/>
              <w:gridCol w:w="1135"/>
              <w:gridCol w:w="1887"/>
              <w:gridCol w:w="1498"/>
              <w:gridCol w:w="1653"/>
            </w:tblGrid>
            <w:tr w14:paraId="0B86E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379" w:type="pct"/>
                  <w:tcBorders>
                    <w:tl2br w:val="nil"/>
                    <w:tr2bl w:val="nil"/>
                  </w:tcBorders>
                  <w:noWrap w:val="0"/>
                  <w:vAlign w:val="center"/>
                </w:tcPr>
                <w:p w14:paraId="61BE8E65">
                  <w:pPr>
                    <w:spacing w:before="0" w:line="240" w:lineRule="auto"/>
                    <w:ind w:firstLine="0"/>
                    <w:jc w:val="center"/>
                    <w:rPr>
                      <w:rFonts w:hint="eastAsia" w:ascii="Times New Roman" w:hAnsi="Times New Roman" w:eastAsia="宋体" w:cs="Times New Roman"/>
                      <w:b/>
                      <w:bCs/>
                      <w:snapToGrid/>
                      <w:color w:val="000000" w:themeColor="text1"/>
                      <w:spacing w:val="0"/>
                      <w:w w:val="100"/>
                      <w:kern w:val="0"/>
                      <w:position w:val="0"/>
                      <w:sz w:val="21"/>
                      <w:szCs w:val="21"/>
                      <w:lang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序号</w:t>
                  </w:r>
                </w:p>
              </w:tc>
              <w:tc>
                <w:tcPr>
                  <w:tcW w:w="872" w:type="pct"/>
                  <w:tcBorders>
                    <w:tl2br w:val="nil"/>
                    <w:tr2bl w:val="nil"/>
                  </w:tcBorders>
                  <w:noWrap w:val="0"/>
                  <w:vAlign w:val="center"/>
                </w:tcPr>
                <w:p w14:paraId="238C55E1">
                  <w:pPr>
                    <w:spacing w:before="0" w:line="240" w:lineRule="auto"/>
                    <w:ind w:firstLine="0" w:firstLineChars="0"/>
                    <w:jc w:val="cente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t>危险物质名称</w:t>
                  </w:r>
                </w:p>
              </w:tc>
              <w:tc>
                <w:tcPr>
                  <w:tcW w:w="688" w:type="pct"/>
                  <w:tcBorders>
                    <w:tl2br w:val="nil"/>
                    <w:tr2bl w:val="nil"/>
                  </w:tcBorders>
                  <w:noWrap w:val="0"/>
                  <w:vAlign w:val="center"/>
                </w:tcPr>
                <w:p w14:paraId="4336E9AE">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CAS号</w:t>
                  </w:r>
                </w:p>
              </w:tc>
              <w:tc>
                <w:tcPr>
                  <w:tcW w:w="1145" w:type="pct"/>
                  <w:tcBorders>
                    <w:tl2br w:val="nil"/>
                    <w:tr2bl w:val="nil"/>
                  </w:tcBorders>
                  <w:noWrap w:val="0"/>
                  <w:vAlign w:val="center"/>
                </w:tcPr>
                <w:p w14:paraId="743D8E5E">
                  <w:pPr>
                    <w:spacing w:before="0" w:line="240" w:lineRule="auto"/>
                    <w:ind w:firstLine="0" w:firstLineChars="0"/>
                    <w:jc w:val="cente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t>最大存在总量q</w:t>
                  </w:r>
                  <w:r>
                    <w:rPr>
                      <w:rFonts w:hint="default" w:ascii="Times New Roman" w:hAnsi="Times New Roman" w:eastAsia="宋体" w:cs="Times New Roman"/>
                      <w:b/>
                      <w:bCs/>
                      <w:snapToGrid/>
                      <w:color w:val="000000" w:themeColor="text1"/>
                      <w:spacing w:val="0"/>
                      <w:w w:val="100"/>
                      <w:kern w:val="0"/>
                      <w:position w:val="0"/>
                      <w:sz w:val="21"/>
                      <w:szCs w:val="21"/>
                      <w:vertAlign w:val="subscript"/>
                      <w14:textFill>
                        <w14:solidFill>
                          <w14:schemeClr w14:val="tx1"/>
                        </w14:solidFill>
                      </w14:textFill>
                    </w:rPr>
                    <w:t>n</w:t>
                  </w:r>
                  <w: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t>/t</w:t>
                  </w:r>
                </w:p>
              </w:tc>
              <w:tc>
                <w:tcPr>
                  <w:tcW w:w="909" w:type="pct"/>
                  <w:tcBorders>
                    <w:tl2br w:val="nil"/>
                    <w:tr2bl w:val="nil"/>
                  </w:tcBorders>
                  <w:noWrap w:val="0"/>
                  <w:vAlign w:val="center"/>
                </w:tcPr>
                <w:p w14:paraId="2752B14D">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t>临界量Q</w:t>
                  </w:r>
                  <w:r>
                    <w:rPr>
                      <w:rFonts w:hint="default" w:ascii="Times New Roman" w:hAnsi="Times New Roman" w:eastAsia="宋体" w:cs="Times New Roman"/>
                      <w:b/>
                      <w:bCs/>
                      <w:snapToGrid/>
                      <w:color w:val="000000" w:themeColor="text1"/>
                      <w:spacing w:val="0"/>
                      <w:w w:val="100"/>
                      <w:kern w:val="0"/>
                      <w:position w:val="0"/>
                      <w:sz w:val="21"/>
                      <w:szCs w:val="21"/>
                      <w:vertAlign w:val="subscript"/>
                      <w14:textFill>
                        <w14:solidFill>
                          <w14:schemeClr w14:val="tx1"/>
                        </w14:solidFill>
                      </w14:textFill>
                    </w:rPr>
                    <w:t>n</w:t>
                  </w:r>
                  <w:r>
                    <w:rPr>
                      <w:rFonts w:hint="default" w:ascii="Times New Roman" w:hAnsi="Times New Roman" w:eastAsia="宋体" w:cs="Times New Roman"/>
                      <w:b/>
                      <w:bCs/>
                      <w:snapToGrid/>
                      <w:color w:val="000000" w:themeColor="text1"/>
                      <w:spacing w:val="0"/>
                      <w:w w:val="100"/>
                      <w:kern w:val="0"/>
                      <w:position w:val="0"/>
                      <w:sz w:val="21"/>
                      <w:szCs w:val="21"/>
                      <w14:textFill>
                        <w14:solidFill>
                          <w14:schemeClr w14:val="tx1"/>
                        </w14:solidFill>
                      </w14:textFill>
                    </w:rPr>
                    <w:t>/t</w:t>
                  </w:r>
                </w:p>
              </w:tc>
              <w:tc>
                <w:tcPr>
                  <w:tcW w:w="1003" w:type="pct"/>
                  <w:tcBorders>
                    <w:tl2br w:val="nil"/>
                    <w:tr2bl w:val="nil"/>
                  </w:tcBorders>
                  <w:noWrap w:val="0"/>
                  <w:vAlign w:val="center"/>
                </w:tcPr>
                <w:p w14:paraId="42298436">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危险物质Q值</w:t>
                  </w:r>
                </w:p>
              </w:tc>
            </w:tr>
            <w:tr w14:paraId="03C23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9" w:type="pct"/>
                  <w:tcBorders>
                    <w:tl2br w:val="nil"/>
                    <w:tr2bl w:val="nil"/>
                  </w:tcBorders>
                  <w:noWrap w:val="0"/>
                  <w:vAlign w:val="center"/>
                </w:tcPr>
                <w:p w14:paraId="0DDA0886">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1</w:t>
                  </w:r>
                </w:p>
              </w:tc>
              <w:tc>
                <w:tcPr>
                  <w:tcW w:w="872" w:type="pct"/>
                  <w:tcBorders>
                    <w:tl2br w:val="nil"/>
                    <w:tr2bl w:val="nil"/>
                  </w:tcBorders>
                  <w:noWrap w:val="0"/>
                  <w:vAlign w:val="center"/>
                </w:tcPr>
                <w:p w14:paraId="3D8200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废机油</w:t>
                  </w:r>
                </w:p>
              </w:tc>
              <w:tc>
                <w:tcPr>
                  <w:tcW w:w="688" w:type="pct"/>
                  <w:tcBorders>
                    <w:tl2br w:val="nil"/>
                    <w:tr2bl w:val="nil"/>
                  </w:tcBorders>
                  <w:noWrap w:val="0"/>
                  <w:vAlign w:val="center"/>
                </w:tcPr>
                <w:p w14:paraId="24E33514">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w:t>
                  </w:r>
                </w:p>
              </w:tc>
              <w:tc>
                <w:tcPr>
                  <w:tcW w:w="1145" w:type="pct"/>
                  <w:tcBorders>
                    <w:tl2br w:val="nil"/>
                    <w:tr2bl w:val="nil"/>
                  </w:tcBorders>
                  <w:noWrap w:val="0"/>
                  <w:vAlign w:val="center"/>
                </w:tcPr>
                <w:p w14:paraId="788CE3FC">
                  <w:pPr>
                    <w:spacing w:before="0" w:line="240" w:lineRule="auto"/>
                    <w:ind w:firstLine="0" w:firstLineChars="0"/>
                    <w:jc w:val="center"/>
                    <w:rPr>
                      <w:rFonts w:hint="default"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0.05</w:t>
                  </w:r>
                </w:p>
              </w:tc>
              <w:tc>
                <w:tcPr>
                  <w:tcW w:w="909" w:type="pct"/>
                  <w:tcBorders>
                    <w:tl2br w:val="nil"/>
                    <w:tr2bl w:val="nil"/>
                  </w:tcBorders>
                  <w:noWrap w:val="0"/>
                  <w:vAlign w:val="center"/>
                </w:tcPr>
                <w:p w14:paraId="3C68A8CD">
                  <w:pPr>
                    <w:spacing w:before="0" w:line="240" w:lineRule="auto"/>
                    <w:ind w:firstLine="0" w:firstLineChars="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2500</w:t>
                  </w:r>
                </w:p>
              </w:tc>
              <w:tc>
                <w:tcPr>
                  <w:tcW w:w="1003" w:type="pct"/>
                  <w:tcBorders>
                    <w:tl2br w:val="nil"/>
                    <w:tr2bl w:val="nil"/>
                  </w:tcBorders>
                  <w:noWrap w:val="0"/>
                  <w:vAlign w:val="center"/>
                </w:tcPr>
                <w:p w14:paraId="1F4047D8">
                  <w:pPr>
                    <w:spacing w:before="0" w:line="240" w:lineRule="auto"/>
                    <w:ind w:firstLine="0" w:firstLineChars="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0.0</w:t>
                  </w: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0002</w:t>
                  </w:r>
                </w:p>
              </w:tc>
            </w:tr>
            <w:tr w14:paraId="61377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96" w:type="pct"/>
                  <w:gridSpan w:val="5"/>
                  <w:tcBorders>
                    <w:tl2br w:val="nil"/>
                    <w:tr2bl w:val="nil"/>
                  </w:tcBorders>
                  <w:noWrap w:val="0"/>
                  <w:vAlign w:val="center"/>
                </w:tcPr>
                <w:p w14:paraId="2326CF9B">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合计</w:t>
                  </w:r>
                </w:p>
              </w:tc>
              <w:tc>
                <w:tcPr>
                  <w:tcW w:w="1003" w:type="pct"/>
                  <w:tcBorders>
                    <w:tl2br w:val="nil"/>
                    <w:tr2bl w:val="nil"/>
                  </w:tcBorders>
                  <w:noWrap w:val="0"/>
                  <w:vAlign w:val="center"/>
                </w:tcPr>
                <w:p w14:paraId="583A892C">
                  <w:pPr>
                    <w:spacing w:before="0" w:line="240" w:lineRule="auto"/>
                    <w:ind w:firstLine="0" w:firstLineChars="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0.0</w:t>
                  </w: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0002</w:t>
                  </w:r>
                </w:p>
              </w:tc>
            </w:tr>
          </w:tbl>
          <w:p w14:paraId="0BB6695E">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本项目风险物质数量与临界量比值</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Q&lt;1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，则本项目环境风险潜势为</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01999BC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）评价等级</w:t>
            </w:r>
          </w:p>
          <w:p w14:paraId="2F77BFA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根据《建设项目环境风险评价技术导则》（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HJ169-2018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），风险评价工作等级划分如下：</w:t>
            </w:r>
          </w:p>
          <w:p w14:paraId="28BA77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17</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w:t>
            </w: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环境风险评价工作等级划分</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1543"/>
              <w:gridCol w:w="1548"/>
              <w:gridCol w:w="1543"/>
              <w:gridCol w:w="1905"/>
            </w:tblGrid>
            <w:tr w14:paraId="05183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31" w:type="pct"/>
                  <w:tcBorders>
                    <w:tl2br w:val="nil"/>
                    <w:tr2bl w:val="nil"/>
                  </w:tcBorders>
                  <w:noWrap w:val="0"/>
                  <w:vAlign w:val="center"/>
                </w:tcPr>
                <w:p w14:paraId="026E897D">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环境风险潜势</w:t>
                  </w:r>
                </w:p>
              </w:tc>
              <w:tc>
                <w:tcPr>
                  <w:tcW w:w="936" w:type="pct"/>
                  <w:tcBorders>
                    <w:tl2br w:val="nil"/>
                    <w:tr2bl w:val="nil"/>
                  </w:tcBorders>
                  <w:noWrap w:val="0"/>
                  <w:vAlign w:val="center"/>
                </w:tcPr>
                <w:p w14:paraId="6EBA6941">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Ⅳ、Ⅳ</w:t>
                  </w:r>
                  <w:r>
                    <w:rPr>
                      <w:rFonts w:hint="default" w:ascii="Times New Roman" w:hAnsi="Times New Roman" w:eastAsia="宋体" w:cs="Times New Roman"/>
                      <w:b/>
                      <w:bCs/>
                      <w:snapToGrid/>
                      <w:color w:val="000000" w:themeColor="text1"/>
                      <w:spacing w:val="0"/>
                      <w:w w:val="100"/>
                      <w:kern w:val="0"/>
                      <w:position w:val="0"/>
                      <w:sz w:val="21"/>
                      <w:szCs w:val="21"/>
                      <w:vertAlign w:val="superscript"/>
                      <w:lang w:val="en-US" w:eastAsia="zh-CN"/>
                      <w14:textFill>
                        <w14:solidFill>
                          <w14:schemeClr w14:val="tx1"/>
                        </w14:solidFill>
                      </w14:textFill>
                    </w:rPr>
                    <w:t>+</w:t>
                  </w:r>
                </w:p>
              </w:tc>
              <w:tc>
                <w:tcPr>
                  <w:tcW w:w="939" w:type="pct"/>
                  <w:tcBorders>
                    <w:tl2br w:val="nil"/>
                    <w:tr2bl w:val="nil"/>
                  </w:tcBorders>
                  <w:noWrap w:val="0"/>
                  <w:vAlign w:val="center"/>
                </w:tcPr>
                <w:p w14:paraId="22D423B7">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Ⅲ</w:t>
                  </w:r>
                </w:p>
              </w:tc>
              <w:tc>
                <w:tcPr>
                  <w:tcW w:w="936" w:type="pct"/>
                  <w:tcBorders>
                    <w:tl2br w:val="nil"/>
                    <w:tr2bl w:val="nil"/>
                  </w:tcBorders>
                  <w:noWrap w:val="0"/>
                  <w:vAlign w:val="center"/>
                </w:tcPr>
                <w:p w14:paraId="10C7280F">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Ⅱ</w:t>
                  </w:r>
                </w:p>
              </w:tc>
              <w:tc>
                <w:tcPr>
                  <w:tcW w:w="1155" w:type="pct"/>
                  <w:tcBorders>
                    <w:tl2br w:val="nil"/>
                    <w:tr2bl w:val="nil"/>
                  </w:tcBorders>
                  <w:noWrap w:val="0"/>
                  <w:vAlign w:val="center"/>
                </w:tcPr>
                <w:p w14:paraId="42A58EFE">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Ⅰ</w:t>
                  </w:r>
                </w:p>
              </w:tc>
            </w:tr>
            <w:tr w14:paraId="1CAE2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31" w:type="pct"/>
                  <w:tcBorders>
                    <w:tl2br w:val="nil"/>
                    <w:tr2bl w:val="nil"/>
                  </w:tcBorders>
                  <w:shd w:val="clear" w:color="auto" w:fill="auto"/>
                  <w:noWrap w:val="0"/>
                  <w:vAlign w:val="center"/>
                </w:tcPr>
                <w:p w14:paraId="32DBC41A">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评价工作等级</w:t>
                  </w:r>
                </w:p>
              </w:tc>
              <w:tc>
                <w:tcPr>
                  <w:tcW w:w="936" w:type="pct"/>
                  <w:tcBorders>
                    <w:tl2br w:val="nil"/>
                    <w:tr2bl w:val="nil"/>
                  </w:tcBorders>
                  <w:shd w:val="clear" w:color="auto" w:fill="auto"/>
                  <w:noWrap w:val="0"/>
                  <w:vAlign w:val="center"/>
                </w:tcPr>
                <w:p w14:paraId="491B3884">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一</w:t>
                  </w:r>
                </w:p>
              </w:tc>
              <w:tc>
                <w:tcPr>
                  <w:tcW w:w="939" w:type="pct"/>
                  <w:tcBorders>
                    <w:tl2br w:val="nil"/>
                    <w:tr2bl w:val="nil"/>
                  </w:tcBorders>
                  <w:shd w:val="clear" w:color="auto" w:fill="auto"/>
                  <w:noWrap w:val="0"/>
                  <w:vAlign w:val="center"/>
                </w:tcPr>
                <w:p w14:paraId="5D22D5B2">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二</w:t>
                  </w:r>
                </w:p>
              </w:tc>
              <w:tc>
                <w:tcPr>
                  <w:tcW w:w="936" w:type="pct"/>
                  <w:tcBorders>
                    <w:tl2br w:val="nil"/>
                    <w:tr2bl w:val="nil"/>
                  </w:tcBorders>
                  <w:shd w:val="clear" w:color="auto" w:fill="auto"/>
                  <w:noWrap w:val="0"/>
                  <w:vAlign w:val="center"/>
                </w:tcPr>
                <w:p w14:paraId="12ABE84E">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三</w:t>
                  </w:r>
                </w:p>
              </w:tc>
              <w:tc>
                <w:tcPr>
                  <w:tcW w:w="1155" w:type="pct"/>
                  <w:tcBorders>
                    <w:tl2br w:val="nil"/>
                    <w:tr2bl w:val="nil"/>
                  </w:tcBorders>
                  <w:shd w:val="clear" w:color="auto" w:fill="FDEADA"/>
                  <w:noWrap w:val="0"/>
                  <w:vAlign w:val="center"/>
                </w:tcPr>
                <w:p w14:paraId="5C695498">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简单分析</w:t>
                  </w:r>
                  <w:r>
                    <w:rPr>
                      <w:rFonts w:hint="default" w:ascii="Times New Roman" w:hAnsi="Times New Roman" w:eastAsia="宋体" w:cs="Times New Roman"/>
                      <w:snapToGrid/>
                      <w:color w:val="000000" w:themeColor="text1"/>
                      <w:spacing w:val="0"/>
                      <w:w w:val="100"/>
                      <w:kern w:val="0"/>
                      <w:position w:val="0"/>
                      <w:sz w:val="21"/>
                      <w:szCs w:val="21"/>
                      <w:vertAlign w:val="superscript"/>
                      <w:lang w:val="en-US" w:eastAsia="zh-CN"/>
                      <w14:textFill>
                        <w14:solidFill>
                          <w14:schemeClr w14:val="tx1"/>
                        </w14:solidFill>
                      </w14:textFill>
                    </w:rPr>
                    <w:t>a</w:t>
                  </w:r>
                </w:p>
              </w:tc>
            </w:tr>
          </w:tbl>
          <w:p w14:paraId="223BC099">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根据《建设项目环境风险评价技术导则》（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HJ169-2018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）分级判据，确定本项目风险评价做简单分析。</w:t>
            </w:r>
          </w:p>
          <w:p w14:paraId="40A2FE7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）风险</w:t>
            </w:r>
            <w:r>
              <w:rPr>
                <w:rFonts w:hint="eastAsia" w:cs="Times New Roman"/>
                <w:snapToGrid/>
                <w:color w:val="000000" w:themeColor="text1"/>
                <w:spacing w:val="0"/>
                <w:kern w:val="0"/>
                <w:position w:val="0"/>
                <w:sz w:val="24"/>
                <w:szCs w:val="24"/>
                <w:lang w:val="en-US" w:eastAsia="zh-CN"/>
                <w14:textFill>
                  <w14:solidFill>
                    <w14:schemeClr w14:val="tx1"/>
                  </w14:solidFill>
                </w14:textFill>
              </w:rPr>
              <w:t>识别</w:t>
            </w:r>
          </w:p>
          <w:p w14:paraId="1F49A84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根据《建设项目环境风险评价技术导则》（</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HJ 169-2018</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），物质危险性识别包括主要原辅材料、燃料、中间产品、副产品、最终产品、污染物、火灾和爆炸伴生</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次生物等。</w:t>
            </w:r>
          </w:p>
          <w:p w14:paraId="7918E76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根据国内外同行业事故统计分析及典型事故案例资料，项主要生产装置、贮运系统、公用工程系统、环保工程设施及辅助生产设施等中的风险源项为贮运系统、环保工程设施、公用工程系统，风险类型为废气处理系统事故、火灾事故</w:t>
            </w:r>
            <w:r>
              <w:rPr>
                <w:rFonts w:hint="eastAsia" w:cs="Times New Roman"/>
                <w:snapToGrid/>
                <w:color w:val="000000" w:themeColor="text1"/>
                <w:spacing w:val="0"/>
                <w:kern w:val="0"/>
                <w:position w:val="0"/>
                <w:sz w:val="24"/>
                <w:szCs w:val="24"/>
                <w:lang w:val="en-US" w:eastAsia="zh-CN"/>
                <w14:textFill>
                  <w14:solidFill>
                    <w14:schemeClr w14:val="tx1"/>
                  </w14:solidFill>
                </w14:textFill>
              </w:rPr>
              <w:t>及危险废物泄漏事故</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。本项目风险识别见表4-18。</w:t>
            </w:r>
          </w:p>
          <w:p w14:paraId="7EFA7FF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kern w:val="0"/>
                <w:position w:val="0"/>
                <w:sz w:val="21"/>
                <w:szCs w:val="21"/>
                <w14:textFill>
                  <w14:solidFill>
                    <w14:schemeClr w14:val="tx1"/>
                  </w14:solidFill>
                </w14:textFill>
              </w:rPr>
              <w:t>表</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4-</w:t>
            </w:r>
            <w:r>
              <w:rPr>
                <w:rFonts w:hint="eastAsia" w:cs="Times New Roman"/>
                <w:b/>
                <w:bCs/>
                <w:snapToGrid/>
                <w:color w:val="000000" w:themeColor="text1"/>
                <w:spacing w:val="0"/>
                <w:kern w:val="0"/>
                <w:position w:val="0"/>
                <w:sz w:val="21"/>
                <w:szCs w:val="21"/>
                <w:lang w:val="en-US" w:eastAsia="zh-CN"/>
                <w14:textFill>
                  <w14:solidFill>
                    <w14:schemeClr w14:val="tx1"/>
                  </w14:solidFill>
                </w14:textFill>
              </w:rPr>
              <w:t>18</w:t>
            </w:r>
            <w:r>
              <w:rPr>
                <w:rFonts w:hint="eastAsia" w:ascii="Times New Roman" w:hAnsi="Times New Roman" w:eastAsia="宋体" w:cs="Times New Roman"/>
                <w:b/>
                <w:bCs/>
                <w:snapToGrid/>
                <w:color w:val="000000" w:themeColor="text1"/>
                <w:spacing w:val="0"/>
                <w:kern w:val="0"/>
                <w:position w:val="0"/>
                <w:sz w:val="21"/>
                <w:szCs w:val="21"/>
                <w:lang w:val="en-US" w:eastAsia="zh-CN"/>
                <w14:textFill>
                  <w14:solidFill>
                    <w14:schemeClr w14:val="tx1"/>
                  </w14:solidFill>
                </w14:textFill>
              </w:rPr>
              <w:t xml:space="preserve">  建设项目环境风险识别表</w:t>
            </w:r>
          </w:p>
          <w:tbl>
            <w:tblPr>
              <w:tblStyle w:val="28"/>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104"/>
              <w:gridCol w:w="921"/>
              <w:gridCol w:w="975"/>
              <w:gridCol w:w="1150"/>
              <w:gridCol w:w="1075"/>
              <w:gridCol w:w="2240"/>
            </w:tblGrid>
            <w:tr w14:paraId="77D4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4" w:type="dxa"/>
                  <w:vAlign w:val="center"/>
                </w:tcPr>
                <w:p w14:paraId="3D70A5C0">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事故类型</w:t>
                  </w:r>
                </w:p>
              </w:tc>
              <w:tc>
                <w:tcPr>
                  <w:tcW w:w="1104" w:type="dxa"/>
                  <w:vAlign w:val="center"/>
                </w:tcPr>
                <w:p w14:paraId="2A35D149">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环境风险描述</w:t>
                  </w:r>
                </w:p>
              </w:tc>
              <w:tc>
                <w:tcPr>
                  <w:tcW w:w="921" w:type="dxa"/>
                  <w:vAlign w:val="center"/>
                </w:tcPr>
                <w:p w14:paraId="17004FBE">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污染物</w:t>
                  </w:r>
                </w:p>
              </w:tc>
              <w:tc>
                <w:tcPr>
                  <w:tcW w:w="975" w:type="dxa"/>
                  <w:vAlign w:val="center"/>
                </w:tcPr>
                <w:p w14:paraId="2E8D9DA9">
                  <w:pPr>
                    <w:spacing w:before="0" w:line="240" w:lineRule="auto"/>
                    <w:ind w:firstLine="0"/>
                    <w:jc w:val="center"/>
                    <w:rPr>
                      <w:rFonts w:hint="default"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风险类别</w:t>
                  </w:r>
                </w:p>
              </w:tc>
              <w:tc>
                <w:tcPr>
                  <w:tcW w:w="1150" w:type="dxa"/>
                  <w:vAlign w:val="center"/>
                </w:tcPr>
                <w:p w14:paraId="2AAA55FB">
                  <w:pPr>
                    <w:spacing w:before="0" w:line="240" w:lineRule="auto"/>
                    <w:ind w:firstLine="0"/>
                    <w:jc w:val="cente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环境影响途径及后果</w:t>
                  </w:r>
                </w:p>
              </w:tc>
              <w:tc>
                <w:tcPr>
                  <w:tcW w:w="1075" w:type="dxa"/>
                  <w:vAlign w:val="center"/>
                </w:tcPr>
                <w:p w14:paraId="08D10F8E">
                  <w:pPr>
                    <w:spacing w:before="0" w:line="240" w:lineRule="auto"/>
                    <w:ind w:firstLine="0"/>
                    <w:jc w:val="cente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危险单元</w:t>
                  </w:r>
                </w:p>
              </w:tc>
              <w:tc>
                <w:tcPr>
                  <w:tcW w:w="2240" w:type="dxa"/>
                  <w:vAlign w:val="center"/>
                </w:tcPr>
                <w:p w14:paraId="006FF0CC">
                  <w:pPr>
                    <w:spacing w:before="0" w:line="240" w:lineRule="auto"/>
                    <w:ind w:firstLine="0"/>
                    <w:jc w:val="cente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1"/>
                      <w:szCs w:val="21"/>
                      <w:lang w:val="en-US" w:eastAsia="zh-CN"/>
                      <w14:textFill>
                        <w14:solidFill>
                          <w14:schemeClr w14:val="tx1"/>
                        </w14:solidFill>
                      </w14:textFill>
                    </w:rPr>
                    <w:t>风险防范措施</w:t>
                  </w:r>
                </w:p>
              </w:tc>
            </w:tr>
            <w:tr w14:paraId="3311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4" w:type="dxa"/>
                  <w:vAlign w:val="center"/>
                </w:tcPr>
                <w:p w14:paraId="24672CF0">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火灾、爆炸伴生污染</w:t>
                  </w:r>
                </w:p>
              </w:tc>
              <w:tc>
                <w:tcPr>
                  <w:tcW w:w="1104" w:type="dxa"/>
                  <w:vAlign w:val="center"/>
                </w:tcPr>
                <w:p w14:paraId="1E6CBB9B">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燃烧烟尘及污染物污染周围大气环境</w:t>
                  </w:r>
                </w:p>
              </w:tc>
              <w:tc>
                <w:tcPr>
                  <w:tcW w:w="921" w:type="dxa"/>
                  <w:vAlign w:val="center"/>
                </w:tcPr>
                <w:p w14:paraId="7C4744FA">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CO</w:t>
                  </w:r>
                </w:p>
              </w:tc>
              <w:tc>
                <w:tcPr>
                  <w:tcW w:w="975" w:type="dxa"/>
                  <w:vAlign w:val="center"/>
                </w:tcPr>
                <w:p w14:paraId="7E4E77D8">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大气环境</w:t>
                  </w:r>
                </w:p>
              </w:tc>
              <w:tc>
                <w:tcPr>
                  <w:tcW w:w="1150" w:type="dxa"/>
                  <w:vAlign w:val="center"/>
                </w:tcPr>
                <w:p w14:paraId="21D4A54C">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通过燃烧烟气扩散，对周围大气环境造成短时污染</w:t>
                  </w:r>
                </w:p>
              </w:tc>
              <w:tc>
                <w:tcPr>
                  <w:tcW w:w="1075" w:type="dxa"/>
                  <w:vAlign w:val="center"/>
                </w:tcPr>
                <w:p w14:paraId="4263B2E2">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生产厂房</w:t>
                  </w:r>
                </w:p>
              </w:tc>
              <w:tc>
                <w:tcPr>
                  <w:tcW w:w="2240" w:type="dxa"/>
                  <w:vAlign w:val="center"/>
                </w:tcPr>
                <w:p w14:paraId="32581E36">
                  <w:pPr>
                    <w:keepNext w:val="0"/>
                    <w:keepLines w:val="0"/>
                    <w:widowControl/>
                    <w:suppressLineNumbers w:val="0"/>
                    <w:jc w:val="left"/>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落实防止火灾措施，在雨水管网的厂区出口处设置一个闸门，发生事故时及时关闭闸门，防止</w:t>
                  </w:r>
                  <w:r>
                    <w:rPr>
                      <w:rFonts w:hint="eastAsia" w:ascii="宋体" w:hAnsi="宋体" w:cs="宋体"/>
                      <w:color w:val="000000"/>
                      <w:kern w:val="0"/>
                      <w:sz w:val="21"/>
                      <w:szCs w:val="21"/>
                      <w:lang w:val="en-US" w:eastAsia="zh-CN" w:bidi="ar"/>
                    </w:rPr>
                    <w:t>泄漏液体</w:t>
                  </w:r>
                  <w:r>
                    <w:rPr>
                      <w:rFonts w:hint="eastAsia" w:ascii="宋体" w:hAnsi="宋体" w:eastAsia="宋体" w:cs="宋体"/>
                      <w:color w:val="000000"/>
                      <w:kern w:val="0"/>
                      <w:sz w:val="21"/>
                      <w:szCs w:val="21"/>
                      <w:lang w:val="en-US" w:eastAsia="zh-CN" w:bidi="ar"/>
                    </w:rPr>
                    <w:t>和消防废水流出车间，将其可能产生的环境影响控制在车间之内。</w:t>
                  </w:r>
                </w:p>
              </w:tc>
            </w:tr>
            <w:tr w14:paraId="2354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4" w:type="dxa"/>
                  <w:vAlign w:val="center"/>
                </w:tcPr>
                <w:p w14:paraId="7A569C1D">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废气治理设施事故排放</w:t>
                  </w:r>
                </w:p>
              </w:tc>
              <w:tc>
                <w:tcPr>
                  <w:tcW w:w="1104" w:type="dxa"/>
                  <w:vAlign w:val="center"/>
                </w:tcPr>
                <w:p w14:paraId="644820C9">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未经处理的废气直接排入大气中</w:t>
                  </w:r>
                </w:p>
              </w:tc>
              <w:tc>
                <w:tcPr>
                  <w:tcW w:w="921" w:type="dxa"/>
                  <w:vAlign w:val="center"/>
                </w:tcPr>
                <w:p w14:paraId="34ED203F">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颗粒物</w:t>
                  </w:r>
                </w:p>
              </w:tc>
              <w:tc>
                <w:tcPr>
                  <w:tcW w:w="975" w:type="dxa"/>
                  <w:vAlign w:val="center"/>
                </w:tcPr>
                <w:p w14:paraId="71ECE9F8">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大气环境</w:t>
                  </w:r>
                </w:p>
              </w:tc>
              <w:tc>
                <w:tcPr>
                  <w:tcW w:w="1150" w:type="dxa"/>
                  <w:vAlign w:val="center"/>
                </w:tcPr>
                <w:p w14:paraId="4A1AD013">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大气沉降对周围大气环境造成污染</w:t>
                  </w:r>
                </w:p>
              </w:tc>
              <w:tc>
                <w:tcPr>
                  <w:tcW w:w="1075" w:type="dxa"/>
                  <w:vAlign w:val="center"/>
                </w:tcPr>
                <w:p w14:paraId="65296B45">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废气治理设施</w:t>
                  </w:r>
                </w:p>
              </w:tc>
              <w:tc>
                <w:tcPr>
                  <w:tcW w:w="2240" w:type="dxa"/>
                  <w:vAlign w:val="center"/>
                </w:tcPr>
                <w:p w14:paraId="4DB84898">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加强检修，发生事故情况立即停止作业</w:t>
                  </w:r>
                </w:p>
              </w:tc>
            </w:tr>
            <w:tr w14:paraId="0316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4" w:type="dxa"/>
                  <w:vAlign w:val="center"/>
                </w:tcPr>
                <w:p w14:paraId="5EF28294">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危险废物</w:t>
                  </w: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泄漏</w:t>
                  </w:r>
                </w:p>
              </w:tc>
              <w:tc>
                <w:tcPr>
                  <w:tcW w:w="1104" w:type="dxa"/>
                  <w:vAlign w:val="center"/>
                </w:tcPr>
                <w:p w14:paraId="612A772E">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危险废物泄漏进入周边环境</w:t>
                  </w:r>
                </w:p>
              </w:tc>
              <w:tc>
                <w:tcPr>
                  <w:tcW w:w="921" w:type="dxa"/>
                  <w:vAlign w:val="center"/>
                </w:tcPr>
                <w:p w14:paraId="72AF274E">
                  <w:pPr>
                    <w:spacing w:before="0" w:line="240" w:lineRule="auto"/>
                    <w:ind w:firstLine="0"/>
                    <w:jc w:val="cente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石油类</w:t>
                  </w:r>
                </w:p>
              </w:tc>
              <w:tc>
                <w:tcPr>
                  <w:tcW w:w="975" w:type="dxa"/>
                  <w:vAlign w:val="center"/>
                </w:tcPr>
                <w:p w14:paraId="7AD36EAA">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地下水、土壤环境</w:t>
                  </w:r>
                </w:p>
              </w:tc>
              <w:tc>
                <w:tcPr>
                  <w:tcW w:w="1150" w:type="dxa"/>
                  <w:vAlign w:val="center"/>
                </w:tcPr>
                <w:p w14:paraId="5DA4EA08">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垂直入渗对周围地下水、土壤环境造成污染</w:t>
                  </w:r>
                </w:p>
              </w:tc>
              <w:tc>
                <w:tcPr>
                  <w:tcW w:w="1075" w:type="dxa"/>
                  <w:vAlign w:val="center"/>
                </w:tcPr>
                <w:p w14:paraId="53012A71">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snapToGrid/>
                      <w:color w:val="000000" w:themeColor="text1"/>
                      <w:spacing w:val="0"/>
                      <w:w w:val="100"/>
                      <w:kern w:val="0"/>
                      <w:position w:val="0"/>
                      <w:sz w:val="21"/>
                      <w:szCs w:val="21"/>
                      <w:lang w:val="en-US" w:eastAsia="zh-CN"/>
                      <w14:textFill>
                        <w14:solidFill>
                          <w14:schemeClr w14:val="tx1"/>
                        </w14:solidFill>
                      </w14:textFill>
                    </w:rPr>
                    <w:t>危废暂存间</w:t>
                  </w:r>
                </w:p>
              </w:tc>
              <w:tc>
                <w:tcPr>
                  <w:tcW w:w="2240" w:type="dxa"/>
                  <w:vAlign w:val="center"/>
                </w:tcPr>
                <w:p w14:paraId="474327C3">
                  <w:pPr>
                    <w:spacing w:before="0" w:line="240" w:lineRule="auto"/>
                    <w:ind w:firstLine="0"/>
                    <w:jc w:val="center"/>
                    <w:rPr>
                      <w:rFonts w:hint="default"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w w:val="100"/>
                      <w:kern w:val="0"/>
                      <w:position w:val="0"/>
                      <w:sz w:val="21"/>
                      <w:szCs w:val="21"/>
                      <w:lang w:val="en-US" w:eastAsia="zh-CN"/>
                      <w14:textFill>
                        <w14:solidFill>
                          <w14:schemeClr w14:val="tx1"/>
                        </w14:solidFill>
                      </w14:textFill>
                    </w:rPr>
                    <w:t>加强检修，发生事故情况立即停止作业</w:t>
                  </w:r>
                </w:p>
              </w:tc>
            </w:tr>
          </w:tbl>
          <w:p w14:paraId="7A69C5DC">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）环境风险分析</w:t>
            </w:r>
          </w:p>
          <w:p w14:paraId="76B3EFF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本项目环境风险主要为：</w:t>
            </w:r>
          </w:p>
          <w:p w14:paraId="7DE4FCD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cs="Times New Roman"/>
                <w:snapToGrid/>
                <w:color w:val="000000" w:themeColor="text1"/>
                <w:spacing w:val="0"/>
                <w:kern w:val="0"/>
                <w:position w:val="0"/>
                <w:sz w:val="24"/>
                <w:szCs w:val="24"/>
                <w:lang w:val="en-US" w:eastAsia="zh-CN"/>
                <w14:textFill>
                  <w14:solidFill>
                    <w14:schemeClr w14:val="tx1"/>
                  </w14:solidFill>
                </w14:textFill>
              </w:rPr>
              <w:t>油类物质</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引发的火灾爆炸风险；</w:t>
            </w:r>
          </w:p>
          <w:p w14:paraId="5A76A84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）危险废物泄漏污染周边地表水、地下水及土壤风险；</w:t>
            </w:r>
          </w:p>
          <w:p w14:paraId="74CE16F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）废气处理设施非正常工况导致废气影响周边环境空气的风险。</w:t>
            </w:r>
          </w:p>
          <w:p w14:paraId="5A485ED2">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）环境风险防范措施及应急要求</w:t>
            </w:r>
          </w:p>
          <w:p w14:paraId="1053D527">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）火灾事故次生污染防范措施</w:t>
            </w:r>
          </w:p>
          <w:p w14:paraId="0207AAA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在车间设置门槛或墁坡，</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本项目发生火灾基本采用灭火器进行灭火，消防废水产生量很小，可将消防废水导入到初期雨水池处理</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p>
          <w:p w14:paraId="00848D9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）废气处理设施事故防范措施</w:t>
            </w:r>
          </w:p>
          <w:p w14:paraId="07F64CB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①废气处理系统按相关的标准要求设计、施工和管理。对于放置在室外的处理设备，在设计过程选用耐腐蚀材料，并充分考虑设备运行过程的对抗击、抗</w:t>
            </w:r>
            <w:r>
              <w:rPr>
                <w:rFonts w:hint="eastAsia" w:cs="Times New Roman"/>
                <w:snapToGrid/>
                <w:color w:val="000000" w:themeColor="text1"/>
                <w:spacing w:val="0"/>
                <w:kern w:val="0"/>
                <w:position w:val="0"/>
                <w:sz w:val="24"/>
                <w:szCs w:val="24"/>
                <w:lang w:val="en-US" w:eastAsia="zh-CN"/>
                <w14:textFill>
                  <w14:solidFill>
                    <w14:schemeClr w14:val="tx1"/>
                  </w14:solidFill>
                </w14:textFill>
              </w:rPr>
              <w:t>振动</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等的要求。</w:t>
            </w:r>
          </w:p>
          <w:p w14:paraId="2B1B6F2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②对废气处理系统进行定期与不定期检查，及时维修或更换不良部件，建设单位制定完善的管理制度及相应的应急处理措施，保证废气处理系统发生故障时能及时</w:t>
            </w:r>
            <w:r>
              <w:rPr>
                <w:rFonts w:hint="eastAsia" w:cs="Times New Roman"/>
                <w:snapToGrid/>
                <w:color w:val="000000" w:themeColor="text1"/>
                <w:spacing w:val="0"/>
                <w:kern w:val="0"/>
                <w:position w:val="0"/>
                <w:sz w:val="24"/>
                <w:szCs w:val="24"/>
                <w:lang w:val="en-US" w:eastAsia="zh-CN"/>
                <w14:textFill>
                  <w14:solidFill>
                    <w14:schemeClr w14:val="tx1"/>
                  </w14:solidFill>
                </w14:textFill>
              </w:rPr>
              <w:t>作出</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反应及有效</w:t>
            </w:r>
            <w:r>
              <w:rPr>
                <w:rFonts w:hint="eastAsia" w:cs="Times New Roman"/>
                <w:snapToGrid/>
                <w:color w:val="000000" w:themeColor="text1"/>
                <w:spacing w:val="0"/>
                <w:kern w:val="0"/>
                <w:position w:val="0"/>
                <w:sz w:val="24"/>
                <w:szCs w:val="24"/>
                <w:lang w:val="en-US" w:eastAsia="zh-CN"/>
                <w14:textFill>
                  <w14:solidFill>
                    <w14:schemeClr w14:val="tx1"/>
                  </w14:solidFill>
                </w14:textFill>
              </w:rPr>
              <w:t>的</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应对。</w:t>
            </w:r>
          </w:p>
          <w:p w14:paraId="4082D72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）危废</w:t>
            </w:r>
            <w:r>
              <w:rPr>
                <w:rFonts w:hint="eastAsia" w:cs="Times New Roman"/>
                <w:snapToGrid/>
                <w:color w:val="000000" w:themeColor="text1"/>
                <w:spacing w:val="0"/>
                <w:kern w:val="0"/>
                <w:position w:val="0"/>
                <w:sz w:val="24"/>
                <w:szCs w:val="24"/>
                <w:lang w:val="en-US" w:eastAsia="zh-CN"/>
                <w14:textFill>
                  <w14:solidFill>
                    <w14:schemeClr w14:val="tx1"/>
                  </w14:solidFill>
                </w14:textFill>
              </w:rPr>
              <w:t>泄漏</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事故防范措施</w:t>
            </w:r>
          </w:p>
          <w:p w14:paraId="7DC3CF4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①项目危险物质定期更换后避免露天存放，需要使用密闭包装桶盛装。</w:t>
            </w:r>
          </w:p>
          <w:p w14:paraId="29D727A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②危险废物临时堆放场要做好防风、防雨、防晒，地面做好防腐、防渗透处理。</w:t>
            </w:r>
          </w:p>
          <w:p w14:paraId="68750CA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③堆放危险废物的高度应根据地面承载能力确定，不相容的危险废物不能堆放在一起</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p>
          <w:p w14:paraId="6FFEDB7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（6）分析结论</w:t>
            </w:r>
          </w:p>
          <w:p w14:paraId="02010F0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lang w:val="en-US" w:eastAsia="zh-CN"/>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建设单位将严格采取实施上述提出的要求措施后</w:t>
            </w:r>
            <w:r>
              <w:rPr>
                <w:rFonts w:hint="eastAsia"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可有效防止项目产生的污染物进入环境，有效降低了对周围环境存在的风险影响。并且通过上述措施，建设单位可将生物危害和毒性危害控制在可接受的范围内，不</w:t>
            </w:r>
            <w:r>
              <w:rPr>
                <w:rFonts w:hint="eastAsia" w:cs="Times New Roman"/>
                <w:snapToGrid/>
                <w:color w:val="000000" w:themeColor="text1"/>
                <w:spacing w:val="0"/>
                <w:kern w:val="0"/>
                <w:position w:val="0"/>
                <w:sz w:val="24"/>
                <w:szCs w:val="24"/>
                <w:lang w:val="en-US" w:eastAsia="zh-CN"/>
                <w14:textFill>
                  <w14:solidFill>
                    <w14:schemeClr w14:val="tx1"/>
                  </w14:solidFill>
                </w14:textFill>
              </w:rPr>
              <w:t>对</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 xml:space="preserve">人体、周围敏感点及水体、大气、土壤等造成明显危害。项目环境风险潜势为 </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I</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，控制措施有效，环境风险可防控。</w:t>
            </w:r>
          </w:p>
          <w:p w14:paraId="76ED4FE3">
            <w:pPr>
              <w:pStyle w:val="36"/>
              <w:jc w:val="center"/>
              <w:rPr>
                <w:rFonts w:ascii="Times New Roman" w:cs="Times New Roman"/>
                <w:b/>
                <w:bCs/>
                <w:snapToGrid/>
                <w:color w:val="000000" w:themeColor="text1"/>
                <w:spacing w:val="0"/>
                <w:kern w:val="0"/>
                <w:position w:val="0"/>
                <w:sz w:val="21"/>
                <w:szCs w:val="21"/>
                <w14:textFill>
                  <w14:solidFill>
                    <w14:schemeClr w14:val="tx1"/>
                  </w14:solidFill>
                </w14:textFill>
              </w:rPr>
            </w:pPr>
            <w:r>
              <w:rPr>
                <w:rFonts w:ascii="Times New Roman" w:cs="Times New Roman"/>
                <w:b/>
                <w:bCs/>
                <w:snapToGrid/>
                <w:color w:val="000000" w:themeColor="text1"/>
                <w:spacing w:val="0"/>
                <w:kern w:val="0"/>
                <w:position w:val="0"/>
                <w:sz w:val="21"/>
                <w:szCs w:val="21"/>
                <w14:textFill>
                  <w14:solidFill>
                    <w14:schemeClr w14:val="tx1"/>
                  </w14:solidFill>
                </w14:textFill>
              </w:rPr>
              <w:t>表</w:t>
            </w:r>
            <w:r>
              <w:rPr>
                <w:rFonts w:hint="eastAsia" w:ascii="Times New Roman" w:cs="Times New Roman"/>
                <w:b/>
                <w:bCs/>
                <w:snapToGrid/>
                <w:color w:val="000000" w:themeColor="text1"/>
                <w:spacing w:val="0"/>
                <w:kern w:val="0"/>
                <w:position w:val="0"/>
                <w:sz w:val="21"/>
                <w:szCs w:val="21"/>
                <w14:textFill>
                  <w14:solidFill>
                    <w14:schemeClr w14:val="tx1"/>
                  </w14:solidFill>
                </w14:textFill>
              </w:rPr>
              <w:t>4-</w:t>
            </w:r>
            <w:r>
              <w:rPr>
                <w:rFonts w:hint="eastAsia" w:ascii="Times New Roman" w:cs="Times New Roman"/>
                <w:b/>
                <w:bCs/>
                <w:snapToGrid/>
                <w:color w:val="000000" w:themeColor="text1"/>
                <w:spacing w:val="0"/>
                <w:kern w:val="0"/>
                <w:position w:val="0"/>
                <w:sz w:val="21"/>
                <w:szCs w:val="21"/>
                <w:lang w:val="en-US" w:eastAsia="zh-CN"/>
                <w14:textFill>
                  <w14:solidFill>
                    <w14:schemeClr w14:val="tx1"/>
                  </w14:solidFill>
                </w14:textFill>
              </w:rPr>
              <w:t>19</w:t>
            </w:r>
            <w:r>
              <w:rPr>
                <w:rFonts w:hint="eastAsia" w:ascii="Times New Roman" w:cs="Times New Roman"/>
                <w:b/>
                <w:bCs/>
                <w:snapToGrid/>
                <w:color w:val="000000" w:themeColor="text1"/>
                <w:spacing w:val="0"/>
                <w:kern w:val="0"/>
                <w:position w:val="0"/>
                <w:sz w:val="21"/>
                <w:szCs w:val="21"/>
                <w14:textFill>
                  <w14:solidFill>
                    <w14:schemeClr w14:val="tx1"/>
                  </w14:solidFill>
                </w14:textFill>
              </w:rPr>
              <w:t xml:space="preserve"> </w:t>
            </w:r>
            <w:r>
              <w:rPr>
                <w:rFonts w:ascii="Times New Roman" w:cs="Times New Roman"/>
                <w:b/>
                <w:bCs/>
                <w:snapToGrid/>
                <w:color w:val="000000" w:themeColor="text1"/>
                <w:spacing w:val="0"/>
                <w:kern w:val="0"/>
                <w:position w:val="0"/>
                <w:sz w:val="21"/>
                <w:szCs w:val="21"/>
                <w14:textFill>
                  <w14:solidFill>
                    <w14:schemeClr w14:val="tx1"/>
                  </w14:solidFill>
                </w14:textFill>
              </w:rPr>
              <w:t xml:space="preserve"> 建设项目环境风险简单分析内容表</w:t>
            </w:r>
          </w:p>
          <w:tbl>
            <w:tblPr>
              <w:tblStyle w:val="27"/>
              <w:tblW w:w="498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75"/>
              <w:gridCol w:w="1264"/>
              <w:gridCol w:w="1676"/>
              <w:gridCol w:w="1230"/>
              <w:gridCol w:w="1981"/>
            </w:tblGrid>
            <w:tr w14:paraId="57CA7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01032ABB">
                  <w:pPr>
                    <w:pStyle w:val="36"/>
                    <w:jc w:val="cente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建设项目名称</w:t>
                  </w:r>
                </w:p>
              </w:tc>
              <w:tc>
                <w:tcPr>
                  <w:tcW w:w="3738" w:type="pct"/>
                  <w:gridSpan w:val="4"/>
                  <w:tcBorders>
                    <w:tl2br w:val="nil"/>
                    <w:tr2bl w:val="nil"/>
                  </w:tcBorders>
                  <w:noWrap w:val="0"/>
                  <w:vAlign w:val="center"/>
                </w:tcPr>
                <w:p w14:paraId="02519F16">
                  <w:pPr>
                    <w:pStyle w:val="36"/>
                    <w:jc w:val="cente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14:textFill>
                        <w14:solidFill>
                          <w14:schemeClr w14:val="tx1"/>
                        </w14:solidFill>
                      </w14:textFill>
                    </w:rPr>
                    <w:t>宁都县城投混凝土有限公司年产60万立方商品混凝土搅拌站项目</w:t>
                  </w:r>
                </w:p>
              </w:tc>
            </w:tr>
            <w:tr w14:paraId="1491F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150A514A">
                  <w:pPr>
                    <w:pStyle w:val="36"/>
                    <w:jc w:val="center"/>
                    <w:rPr>
                      <w:rFonts w:ascii="Times New Roman" w:cs="Times New Roman"/>
                      <w:b/>
                      <w:bCs/>
                      <w:snapToGrid/>
                      <w:color w:val="000000" w:themeColor="text1"/>
                      <w:spacing w:val="0"/>
                      <w:kern w:val="0"/>
                      <w:position w:val="0"/>
                      <w:sz w:val="21"/>
                      <w:szCs w:val="21"/>
                      <w14:textFill>
                        <w14:solidFill>
                          <w14:schemeClr w14:val="tx1"/>
                        </w14:solidFill>
                      </w14:textFill>
                    </w:rPr>
                  </w:pPr>
                  <w:r>
                    <w:rPr>
                      <w:rFonts w:hint="eastAsia" w:ascii="Times New Roman" w:cs="Times New Roman"/>
                      <w:b/>
                      <w:bCs/>
                      <w:snapToGrid/>
                      <w:color w:val="000000" w:themeColor="text1"/>
                      <w:spacing w:val="0"/>
                      <w:kern w:val="0"/>
                      <w:position w:val="0"/>
                      <w:sz w:val="21"/>
                      <w:szCs w:val="21"/>
                      <w14:textFill>
                        <w14:solidFill>
                          <w14:schemeClr w14:val="tx1"/>
                        </w14:solidFill>
                      </w14:textFill>
                    </w:rPr>
                    <w:t>建设地点</w:t>
                  </w:r>
                </w:p>
              </w:tc>
              <w:tc>
                <w:tcPr>
                  <w:tcW w:w="3738" w:type="pct"/>
                  <w:gridSpan w:val="4"/>
                  <w:tcBorders>
                    <w:tl2br w:val="nil"/>
                    <w:tr2bl w:val="nil"/>
                  </w:tcBorders>
                  <w:noWrap w:val="0"/>
                  <w:vAlign w:val="center"/>
                </w:tcPr>
                <w:p w14:paraId="2705EE28">
                  <w:pPr>
                    <w:pStyle w:val="36"/>
                    <w:jc w:val="center"/>
                    <w:rPr>
                      <w:rFonts w:ascii="Times New Roman" w:cs="Times New Roman"/>
                      <w:snapToGrid/>
                      <w:color w:val="000000" w:themeColor="text1"/>
                      <w:spacing w:val="0"/>
                      <w:kern w:val="0"/>
                      <w:position w:val="0"/>
                      <w:sz w:val="21"/>
                      <w:szCs w:val="21"/>
                      <w14:textFill>
                        <w14:solidFill>
                          <w14:schemeClr w14:val="tx1"/>
                        </w14:solidFill>
                      </w14:textFill>
                    </w:rPr>
                  </w:pPr>
                  <w:r>
                    <w:rPr>
                      <w:rFonts w:hint="eastAsia" w:ascii="Times New Roman" w:cs="Times New Roman"/>
                      <w:snapToGrid/>
                      <w:color w:val="000000" w:themeColor="text1"/>
                      <w:spacing w:val="0"/>
                      <w:kern w:val="0"/>
                      <w:position w:val="0"/>
                      <w:sz w:val="21"/>
                      <w:szCs w:val="21"/>
                      <w:lang w:val="en-US" w:eastAsia="zh-CN"/>
                      <w14:textFill>
                        <w14:solidFill>
                          <w14:schemeClr w14:val="tx1"/>
                        </w14:solidFill>
                      </w14:textFill>
                    </w:rPr>
                    <w:t>江西省赣州市宁都县梅江镇土围村下枝坊组</w:t>
                  </w:r>
                </w:p>
              </w:tc>
            </w:tr>
            <w:tr w14:paraId="3D9A87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353CBCF7">
                  <w:pPr>
                    <w:pStyle w:val="36"/>
                    <w:jc w:val="center"/>
                    <w:rPr>
                      <w:rFonts w:ascii="Times New Roman" w:cs="Times New Roman"/>
                      <w:b/>
                      <w:bCs/>
                      <w:snapToGrid/>
                      <w:color w:val="000000" w:themeColor="text1"/>
                      <w:spacing w:val="0"/>
                      <w:kern w:val="0"/>
                      <w:position w:val="0"/>
                      <w:sz w:val="21"/>
                      <w:szCs w:val="21"/>
                      <w14:textFill>
                        <w14:solidFill>
                          <w14:schemeClr w14:val="tx1"/>
                        </w14:solidFill>
                      </w14:textFill>
                    </w:rPr>
                  </w:pPr>
                  <w:r>
                    <w:rPr>
                      <w:rFonts w:hint="eastAsia" w:ascii="Times New Roman" w:cs="Times New Roman"/>
                      <w:b/>
                      <w:bCs/>
                      <w:snapToGrid/>
                      <w:color w:val="000000" w:themeColor="text1"/>
                      <w:spacing w:val="0"/>
                      <w:kern w:val="0"/>
                      <w:position w:val="0"/>
                      <w:sz w:val="21"/>
                      <w:szCs w:val="21"/>
                      <w14:textFill>
                        <w14:solidFill>
                          <w14:schemeClr w14:val="tx1"/>
                        </w14:solidFill>
                      </w14:textFill>
                    </w:rPr>
                    <w:t>地理坐标</w:t>
                  </w:r>
                </w:p>
              </w:tc>
              <w:tc>
                <w:tcPr>
                  <w:tcW w:w="768" w:type="pct"/>
                  <w:tcBorders>
                    <w:tl2br w:val="nil"/>
                    <w:tr2bl w:val="nil"/>
                  </w:tcBorders>
                  <w:noWrap w:val="0"/>
                  <w:vAlign w:val="center"/>
                </w:tcPr>
                <w:p w14:paraId="3E46BCFB">
                  <w:pPr>
                    <w:pStyle w:val="36"/>
                    <w:jc w:val="center"/>
                    <w:rPr>
                      <w:rFonts w:hint="default" w:ascii="Times New Roman" w:hAnsi="Times New Roman"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14:textFill>
                        <w14:solidFill>
                          <w14:schemeClr w14:val="tx1"/>
                        </w14:solidFill>
                      </w14:textFill>
                    </w:rPr>
                    <w:t>经度</w:t>
                  </w:r>
                </w:p>
              </w:tc>
              <w:tc>
                <w:tcPr>
                  <w:tcW w:w="1018" w:type="pct"/>
                  <w:tcBorders>
                    <w:tl2br w:val="nil"/>
                    <w:tr2bl w:val="nil"/>
                  </w:tcBorders>
                  <w:noWrap w:val="0"/>
                  <w:vAlign w:val="center"/>
                </w:tcPr>
                <w:p w14:paraId="4979ED91">
                  <w:pPr>
                    <w:pStyle w:val="36"/>
                    <w:jc w:val="center"/>
                    <w:rPr>
                      <w:rFonts w:hint="default" w:ascii="Times New Roman" w:hAnsi="Times New Roman" w:eastAsia="宋体" w:cs="Times New Roman"/>
                      <w:snapToGrid/>
                      <w:color w:val="000000" w:themeColor="text1"/>
                      <w:spacing w:val="0"/>
                      <w:kern w:val="0"/>
                      <w:position w:val="0"/>
                      <w:sz w:val="21"/>
                      <w:szCs w:val="21"/>
                      <w:lang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u w:val="none"/>
                      <w:shd w:val="clear" w:color="auto" w:fill="auto"/>
                      <w:lang w:eastAsia="zh-CN"/>
                      <w14:textFill>
                        <w14:solidFill>
                          <w14:schemeClr w14:val="tx1"/>
                        </w14:solidFill>
                      </w14:textFill>
                    </w:rPr>
                    <w:t>115°59′2.044″</w:t>
                  </w:r>
                </w:p>
              </w:tc>
              <w:tc>
                <w:tcPr>
                  <w:tcW w:w="747" w:type="pct"/>
                  <w:tcBorders>
                    <w:tl2br w:val="nil"/>
                    <w:tr2bl w:val="nil"/>
                  </w:tcBorders>
                  <w:noWrap w:val="0"/>
                  <w:vAlign w:val="center"/>
                </w:tcPr>
                <w:p w14:paraId="529AD037">
                  <w:pPr>
                    <w:pStyle w:val="36"/>
                    <w:jc w:val="center"/>
                    <w:rPr>
                      <w:rFonts w:hint="default" w:ascii="Times New Roman" w:hAnsi="Times New Roman"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14:textFill>
                        <w14:solidFill>
                          <w14:schemeClr w14:val="tx1"/>
                        </w14:solidFill>
                      </w14:textFill>
                    </w:rPr>
                    <w:t>纬度</w:t>
                  </w:r>
                </w:p>
              </w:tc>
              <w:tc>
                <w:tcPr>
                  <w:tcW w:w="1204" w:type="pct"/>
                  <w:tcBorders>
                    <w:tl2br w:val="nil"/>
                    <w:tr2bl w:val="nil"/>
                  </w:tcBorders>
                  <w:noWrap w:val="0"/>
                  <w:vAlign w:val="center"/>
                </w:tcPr>
                <w:p w14:paraId="7142A686">
                  <w:pPr>
                    <w:pStyle w:val="36"/>
                    <w:jc w:val="center"/>
                    <w:rPr>
                      <w:rFonts w:hint="default" w:ascii="Times New Roman" w:hAnsi="Times New Roman" w:cs="Times New Roman"/>
                      <w:snapToGrid/>
                      <w:color w:val="000000" w:themeColor="text1"/>
                      <w:spacing w:val="0"/>
                      <w:kern w:val="0"/>
                      <w:position w:val="0"/>
                      <w:sz w:val="21"/>
                      <w:szCs w:val="21"/>
                      <w14:textFill>
                        <w14:solidFill>
                          <w14:schemeClr w14:val="tx1"/>
                        </w14:solidFill>
                      </w14:textFill>
                    </w:rPr>
                  </w:pPr>
                  <w:r>
                    <w:rPr>
                      <w:rFonts w:hint="default" w:ascii="Times New Roman" w:hAnsi="Times New Roman" w:cs="Times New Roman"/>
                      <w:snapToGrid/>
                      <w:color w:val="000000" w:themeColor="text1"/>
                      <w:spacing w:val="0"/>
                      <w:kern w:val="0"/>
                      <w:position w:val="0"/>
                      <w:sz w:val="21"/>
                      <w:szCs w:val="21"/>
                      <w:u w:val="none"/>
                      <w:shd w:val="clear" w:color="auto" w:fill="auto"/>
                      <w:lang w:val="en-US" w:eastAsia="zh-CN"/>
                      <w14:textFill>
                        <w14:solidFill>
                          <w14:schemeClr w14:val="tx1"/>
                        </w14:solidFill>
                      </w14:textFill>
                    </w:rPr>
                    <w:t>26°27′3.983″</w:t>
                  </w:r>
                </w:p>
              </w:tc>
            </w:tr>
            <w:tr w14:paraId="51BE33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576A0B59">
                  <w:pPr>
                    <w:pStyle w:val="36"/>
                    <w:jc w:val="center"/>
                    <w:rPr>
                      <w:rFonts w:hint="eastAsia" w:ascii="Times New Roman" w:cs="Times New Roman"/>
                      <w:b/>
                      <w:bCs/>
                      <w:snapToGrid/>
                      <w:color w:val="000000" w:themeColor="text1"/>
                      <w:spacing w:val="0"/>
                      <w:kern w:val="0"/>
                      <w:position w:val="0"/>
                      <w:sz w:val="21"/>
                      <w:szCs w:val="21"/>
                      <w14:textFill>
                        <w14:solidFill>
                          <w14:schemeClr w14:val="tx1"/>
                        </w14:solidFill>
                      </w14:textFill>
                    </w:rPr>
                  </w:pPr>
                  <w:r>
                    <w:rPr>
                      <w:rFonts w:hint="eastAsia" w:ascii="Times New Roman" w:cs="Times New Roman"/>
                      <w:b/>
                      <w:bCs/>
                      <w:snapToGrid/>
                      <w:color w:val="000000" w:themeColor="text1"/>
                      <w:spacing w:val="0"/>
                      <w:kern w:val="0"/>
                      <w:position w:val="0"/>
                      <w:sz w:val="21"/>
                      <w:szCs w:val="21"/>
                      <w14:textFill>
                        <w14:solidFill>
                          <w14:schemeClr w14:val="tx1"/>
                        </w14:solidFill>
                      </w14:textFill>
                    </w:rPr>
                    <w:t>主要危险物质及分布</w:t>
                  </w:r>
                </w:p>
              </w:tc>
              <w:tc>
                <w:tcPr>
                  <w:tcW w:w="3738" w:type="pct"/>
                  <w:gridSpan w:val="4"/>
                  <w:tcBorders>
                    <w:tl2br w:val="nil"/>
                    <w:tr2bl w:val="nil"/>
                  </w:tcBorders>
                  <w:noWrap w:val="0"/>
                  <w:vAlign w:val="center"/>
                </w:tcPr>
                <w:p w14:paraId="374A508D">
                  <w:pPr>
                    <w:keepNext w:val="0"/>
                    <w:keepLines w:val="0"/>
                    <w:widowControl/>
                    <w:suppressLineNumbers w:val="0"/>
                    <w:jc w:val="both"/>
                    <w:rPr>
                      <w:rFonts w:hint="eastAsia" w:ascii="Times New Roman" w:cs="Times New Roman"/>
                      <w:snapToGrid/>
                      <w:color w:val="000000" w:themeColor="text1"/>
                      <w:spacing w:val="0"/>
                      <w:kern w:val="0"/>
                      <w:position w:val="0"/>
                      <w:sz w:val="21"/>
                      <w:szCs w:val="21"/>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主要危险物质为</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废机油</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废机油</w:t>
                  </w: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主要分布在危废暂存间</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w:t>
                  </w:r>
                </w:p>
              </w:tc>
            </w:tr>
            <w:tr w14:paraId="297D8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44D4A029">
                  <w:pPr>
                    <w:pStyle w:val="36"/>
                    <w:jc w:val="center"/>
                    <w:rPr>
                      <w:rFonts w:hint="eastAsia" w:ascii="Times New Roman" w:cs="Times New Roman"/>
                      <w:b/>
                      <w:bCs/>
                      <w:snapToGrid/>
                      <w:color w:val="000000" w:themeColor="text1"/>
                      <w:spacing w:val="0"/>
                      <w:kern w:val="0"/>
                      <w:position w:val="0"/>
                      <w:sz w:val="21"/>
                      <w:szCs w:val="21"/>
                      <w14:textFill>
                        <w14:solidFill>
                          <w14:schemeClr w14:val="tx1"/>
                        </w14:solidFill>
                      </w14:textFill>
                    </w:rPr>
                  </w:pPr>
                  <w:r>
                    <w:rPr>
                      <w:rFonts w:hint="eastAsia" w:ascii="Times New Roman" w:cs="Times New Roman"/>
                      <w:b/>
                      <w:bCs/>
                      <w:snapToGrid/>
                      <w:color w:val="000000" w:themeColor="text1"/>
                      <w:spacing w:val="0"/>
                      <w:kern w:val="0"/>
                      <w:position w:val="0"/>
                      <w:sz w:val="21"/>
                      <w:szCs w:val="21"/>
                      <w14:textFill>
                        <w14:solidFill>
                          <w14:schemeClr w14:val="tx1"/>
                        </w14:solidFill>
                      </w14:textFill>
                    </w:rPr>
                    <w:t>环境影响途径及危害后果</w:t>
                  </w:r>
                </w:p>
              </w:tc>
              <w:tc>
                <w:tcPr>
                  <w:tcW w:w="3738" w:type="pct"/>
                  <w:gridSpan w:val="4"/>
                  <w:tcBorders>
                    <w:tl2br w:val="nil"/>
                    <w:tr2bl w:val="nil"/>
                  </w:tcBorders>
                  <w:noWrap w:val="0"/>
                  <w:vAlign w:val="center"/>
                </w:tcPr>
                <w:p w14:paraId="52B091B9">
                  <w:pPr>
                    <w:jc w:val="both"/>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影响途径：泄漏、遇高温或明火燃烧。</w:t>
                  </w:r>
                </w:p>
                <w:p w14:paraId="5C6E8C77">
                  <w:pPr>
                    <w:jc w:val="both"/>
                    <w:rPr>
                      <w:rFonts w:hint="default" w:ascii="Times New Roman" w:eastAsia="宋体" w:cs="Times New Roman"/>
                      <w:snapToGrid/>
                      <w:color w:val="000000" w:themeColor="text1"/>
                      <w:spacing w:val="0"/>
                      <w:kern w:val="0"/>
                      <w:position w:val="0"/>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危害后果：泄漏后可能进入周围土壤、地表水和地下水，遇高温或明火燃烧发生火灾。</w:t>
                  </w:r>
                </w:p>
              </w:tc>
            </w:tr>
            <w:tr w14:paraId="31032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1" w:type="pct"/>
                  <w:tcBorders>
                    <w:tl2br w:val="nil"/>
                    <w:tr2bl w:val="nil"/>
                  </w:tcBorders>
                  <w:noWrap w:val="0"/>
                  <w:vAlign w:val="center"/>
                </w:tcPr>
                <w:p w14:paraId="605033B6">
                  <w:pPr>
                    <w:pStyle w:val="36"/>
                    <w:jc w:val="center"/>
                    <w:rPr>
                      <w:rFonts w:hint="eastAsia" w:ascii="Times New Roman" w:cs="Times New Roman"/>
                      <w:b/>
                      <w:bCs/>
                      <w:snapToGrid/>
                      <w:color w:val="000000" w:themeColor="text1"/>
                      <w:spacing w:val="0"/>
                      <w:kern w:val="0"/>
                      <w:position w:val="0"/>
                      <w:sz w:val="21"/>
                      <w:szCs w:val="21"/>
                      <w14:textFill>
                        <w14:solidFill>
                          <w14:schemeClr w14:val="tx1"/>
                        </w14:solidFill>
                      </w14:textFill>
                    </w:rPr>
                  </w:pPr>
                  <w:r>
                    <w:rPr>
                      <w:rFonts w:hint="eastAsia" w:ascii="Times New Roman" w:cs="Times New Roman"/>
                      <w:b/>
                      <w:bCs/>
                      <w:snapToGrid/>
                      <w:color w:val="000000" w:themeColor="text1"/>
                      <w:spacing w:val="0"/>
                      <w:kern w:val="0"/>
                      <w:position w:val="0"/>
                      <w:sz w:val="21"/>
                      <w:szCs w:val="21"/>
                      <w14:textFill>
                        <w14:solidFill>
                          <w14:schemeClr w14:val="tx1"/>
                        </w14:solidFill>
                      </w14:textFill>
                    </w:rPr>
                    <w:t>风险防范措施要求</w:t>
                  </w:r>
                </w:p>
              </w:tc>
              <w:tc>
                <w:tcPr>
                  <w:tcW w:w="3738" w:type="pct"/>
                  <w:gridSpan w:val="4"/>
                  <w:tcBorders>
                    <w:tl2br w:val="nil"/>
                    <w:tr2bl w:val="nil"/>
                  </w:tcBorders>
                  <w:noWrap w:val="0"/>
                  <w:vAlign w:val="center"/>
                </w:tcPr>
                <w:p w14:paraId="2A362E78">
                  <w:pPr>
                    <w:jc w:val="both"/>
                    <w:rPr>
                      <w:rFonts w:hint="default"/>
                      <w:lang w:val="en-US"/>
                    </w:rPr>
                  </w:pPr>
                  <w:r>
                    <w:rPr>
                      <w:rFonts w:hint="eastAsia" w:ascii="Times New Roman" w:hAnsi="Times New Roman" w:eastAsia="宋体" w:cs="Times New Roman"/>
                      <w:snapToGrid/>
                      <w:color w:val="000000" w:themeColor="text1"/>
                      <w:spacing w:val="0"/>
                      <w:kern w:val="0"/>
                      <w:position w:val="0"/>
                      <w:sz w:val="21"/>
                      <w:szCs w:val="21"/>
                      <w:lang w:val="en-US" w:eastAsia="zh-CN" w:bidi="ar-SA"/>
                      <w14:textFill>
                        <w14:solidFill>
                          <w14:schemeClr w14:val="tx1"/>
                        </w14:solidFill>
                      </w14:textFill>
                    </w:rPr>
                    <w:t>危险废物暂存间风险防范措施：本项目运营过程会产生危险废物。建设单位制定严格的管理制度，对危险固废在产生、分类、储存等进行管理。危险废物暂存间地面应做好防渗漏措施；危险废物分类妥善收集后，按照相关操作规范储存、处理。所有危险固废均委托给具有处理资质的单位进行处置。对明火严格控制，明火发生源为火柴、打火机等，维修用火控制，对设备维修检查，需进行维修焊接，应经安全部门确认、准许，并有记录在案</w:t>
                  </w:r>
                  <w:r>
                    <w:rPr>
                      <w:rFonts w:hint="eastAsia" w:cs="Times New Roman"/>
                      <w:snapToGrid/>
                      <w:color w:val="000000" w:themeColor="text1"/>
                      <w:spacing w:val="0"/>
                      <w:kern w:val="0"/>
                      <w:position w:val="0"/>
                      <w:sz w:val="21"/>
                      <w:szCs w:val="21"/>
                      <w:lang w:val="en-US" w:eastAsia="zh-CN" w:bidi="ar-SA"/>
                      <w14:textFill>
                        <w14:solidFill>
                          <w14:schemeClr w14:val="tx1"/>
                        </w14:solidFill>
                      </w14:textFill>
                    </w:rPr>
                    <w:t>。</w:t>
                  </w:r>
                </w:p>
              </w:tc>
            </w:tr>
          </w:tbl>
          <w:p w14:paraId="023725D3">
            <w:pPr>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2" w:firstLineChars="200"/>
              <w:textAlignment w:val="auto"/>
              <w:rPr>
                <w:rFonts w:hint="eastAsia"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snapToGrid/>
                <w:color w:val="000000" w:themeColor="text1"/>
                <w:spacing w:val="0"/>
                <w:kern w:val="0"/>
                <w:position w:val="0"/>
                <w:sz w:val="24"/>
                <w:szCs w:val="24"/>
                <w:lang w:val="en-US" w:eastAsia="zh-CN"/>
                <w14:textFill>
                  <w14:solidFill>
                    <w14:schemeClr w14:val="tx1"/>
                  </w14:solidFill>
                </w14:textFill>
              </w:rPr>
              <w:t>8</w:t>
            </w:r>
            <w:r>
              <w:rPr>
                <w:rFonts w:hint="eastAsia" w:eastAsia="宋体" w:cs="Times New Roman"/>
                <w:b/>
                <w:bCs/>
                <w:snapToGrid/>
                <w:color w:val="000000" w:themeColor="text1"/>
                <w:spacing w:val="0"/>
                <w:kern w:val="0"/>
                <w:position w:val="0"/>
                <w:sz w:val="24"/>
                <w:szCs w:val="24"/>
                <w:lang w:val="en-US" w:eastAsia="zh-CN"/>
                <w14:textFill>
                  <w14:solidFill>
                    <w14:schemeClr w14:val="tx1"/>
                  </w14:solidFill>
                </w14:textFill>
              </w:rPr>
              <w:t>、电磁辐射</w:t>
            </w:r>
          </w:p>
          <w:p w14:paraId="3B72FC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本项目不涉及</w:t>
            </w:r>
            <w:r>
              <w:rPr>
                <w:rFonts w:hint="eastAsia" w:cs="Times New Roman"/>
                <w:snapToGrid/>
                <w:color w:val="000000" w:themeColor="text1"/>
                <w:spacing w:val="0"/>
                <w:kern w:val="0"/>
                <w:position w:val="0"/>
                <w:sz w:val="24"/>
                <w:szCs w:val="24"/>
                <w:lang w:eastAsia="zh-CN"/>
                <w14:textFill>
                  <w14:solidFill>
                    <w14:schemeClr w14:val="tx1"/>
                  </w14:solidFill>
                </w14:textFill>
              </w:rPr>
              <w:t>电磁辐射</w:t>
            </w:r>
            <w:r>
              <w:rPr>
                <w:rFonts w:hint="eastAsia" w:eastAsia="宋体" w:cs="Times New Roman"/>
                <w:snapToGrid/>
                <w:color w:val="000000" w:themeColor="text1"/>
                <w:spacing w:val="0"/>
                <w:kern w:val="0"/>
                <w:position w:val="0"/>
                <w:sz w:val="24"/>
                <w:szCs w:val="24"/>
                <w:lang w:eastAsia="zh-CN"/>
                <w14:textFill>
                  <w14:solidFill>
                    <w14:schemeClr w14:val="tx1"/>
                  </w14:solidFill>
                </w14:textFill>
              </w:rPr>
              <w:t>。</w:t>
            </w:r>
          </w:p>
          <w:p w14:paraId="07ACF84F">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eastAsia="宋体" w:cs="Times New Roman"/>
                <w:b/>
                <w:bCs/>
                <w:snapToGrid/>
                <w:color w:val="000000" w:themeColor="text1"/>
                <w:spacing w:val="0"/>
                <w:kern w:val="0"/>
                <w:position w:val="0"/>
                <w:sz w:val="24"/>
                <w:szCs w:val="24"/>
                <w:lang w:val="en-US" w:eastAsia="zh-CN"/>
                <w14:textFill>
                  <w14:solidFill>
                    <w14:schemeClr w14:val="tx1"/>
                  </w14:solidFill>
                </w14:textFill>
              </w:rPr>
            </w:pPr>
            <w:r>
              <w:rPr>
                <w:rFonts w:hint="eastAsia" w:cs="Times New Roman"/>
                <w:b/>
                <w:bCs/>
                <w:snapToGrid/>
                <w:color w:val="000000" w:themeColor="text1"/>
                <w:spacing w:val="0"/>
                <w:kern w:val="0"/>
                <w:position w:val="0"/>
                <w:sz w:val="24"/>
                <w:szCs w:val="24"/>
                <w:lang w:val="en-US" w:eastAsia="zh-CN"/>
                <w14:textFill>
                  <w14:solidFill>
                    <w14:schemeClr w14:val="tx1"/>
                  </w14:solidFill>
                </w14:textFill>
              </w:rPr>
              <w:t>9</w:t>
            </w:r>
            <w:r>
              <w:rPr>
                <w:rFonts w:hint="eastAsia" w:eastAsia="宋体" w:cs="Times New Roman"/>
                <w:b/>
                <w:bCs/>
                <w:snapToGrid/>
                <w:color w:val="000000" w:themeColor="text1"/>
                <w:spacing w:val="0"/>
                <w:kern w:val="0"/>
                <w:position w:val="0"/>
                <w:sz w:val="24"/>
                <w:szCs w:val="24"/>
                <w:lang w:val="en-US" w:eastAsia="zh-CN"/>
                <w14:textFill>
                  <w14:solidFill>
                    <w14:schemeClr w14:val="tx1"/>
                  </w14:solidFill>
                </w14:textFill>
              </w:rPr>
              <w:t>、</w:t>
            </w:r>
            <w:r>
              <w:rPr>
                <w:rFonts w:hint="eastAsia"/>
                <w:b/>
                <w:bCs/>
                <w:snapToGrid/>
                <w:color w:val="000000" w:themeColor="text1"/>
                <w:spacing w:val="0"/>
                <w:kern w:val="0"/>
                <w:position w:val="0"/>
                <w:sz w:val="24"/>
                <w:lang w:val="en-US" w:eastAsia="zh-CN"/>
                <w14:textFill>
                  <w14:solidFill>
                    <w14:schemeClr w14:val="tx1"/>
                  </w14:solidFill>
                </w14:textFill>
              </w:rPr>
              <w:t>验收清单及环保投资</w:t>
            </w:r>
          </w:p>
          <w:p w14:paraId="1A6E75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snapToGrid/>
                <w:color w:val="000000" w:themeColor="text1"/>
                <w:spacing w:val="0"/>
                <w:kern w:val="0"/>
                <w:position w:val="0"/>
                <w:sz w:val="21"/>
                <w:szCs w:val="21"/>
                <w:lang w:val="en-US" w:eastAsia="zh-CN"/>
                <w14:textFill>
                  <w14:solidFill>
                    <w14:schemeClr w14:val="tx1"/>
                  </w14:solidFill>
                </w14:textFill>
              </w:rPr>
            </w:pPr>
            <w:r>
              <w:rPr>
                <w:b/>
                <w:snapToGrid/>
                <w:color w:val="000000" w:themeColor="text1"/>
                <w:spacing w:val="0"/>
                <w:kern w:val="0"/>
                <w:position w:val="0"/>
                <w:sz w:val="21"/>
                <w:szCs w:val="21"/>
                <w14:textFill>
                  <w14:solidFill>
                    <w14:schemeClr w14:val="tx1"/>
                  </w14:solidFill>
                </w14:textFill>
              </w:rPr>
              <w:t>表4-</w:t>
            </w:r>
            <w:r>
              <w:rPr>
                <w:rFonts w:hint="eastAsia"/>
                <w:b/>
                <w:snapToGrid/>
                <w:color w:val="000000" w:themeColor="text1"/>
                <w:spacing w:val="0"/>
                <w:kern w:val="0"/>
                <w:position w:val="0"/>
                <w:sz w:val="21"/>
                <w:szCs w:val="21"/>
                <w:lang w:val="en-US" w:eastAsia="zh-CN"/>
                <w14:textFill>
                  <w14:solidFill>
                    <w14:schemeClr w14:val="tx1"/>
                  </w14:solidFill>
                </w14:textFill>
              </w:rPr>
              <w:t>20</w:t>
            </w:r>
            <w:r>
              <w:rPr>
                <w:b/>
                <w:snapToGrid/>
                <w:color w:val="000000" w:themeColor="text1"/>
                <w:spacing w:val="0"/>
                <w:kern w:val="0"/>
                <w:position w:val="0"/>
                <w:sz w:val="21"/>
                <w:szCs w:val="21"/>
                <w14:textFill>
                  <w14:solidFill>
                    <w14:schemeClr w14:val="tx1"/>
                  </w14:solidFill>
                </w14:textFill>
              </w:rPr>
              <w:t xml:space="preserve">  环保</w:t>
            </w:r>
            <w:r>
              <w:rPr>
                <w:rFonts w:hint="eastAsia"/>
                <w:b/>
                <w:snapToGrid/>
                <w:color w:val="000000" w:themeColor="text1"/>
                <w:spacing w:val="0"/>
                <w:kern w:val="0"/>
                <w:position w:val="0"/>
                <w:sz w:val="21"/>
                <w:szCs w:val="21"/>
                <w:lang w:val="en-US" w:eastAsia="zh-CN"/>
                <w14:textFill>
                  <w14:solidFill>
                    <w14:schemeClr w14:val="tx1"/>
                  </w14:solidFill>
                </w14:textFill>
              </w:rPr>
              <w:t>投资一览表</w:t>
            </w:r>
          </w:p>
          <w:tbl>
            <w:tblPr>
              <w:tblStyle w:val="27"/>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63"/>
              <w:gridCol w:w="1593"/>
              <w:gridCol w:w="3754"/>
              <w:gridCol w:w="1428"/>
            </w:tblGrid>
            <w:tr w14:paraId="3B7B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5C6A8488">
                  <w:pPr>
                    <w:pStyle w:val="102"/>
                    <w:keepNext w:val="0"/>
                    <w:pageBreakBefore w:val="0"/>
                    <w:kinsoku/>
                    <w:wordWrap/>
                    <w:overflowPunct/>
                    <w:topLinePunct w:val="0"/>
                    <w:autoSpaceDE/>
                    <w:autoSpaceDN/>
                    <w:bidi w:val="0"/>
                    <w:adjustRightInd/>
                    <w:snapToGrid/>
                    <w:contextualSpacing/>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432" w:type="pct"/>
                  <w:gridSpan w:val="2"/>
                  <w:tcBorders>
                    <w:tl2br w:val="nil"/>
                    <w:tr2bl w:val="nil"/>
                  </w:tcBorders>
                  <w:vAlign w:val="center"/>
                </w:tcPr>
                <w:p w14:paraId="1F4ECC44">
                  <w:pPr>
                    <w:pStyle w:val="102"/>
                    <w:keepNext w:val="0"/>
                    <w:pageBreakBefore w:val="0"/>
                    <w:kinsoku/>
                    <w:wordWrap/>
                    <w:overflowPunct/>
                    <w:topLinePunct w:val="0"/>
                    <w:autoSpaceDE/>
                    <w:autoSpaceDN/>
                    <w:bidi w:val="0"/>
                    <w:adjustRightInd/>
                    <w:snapToGrid/>
                    <w:contextualSpacing/>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w:t>
                  </w:r>
                </w:p>
              </w:tc>
              <w:tc>
                <w:tcPr>
                  <w:tcW w:w="2282" w:type="pct"/>
                  <w:tcBorders>
                    <w:tl2br w:val="nil"/>
                    <w:tr2bl w:val="nil"/>
                  </w:tcBorders>
                  <w:vAlign w:val="center"/>
                </w:tcPr>
                <w:p w14:paraId="329F76DF">
                  <w:pPr>
                    <w:pStyle w:val="102"/>
                    <w:keepNext w:val="0"/>
                    <w:pageBreakBefore w:val="0"/>
                    <w:kinsoku/>
                    <w:wordWrap/>
                    <w:overflowPunct/>
                    <w:topLinePunct w:val="0"/>
                    <w:autoSpaceDE/>
                    <w:autoSpaceDN/>
                    <w:bidi w:val="0"/>
                    <w:adjustRightInd/>
                    <w:snapToGrid/>
                    <w:contextualSpacing/>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污染防治措施</w:t>
                  </w:r>
                </w:p>
              </w:tc>
              <w:tc>
                <w:tcPr>
                  <w:tcW w:w="868" w:type="pct"/>
                  <w:tcBorders>
                    <w:tl2br w:val="nil"/>
                    <w:tr2bl w:val="nil"/>
                  </w:tcBorders>
                  <w:vAlign w:val="center"/>
                </w:tcPr>
                <w:p w14:paraId="3B6A8415">
                  <w:pPr>
                    <w:pStyle w:val="102"/>
                    <w:keepNext w:val="0"/>
                    <w:pageBreakBefore w:val="0"/>
                    <w:kinsoku/>
                    <w:wordWrap/>
                    <w:overflowPunct/>
                    <w:topLinePunct w:val="0"/>
                    <w:autoSpaceDE/>
                    <w:autoSpaceDN/>
                    <w:bidi w:val="0"/>
                    <w:adjustRightInd/>
                    <w:snapToGrid/>
                    <w:contextualSpacing/>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投资金额</w:t>
                  </w:r>
                </w:p>
                <w:p w14:paraId="5D8B5E9C">
                  <w:pPr>
                    <w:pStyle w:val="102"/>
                    <w:keepNext w:val="0"/>
                    <w:pageBreakBefore w:val="0"/>
                    <w:kinsoku/>
                    <w:wordWrap/>
                    <w:overflowPunct/>
                    <w:topLinePunct w:val="0"/>
                    <w:autoSpaceDE/>
                    <w:autoSpaceDN/>
                    <w:bidi w:val="0"/>
                    <w:adjustRightInd/>
                    <w:snapToGrid/>
                    <w:contextualSpacing/>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（万元）</w:t>
                  </w:r>
                </w:p>
              </w:tc>
            </w:tr>
            <w:tr w14:paraId="3429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0288B13E">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463" w:type="pct"/>
                  <w:vMerge w:val="restart"/>
                  <w:tcBorders>
                    <w:tl2br w:val="nil"/>
                    <w:tr2bl w:val="nil"/>
                  </w:tcBorders>
                  <w:vAlign w:val="center"/>
                </w:tcPr>
                <w:p w14:paraId="400FEDEA">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废气</w:t>
                  </w:r>
                </w:p>
              </w:tc>
              <w:tc>
                <w:tcPr>
                  <w:tcW w:w="968" w:type="pct"/>
                  <w:tcBorders>
                    <w:tl2br w:val="nil"/>
                    <w:tr2bl w:val="nil"/>
                  </w:tcBorders>
                  <w:vAlign w:val="center"/>
                </w:tcPr>
                <w:p w14:paraId="7DDB14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原料堆场粉尘</w:t>
                  </w:r>
                </w:p>
              </w:tc>
              <w:tc>
                <w:tcPr>
                  <w:tcW w:w="2282" w:type="pct"/>
                  <w:tcBorders>
                    <w:tl2br w:val="nil"/>
                    <w:tr2bl w:val="nil"/>
                  </w:tcBorders>
                  <w:vAlign w:val="center"/>
                </w:tcPr>
                <w:p w14:paraId="5FD9A945">
                  <w:pPr>
                    <w:keepNext w:val="0"/>
                    <w:keepLines w:val="0"/>
                    <w:pageBreakBefore w:val="0"/>
                    <w:widowControl/>
                    <w:suppressLineNumbers w:val="0"/>
                    <w:kinsoku/>
                    <w:wordWrap/>
                    <w:overflowPunct/>
                    <w:topLinePunct w:val="0"/>
                    <w:autoSpaceDE/>
                    <w:autoSpaceDN/>
                    <w:bidi w:val="0"/>
                    <w:adjustRightInd/>
                    <w:snapToGrid/>
                    <w:jc w:val="both"/>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地面进行硬化处理，来往运输车辆用篷布覆盖，原料堆场位于厂房内，仅留车辆进出口通道，堆料区、下料区和进出口通道安装喷雾装置进行喷淋作业。</w:t>
                  </w:r>
                </w:p>
              </w:tc>
              <w:tc>
                <w:tcPr>
                  <w:tcW w:w="868" w:type="pct"/>
                  <w:tcBorders>
                    <w:tl2br w:val="nil"/>
                    <w:tr2bl w:val="nil"/>
                  </w:tcBorders>
                  <w:vAlign w:val="center"/>
                </w:tcPr>
                <w:p w14:paraId="4753A111">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w:t>
                  </w:r>
                </w:p>
              </w:tc>
            </w:tr>
            <w:tr w14:paraId="1218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71C69B5C">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463" w:type="pct"/>
                  <w:vMerge w:val="continue"/>
                  <w:tcBorders>
                    <w:tl2br w:val="nil"/>
                    <w:tr2bl w:val="nil"/>
                  </w:tcBorders>
                  <w:vAlign w:val="center"/>
                </w:tcPr>
                <w:p w14:paraId="75036BA1">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1FBEFC05">
                  <w:pPr>
                    <w:keepNext w:val="0"/>
                    <w:keepLines w:val="0"/>
                    <w:pageBreakBefore w:val="0"/>
                    <w:widowControl/>
                    <w:suppressLineNumbers w:val="0"/>
                    <w:kinsoku/>
                    <w:wordWrap/>
                    <w:overflowPunct/>
                    <w:topLinePunct w:val="0"/>
                    <w:autoSpaceDE/>
                    <w:autoSpaceDN/>
                    <w:bidi w:val="0"/>
                    <w:adjustRightInd/>
                    <w:snapToGrid/>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筒仓进料粉尘</w:t>
                  </w:r>
                </w:p>
              </w:tc>
              <w:tc>
                <w:tcPr>
                  <w:tcW w:w="2282" w:type="pct"/>
                  <w:tcBorders>
                    <w:tl2br w:val="nil"/>
                    <w:tr2bl w:val="nil"/>
                  </w:tcBorders>
                  <w:vAlign w:val="center"/>
                </w:tcPr>
                <w:p w14:paraId="3E89D899">
                  <w:pPr>
                    <w:keepNext w:val="0"/>
                    <w:keepLines w:val="0"/>
                    <w:pageBreakBefore w:val="0"/>
                    <w:widowControl/>
                    <w:suppressLineNumbers w:val="0"/>
                    <w:kinsoku/>
                    <w:wordWrap/>
                    <w:overflowPunct/>
                    <w:topLinePunct w:val="0"/>
                    <w:autoSpaceDE/>
                    <w:autoSpaceDN/>
                    <w:bidi w:val="0"/>
                    <w:adjustRightInd/>
                    <w:snapToGrid/>
                    <w:jc w:val="both"/>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筒仓顶部均设置脉冲式布袋除尘器，筒仓进料粉尘经脉冲式布袋除尘器收集处理后在厂房中自然沉降，以无组织方式排放。</w:t>
                  </w:r>
                </w:p>
              </w:tc>
              <w:tc>
                <w:tcPr>
                  <w:tcW w:w="868" w:type="pct"/>
                  <w:tcBorders>
                    <w:tl2br w:val="nil"/>
                    <w:tr2bl w:val="nil"/>
                  </w:tcBorders>
                  <w:vAlign w:val="center"/>
                </w:tcPr>
                <w:p w14:paraId="21996966">
                  <w:pPr>
                    <w:pStyle w:val="102"/>
                    <w:keepNext w:val="0"/>
                    <w:pageBreakBefore w:val="0"/>
                    <w:kinsoku/>
                    <w:wordWrap/>
                    <w:overflowPunct/>
                    <w:topLinePunct w:val="0"/>
                    <w:autoSpaceDE/>
                    <w:autoSpaceDN/>
                    <w:bidi w:val="0"/>
                    <w:adjustRightInd/>
                    <w:snapToGrid/>
                    <w:contextualSpacing/>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38</w:t>
                  </w:r>
                </w:p>
              </w:tc>
            </w:tr>
            <w:tr w14:paraId="7D31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1B260181">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w:t>
                  </w:r>
                </w:p>
              </w:tc>
              <w:tc>
                <w:tcPr>
                  <w:tcW w:w="463" w:type="pct"/>
                  <w:vMerge w:val="continue"/>
                  <w:tcBorders>
                    <w:tl2br w:val="nil"/>
                    <w:tr2bl w:val="nil"/>
                  </w:tcBorders>
                  <w:vAlign w:val="center"/>
                </w:tcPr>
                <w:p w14:paraId="775ECCDC">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103CEF9F">
                  <w:pPr>
                    <w:keepNext w:val="0"/>
                    <w:keepLines w:val="0"/>
                    <w:pageBreakBefore w:val="0"/>
                    <w:widowControl/>
                    <w:suppressLineNumbers w:val="0"/>
                    <w:kinsoku/>
                    <w:wordWrap/>
                    <w:overflowPunct/>
                    <w:topLinePunct w:val="0"/>
                    <w:autoSpaceDE/>
                    <w:autoSpaceDN/>
                    <w:bidi w:val="0"/>
                    <w:adjustRightInd/>
                    <w:snapToGrid/>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搅拌粉尘</w:t>
                  </w:r>
                </w:p>
              </w:tc>
              <w:tc>
                <w:tcPr>
                  <w:tcW w:w="2282" w:type="pct"/>
                  <w:tcBorders>
                    <w:tl2br w:val="nil"/>
                    <w:tr2bl w:val="nil"/>
                  </w:tcBorders>
                  <w:vAlign w:val="center"/>
                </w:tcPr>
                <w:p w14:paraId="45ECAE9F">
                  <w:pPr>
                    <w:keepNext w:val="0"/>
                    <w:keepLines w:val="0"/>
                    <w:pageBreakBefore w:val="0"/>
                    <w:widowControl/>
                    <w:suppressLineNumbers w:val="0"/>
                    <w:kinsoku/>
                    <w:wordWrap/>
                    <w:overflowPunct/>
                    <w:topLinePunct w:val="0"/>
                    <w:autoSpaceDE/>
                    <w:autoSpaceDN/>
                    <w:bidi w:val="0"/>
                    <w:adjustRightInd/>
                    <w:snapToGrid/>
                    <w:jc w:val="both"/>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机顶部设置布袋除尘器。产生的粉尘经脉冲式布袋除尘器处理后，在厂房内无组织排放。同时，厂房内设置喷雾装置控制皮带输送时产生的原料输送扬尘。在下料斗设置三面围挡，顶部设置喷雾装置进行降尘。</w:t>
                  </w:r>
                </w:p>
              </w:tc>
              <w:tc>
                <w:tcPr>
                  <w:tcW w:w="868" w:type="pct"/>
                  <w:tcBorders>
                    <w:tl2br w:val="nil"/>
                    <w:tr2bl w:val="nil"/>
                  </w:tcBorders>
                  <w:vAlign w:val="center"/>
                </w:tcPr>
                <w:p w14:paraId="092928F9">
                  <w:pPr>
                    <w:pStyle w:val="102"/>
                    <w:keepNext w:val="0"/>
                    <w:pageBreakBefore w:val="0"/>
                    <w:kinsoku/>
                    <w:wordWrap/>
                    <w:overflowPunct/>
                    <w:topLinePunct w:val="0"/>
                    <w:autoSpaceDE/>
                    <w:autoSpaceDN/>
                    <w:bidi w:val="0"/>
                    <w:adjustRightInd/>
                    <w:snapToGrid/>
                    <w:contextualSpacing/>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w:t>
                  </w:r>
                </w:p>
              </w:tc>
            </w:tr>
            <w:tr w14:paraId="7FCD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2D1532E5">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w:t>
                  </w:r>
                </w:p>
              </w:tc>
              <w:tc>
                <w:tcPr>
                  <w:tcW w:w="463" w:type="pct"/>
                  <w:vMerge w:val="continue"/>
                  <w:tcBorders>
                    <w:tl2br w:val="nil"/>
                    <w:tr2bl w:val="nil"/>
                  </w:tcBorders>
                  <w:vAlign w:val="center"/>
                </w:tcPr>
                <w:p w14:paraId="77D92727">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2A4E325D">
                  <w:pPr>
                    <w:keepNext w:val="0"/>
                    <w:keepLines w:val="0"/>
                    <w:pageBreakBefore w:val="0"/>
                    <w:widowControl/>
                    <w:suppressLineNumbers w:val="0"/>
                    <w:kinsoku/>
                    <w:wordWrap/>
                    <w:overflowPunct/>
                    <w:topLinePunct w:val="0"/>
                    <w:autoSpaceDE/>
                    <w:autoSpaceDN/>
                    <w:bidi w:val="0"/>
                    <w:adjustRightInd/>
                    <w:snapToGrid/>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运输车辆扬尘</w:t>
                  </w:r>
                </w:p>
              </w:tc>
              <w:tc>
                <w:tcPr>
                  <w:tcW w:w="2282" w:type="pct"/>
                  <w:tcBorders>
                    <w:tl2br w:val="nil"/>
                    <w:tr2bl w:val="nil"/>
                  </w:tcBorders>
                  <w:vAlign w:val="center"/>
                </w:tcPr>
                <w:p w14:paraId="6D361137">
                  <w:pPr>
                    <w:keepNext w:val="0"/>
                    <w:keepLines w:val="0"/>
                    <w:pageBreakBefore w:val="0"/>
                    <w:widowControl/>
                    <w:suppressLineNumbers w:val="0"/>
                    <w:kinsoku/>
                    <w:wordWrap/>
                    <w:overflowPunct/>
                    <w:topLinePunct w:val="0"/>
                    <w:autoSpaceDE/>
                    <w:autoSpaceDN/>
                    <w:bidi w:val="0"/>
                    <w:adjustRightInd/>
                    <w:snapToGrid/>
                    <w:jc w:val="both"/>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地面固化，每日进行地面清洁。运输车辆加盖篷布，严禁超载，杜绝汽车抛洒，保持车体整洁，净车上路。道路两侧设置固定喷雾降尘或移动式雾炮降尘。</w:t>
                  </w:r>
                </w:p>
              </w:tc>
              <w:tc>
                <w:tcPr>
                  <w:tcW w:w="868" w:type="pct"/>
                  <w:tcBorders>
                    <w:tl2br w:val="nil"/>
                    <w:tr2bl w:val="nil"/>
                  </w:tcBorders>
                  <w:vAlign w:val="center"/>
                </w:tcPr>
                <w:p w14:paraId="168D767D">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13</w:t>
                  </w:r>
                </w:p>
              </w:tc>
            </w:tr>
            <w:tr w14:paraId="5A20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019D2FAC">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463" w:type="pct"/>
                  <w:vMerge w:val="restart"/>
                  <w:tcBorders>
                    <w:tl2br w:val="nil"/>
                    <w:tr2bl w:val="nil"/>
                  </w:tcBorders>
                  <w:vAlign w:val="center"/>
                </w:tcPr>
                <w:p w14:paraId="52709114">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w:t>
                  </w:r>
                </w:p>
              </w:tc>
              <w:tc>
                <w:tcPr>
                  <w:tcW w:w="968" w:type="pct"/>
                  <w:tcBorders>
                    <w:tl2br w:val="nil"/>
                    <w:tr2bl w:val="nil"/>
                  </w:tcBorders>
                  <w:vAlign w:val="center"/>
                </w:tcPr>
                <w:p w14:paraId="19FC0DC2">
                  <w:pPr>
                    <w:keepNext w:val="0"/>
                    <w:keepLines w:val="0"/>
                    <w:pageBreakBefore w:val="0"/>
                    <w:widowControl/>
                    <w:suppressLineNumbers w:val="0"/>
                    <w:kinsoku/>
                    <w:wordWrap/>
                    <w:overflowPunct/>
                    <w:topLinePunct w:val="0"/>
                    <w:autoSpaceDE/>
                    <w:autoSpaceDN/>
                    <w:bidi w:val="0"/>
                    <w:adjustRightInd/>
                    <w:snapToGrid/>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车辆冲洗废水</w:t>
                  </w:r>
                </w:p>
              </w:tc>
              <w:tc>
                <w:tcPr>
                  <w:tcW w:w="2282" w:type="pct"/>
                  <w:tcBorders>
                    <w:tl2br w:val="nil"/>
                    <w:tr2bl w:val="nil"/>
                  </w:tcBorders>
                  <w:vAlign w:val="center"/>
                </w:tcPr>
                <w:p w14:paraId="448E4AD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经洗车平台沉淀池（15m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）沉淀后回用于车辆冲洗，不外排。</w:t>
                  </w:r>
                </w:p>
              </w:tc>
              <w:tc>
                <w:tcPr>
                  <w:tcW w:w="868" w:type="pct"/>
                  <w:tcBorders>
                    <w:tl2br w:val="nil"/>
                    <w:tr2bl w:val="nil"/>
                  </w:tcBorders>
                  <w:vAlign w:val="center"/>
                </w:tcPr>
                <w:p w14:paraId="49F4E5C0">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w:t>
                  </w:r>
                </w:p>
              </w:tc>
            </w:tr>
            <w:tr w14:paraId="7295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3D157ACF">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w:t>
                  </w:r>
                </w:p>
              </w:tc>
              <w:tc>
                <w:tcPr>
                  <w:tcW w:w="463" w:type="pct"/>
                  <w:vMerge w:val="continue"/>
                  <w:tcBorders>
                    <w:tl2br w:val="nil"/>
                    <w:tr2bl w:val="nil"/>
                  </w:tcBorders>
                  <w:vAlign w:val="center"/>
                </w:tcPr>
                <w:p w14:paraId="0CD829F4">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3E4A6B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地面冲洗废水</w:t>
                  </w:r>
                </w:p>
              </w:tc>
              <w:tc>
                <w:tcPr>
                  <w:tcW w:w="2282" w:type="pct"/>
                  <w:vMerge w:val="restart"/>
                  <w:tcBorders>
                    <w:tl2br w:val="nil"/>
                    <w:tr2bl w:val="nil"/>
                  </w:tcBorders>
                  <w:vAlign w:val="center"/>
                </w:tcPr>
                <w:p w14:paraId="19CA92F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经车间沉淀池（</w:t>
                  </w:r>
                  <w:r>
                    <w:rPr>
                      <w:rFonts w:hint="eastAsia" w:ascii="Times New Roman" w:hAnsi="Times New Roman" w:eastAsia="宋体" w:cs="Times New Roman"/>
                      <w:i w:val="0"/>
                      <w:iCs w:val="0"/>
                      <w:color w:val="000000"/>
                      <w:kern w:val="0"/>
                      <w:sz w:val="21"/>
                      <w:szCs w:val="21"/>
                      <w:u w:val="none"/>
                      <w:lang w:val="en-US" w:eastAsia="zh-CN" w:bidi="ar"/>
                    </w:rPr>
                    <w:t>30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）+砂水分离机+压滤设施回用，不外排。</w:t>
                  </w:r>
                </w:p>
              </w:tc>
              <w:tc>
                <w:tcPr>
                  <w:tcW w:w="868" w:type="pct"/>
                  <w:vMerge w:val="restart"/>
                  <w:tcBorders>
                    <w:tl2br w:val="nil"/>
                    <w:tr2bl w:val="nil"/>
                  </w:tcBorders>
                  <w:vAlign w:val="center"/>
                </w:tcPr>
                <w:p w14:paraId="2E907D73">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12</w:t>
                  </w:r>
                </w:p>
              </w:tc>
            </w:tr>
            <w:tr w14:paraId="0A53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54B0F11F">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w:t>
                  </w:r>
                </w:p>
              </w:tc>
              <w:tc>
                <w:tcPr>
                  <w:tcW w:w="463" w:type="pct"/>
                  <w:vMerge w:val="continue"/>
                  <w:tcBorders>
                    <w:tl2br w:val="nil"/>
                    <w:tr2bl w:val="nil"/>
                  </w:tcBorders>
                  <w:vAlign w:val="center"/>
                </w:tcPr>
                <w:p w14:paraId="28E309CD">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693FE2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000000" w:themeColor="text1"/>
                      <w:kern w:val="0"/>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搅拌机清洗废水</w:t>
                  </w:r>
                </w:p>
              </w:tc>
              <w:tc>
                <w:tcPr>
                  <w:tcW w:w="2282" w:type="pct"/>
                  <w:vMerge w:val="continue"/>
                  <w:tcBorders>
                    <w:tl2br w:val="nil"/>
                    <w:tr2bl w:val="nil"/>
                  </w:tcBorders>
                  <w:vAlign w:val="center"/>
                </w:tcPr>
                <w:p w14:paraId="78801878">
                  <w:pPr>
                    <w:pStyle w:val="102"/>
                    <w:keepNext w:val="0"/>
                    <w:pageBreakBefore w:val="0"/>
                    <w:kinsoku/>
                    <w:wordWrap/>
                    <w:overflowPunct/>
                    <w:topLinePunct w:val="0"/>
                    <w:autoSpaceDE/>
                    <w:autoSpaceDN/>
                    <w:bidi w:val="0"/>
                    <w:adjustRightInd/>
                    <w:snapToGrid/>
                    <w:contextualSpacing/>
                    <w:jc w:val="center"/>
                    <w:rPr>
                      <w:rFonts w:hint="eastAsia"/>
                      <w:bCs/>
                      <w:color w:val="000000" w:themeColor="text1"/>
                      <w:sz w:val="21"/>
                      <w:szCs w:val="21"/>
                      <w:lang w:val="en-US" w:eastAsia="zh-CN"/>
                      <w14:textFill>
                        <w14:solidFill>
                          <w14:schemeClr w14:val="tx1"/>
                        </w14:solidFill>
                      </w14:textFill>
                    </w:rPr>
                  </w:pPr>
                </w:p>
              </w:tc>
              <w:tc>
                <w:tcPr>
                  <w:tcW w:w="868" w:type="pct"/>
                  <w:vMerge w:val="continue"/>
                  <w:tcBorders>
                    <w:tl2br w:val="nil"/>
                    <w:tr2bl w:val="nil"/>
                  </w:tcBorders>
                  <w:vAlign w:val="center"/>
                </w:tcPr>
                <w:p w14:paraId="38244CD0">
                  <w:pPr>
                    <w:pStyle w:val="102"/>
                    <w:keepNext w:val="0"/>
                    <w:pageBreakBefore w:val="0"/>
                    <w:kinsoku/>
                    <w:wordWrap/>
                    <w:overflowPunct/>
                    <w:topLinePunct w:val="0"/>
                    <w:autoSpaceDE/>
                    <w:autoSpaceDN/>
                    <w:bidi w:val="0"/>
                    <w:adjustRightInd/>
                    <w:snapToGrid/>
                    <w:contextualSpacing/>
                    <w:jc w:val="center"/>
                    <w:rPr>
                      <w:rFonts w:hint="eastAsia"/>
                      <w:bCs/>
                      <w:color w:val="000000" w:themeColor="text1"/>
                      <w:sz w:val="21"/>
                      <w:szCs w:val="21"/>
                      <w:lang w:val="en-US" w:eastAsia="zh-CN"/>
                      <w14:textFill>
                        <w14:solidFill>
                          <w14:schemeClr w14:val="tx1"/>
                        </w14:solidFill>
                      </w14:textFill>
                    </w:rPr>
                  </w:pPr>
                </w:p>
              </w:tc>
            </w:tr>
            <w:tr w14:paraId="0A2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3D146331">
                  <w:pPr>
                    <w:pStyle w:val="102"/>
                    <w:keepNext w:val="0"/>
                    <w:pageBreakBefore w:val="0"/>
                    <w:kinsoku/>
                    <w:wordWrap/>
                    <w:overflowPunct/>
                    <w:topLinePunct w:val="0"/>
                    <w:autoSpaceDE/>
                    <w:autoSpaceDN/>
                    <w:bidi w:val="0"/>
                    <w:adjustRightInd/>
                    <w:snapToGrid/>
                    <w:contextualSpacing/>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w:t>
                  </w:r>
                </w:p>
              </w:tc>
              <w:tc>
                <w:tcPr>
                  <w:tcW w:w="463" w:type="pct"/>
                  <w:vMerge w:val="continue"/>
                  <w:tcBorders>
                    <w:tl2br w:val="nil"/>
                    <w:tr2bl w:val="nil"/>
                  </w:tcBorders>
                  <w:vAlign w:val="center"/>
                </w:tcPr>
                <w:p w14:paraId="7192E583">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968" w:type="pct"/>
                  <w:tcBorders>
                    <w:tl2br w:val="nil"/>
                    <w:tr2bl w:val="nil"/>
                  </w:tcBorders>
                  <w:vAlign w:val="center"/>
                </w:tcPr>
                <w:p w14:paraId="46C66A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生活污水</w:t>
                  </w:r>
                </w:p>
              </w:tc>
              <w:tc>
                <w:tcPr>
                  <w:tcW w:w="2282" w:type="pct"/>
                  <w:tcBorders>
                    <w:tl2br w:val="nil"/>
                    <w:tr2bl w:val="nil"/>
                  </w:tcBorders>
                  <w:vAlign w:val="center"/>
                </w:tcPr>
                <w:p w14:paraId="7250CA7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eastAsia="宋体"/>
                      <w:bCs/>
                      <w:color w:val="000000" w:themeColor="text1"/>
                      <w:sz w:val="21"/>
                      <w:szCs w:val="21"/>
                      <w:lang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经化粪池</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处理后用于厂区绿化，不外排。</w:t>
                  </w:r>
                </w:p>
              </w:tc>
              <w:tc>
                <w:tcPr>
                  <w:tcW w:w="868" w:type="pct"/>
                  <w:tcBorders>
                    <w:tl2br w:val="nil"/>
                    <w:tr2bl w:val="nil"/>
                  </w:tcBorders>
                  <w:vAlign w:val="center"/>
                </w:tcPr>
                <w:p w14:paraId="36C42DD0">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w:t>
                  </w:r>
                </w:p>
              </w:tc>
            </w:tr>
            <w:tr w14:paraId="2F41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vMerge w:val="restart"/>
                  <w:tcBorders>
                    <w:tl2br w:val="nil"/>
                    <w:tr2bl w:val="nil"/>
                  </w:tcBorders>
                  <w:vAlign w:val="center"/>
                </w:tcPr>
                <w:p w14:paraId="5C2F102F">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w:t>
                  </w:r>
                </w:p>
              </w:tc>
              <w:tc>
                <w:tcPr>
                  <w:tcW w:w="463" w:type="pct"/>
                  <w:vMerge w:val="restart"/>
                  <w:tcBorders>
                    <w:tl2br w:val="nil"/>
                    <w:tr2bl w:val="nil"/>
                  </w:tcBorders>
                  <w:vAlign w:val="center"/>
                </w:tcPr>
                <w:p w14:paraId="51BFE580">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固废</w:t>
                  </w:r>
                </w:p>
              </w:tc>
              <w:tc>
                <w:tcPr>
                  <w:tcW w:w="3251" w:type="pct"/>
                  <w:gridSpan w:val="2"/>
                  <w:tcBorders>
                    <w:tl2br w:val="nil"/>
                    <w:tr2bl w:val="nil"/>
                  </w:tcBorders>
                  <w:vAlign w:val="center"/>
                </w:tcPr>
                <w:p w14:paraId="58AFE25F">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一般固废暂存间（占地面积20</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bCs/>
                      <w:color w:val="000000" w:themeColor="text1"/>
                      <w:sz w:val="21"/>
                      <w:szCs w:val="21"/>
                      <w:lang w:val="en-US" w:eastAsia="zh-CN"/>
                      <w14:textFill>
                        <w14:solidFill>
                          <w14:schemeClr w14:val="tx1"/>
                        </w14:solidFill>
                      </w14:textFill>
                    </w:rPr>
                    <w:t>）</w:t>
                  </w:r>
                </w:p>
              </w:tc>
              <w:tc>
                <w:tcPr>
                  <w:tcW w:w="868" w:type="pct"/>
                  <w:vMerge w:val="restart"/>
                  <w:tcBorders>
                    <w:tl2br w:val="nil"/>
                    <w:tr2bl w:val="nil"/>
                  </w:tcBorders>
                  <w:vAlign w:val="center"/>
                </w:tcPr>
                <w:p w14:paraId="6CA120F8">
                  <w:pPr>
                    <w:pStyle w:val="102"/>
                    <w:keepNext w:val="0"/>
                    <w:pageBreakBefore w:val="0"/>
                    <w:kinsoku/>
                    <w:wordWrap/>
                    <w:overflowPunct/>
                    <w:topLinePunct w:val="0"/>
                    <w:autoSpaceDE/>
                    <w:autoSpaceDN/>
                    <w:bidi w:val="0"/>
                    <w:adjustRightInd/>
                    <w:snapToGrid/>
                    <w:contextualSpacing/>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w:t>
                  </w:r>
                </w:p>
              </w:tc>
            </w:tr>
            <w:tr w14:paraId="0D1E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vMerge w:val="continue"/>
                  <w:tcBorders>
                    <w:tl2br w:val="nil"/>
                    <w:tr2bl w:val="nil"/>
                  </w:tcBorders>
                  <w:vAlign w:val="center"/>
                </w:tcPr>
                <w:p w14:paraId="148798A4">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463" w:type="pct"/>
                  <w:vMerge w:val="continue"/>
                  <w:tcBorders>
                    <w:tl2br w:val="nil"/>
                    <w:tr2bl w:val="nil"/>
                  </w:tcBorders>
                  <w:vAlign w:val="center"/>
                </w:tcPr>
                <w:p w14:paraId="69B6B019">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c>
                <w:tcPr>
                  <w:tcW w:w="3251" w:type="pct"/>
                  <w:gridSpan w:val="2"/>
                  <w:tcBorders>
                    <w:tl2br w:val="nil"/>
                    <w:tr2bl w:val="nil"/>
                  </w:tcBorders>
                  <w:vAlign w:val="center"/>
                </w:tcPr>
                <w:p w14:paraId="122A6BB7">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危废暂存间（占地面积10</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bCs/>
                      <w:color w:val="000000" w:themeColor="text1"/>
                      <w:sz w:val="21"/>
                      <w:szCs w:val="21"/>
                      <w:lang w:val="en-US" w:eastAsia="zh-CN"/>
                      <w14:textFill>
                        <w14:solidFill>
                          <w14:schemeClr w14:val="tx1"/>
                        </w14:solidFill>
                      </w14:textFill>
                    </w:rPr>
                    <w:t>）</w:t>
                  </w:r>
                </w:p>
              </w:tc>
              <w:tc>
                <w:tcPr>
                  <w:tcW w:w="868" w:type="pct"/>
                  <w:vMerge w:val="continue"/>
                  <w:tcBorders>
                    <w:tl2br w:val="nil"/>
                    <w:tr2bl w:val="nil"/>
                  </w:tcBorders>
                  <w:vAlign w:val="center"/>
                </w:tcPr>
                <w:p w14:paraId="5AB79B74">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p>
              </w:tc>
            </w:tr>
            <w:tr w14:paraId="551C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0A6E1750">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w:t>
                  </w:r>
                </w:p>
              </w:tc>
              <w:tc>
                <w:tcPr>
                  <w:tcW w:w="463" w:type="pct"/>
                  <w:tcBorders>
                    <w:tl2br w:val="nil"/>
                    <w:tr2bl w:val="nil"/>
                  </w:tcBorders>
                  <w:vAlign w:val="center"/>
                </w:tcPr>
                <w:p w14:paraId="279A3DB0">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噪声</w:t>
                  </w:r>
                </w:p>
              </w:tc>
              <w:tc>
                <w:tcPr>
                  <w:tcW w:w="968" w:type="pct"/>
                  <w:tcBorders>
                    <w:tl2br w:val="nil"/>
                    <w:tr2bl w:val="nil"/>
                  </w:tcBorders>
                  <w:vAlign w:val="center"/>
                </w:tcPr>
                <w:p w14:paraId="2CEDE503">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设备</w:t>
                  </w:r>
                </w:p>
              </w:tc>
              <w:tc>
                <w:tcPr>
                  <w:tcW w:w="2282" w:type="pct"/>
                  <w:tcBorders>
                    <w:tl2br w:val="nil"/>
                    <w:tr2bl w:val="nil"/>
                  </w:tcBorders>
                  <w:vAlign w:val="center"/>
                </w:tcPr>
                <w:p w14:paraId="40C0A7C3">
                  <w:pPr>
                    <w:pStyle w:val="102"/>
                    <w:keepNext w:val="0"/>
                    <w:pageBreakBefore w:val="0"/>
                    <w:kinsoku/>
                    <w:wordWrap/>
                    <w:overflowPunct/>
                    <w:topLinePunct w:val="0"/>
                    <w:autoSpaceDE/>
                    <w:autoSpaceDN/>
                    <w:bidi w:val="0"/>
                    <w:adjustRightInd/>
                    <w:snapToGrid/>
                    <w:contextualSpacing/>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设备减振、隔振，加强管理等综合措施</w:t>
                  </w:r>
                </w:p>
              </w:tc>
              <w:tc>
                <w:tcPr>
                  <w:tcW w:w="868" w:type="pct"/>
                  <w:tcBorders>
                    <w:tl2br w:val="nil"/>
                    <w:tr2bl w:val="nil"/>
                  </w:tcBorders>
                  <w:vAlign w:val="center"/>
                </w:tcPr>
                <w:p w14:paraId="722EE01F">
                  <w:pPr>
                    <w:keepNext w:val="0"/>
                    <w:keepLines/>
                    <w:pageBreakBefore w:val="0"/>
                    <w:kinsoku/>
                    <w:wordWrap/>
                    <w:overflowPunct/>
                    <w:topLinePunct w:val="0"/>
                    <w:autoSpaceDE/>
                    <w:autoSpaceDN/>
                    <w:bidi w:val="0"/>
                    <w:adjustRightInd/>
                    <w:snapToGrid/>
                    <w:contextualSpacing/>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w:t>
                  </w:r>
                </w:p>
              </w:tc>
            </w:tr>
            <w:tr w14:paraId="3E9C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0DA2050B">
                  <w:pPr>
                    <w:pStyle w:val="102"/>
                    <w:keepNext w:val="0"/>
                    <w:pageBreakBefore w:val="0"/>
                    <w:kinsoku/>
                    <w:wordWrap/>
                    <w:overflowPunct/>
                    <w:topLinePunct w:val="0"/>
                    <w:autoSpaceDE/>
                    <w:autoSpaceDN/>
                    <w:bidi w:val="0"/>
                    <w:adjustRightInd/>
                    <w:snapToGrid/>
                    <w:contextualSpacing/>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9</w:t>
                  </w:r>
                </w:p>
              </w:tc>
              <w:tc>
                <w:tcPr>
                  <w:tcW w:w="1432" w:type="pct"/>
                  <w:gridSpan w:val="2"/>
                  <w:tcBorders>
                    <w:tl2br w:val="nil"/>
                    <w:tr2bl w:val="nil"/>
                  </w:tcBorders>
                  <w:vAlign w:val="center"/>
                </w:tcPr>
                <w:p w14:paraId="678C9DA2">
                  <w:pPr>
                    <w:pStyle w:val="102"/>
                    <w:keepNext w:val="0"/>
                    <w:pageBreakBefore w:val="0"/>
                    <w:kinsoku/>
                    <w:wordWrap/>
                    <w:overflowPunct/>
                    <w:topLinePunct w:val="0"/>
                    <w:autoSpaceDE/>
                    <w:autoSpaceDN/>
                    <w:bidi w:val="0"/>
                    <w:adjustRightInd/>
                    <w:snapToGrid/>
                    <w:contextualSpacing/>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环境风险</w:t>
                  </w:r>
                </w:p>
              </w:tc>
              <w:tc>
                <w:tcPr>
                  <w:tcW w:w="2282" w:type="pct"/>
                  <w:tcBorders>
                    <w:tl2br w:val="nil"/>
                    <w:tr2bl w:val="nil"/>
                  </w:tcBorders>
                  <w:vAlign w:val="center"/>
                </w:tcPr>
                <w:p w14:paraId="65E729DF">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初期雨水池（90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bCs/>
                      <w:color w:val="000000" w:themeColor="text1"/>
                      <w:sz w:val="21"/>
                      <w:szCs w:val="21"/>
                      <w:lang w:val="en-US" w:eastAsia="zh-CN"/>
                      <w14:textFill>
                        <w14:solidFill>
                          <w14:schemeClr w14:val="tx1"/>
                        </w14:solidFill>
                      </w14:textFill>
                    </w:rPr>
                    <w:t>）</w:t>
                  </w:r>
                </w:p>
              </w:tc>
              <w:tc>
                <w:tcPr>
                  <w:tcW w:w="868" w:type="pct"/>
                  <w:tcBorders>
                    <w:tl2br w:val="nil"/>
                    <w:tr2bl w:val="nil"/>
                  </w:tcBorders>
                  <w:vAlign w:val="center"/>
                </w:tcPr>
                <w:p w14:paraId="0DA50E81">
                  <w:pPr>
                    <w:keepNext w:val="0"/>
                    <w:keepLines/>
                    <w:pageBreakBefore w:val="0"/>
                    <w:kinsoku/>
                    <w:wordWrap/>
                    <w:overflowPunct/>
                    <w:topLinePunct w:val="0"/>
                    <w:autoSpaceDE/>
                    <w:autoSpaceDN/>
                    <w:bidi w:val="0"/>
                    <w:adjustRightInd/>
                    <w:snapToGrid/>
                    <w:contextualSpacing/>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12</w:t>
                  </w:r>
                </w:p>
              </w:tc>
            </w:tr>
            <w:tr w14:paraId="5AC7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13005A82">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w:t>
                  </w:r>
                </w:p>
              </w:tc>
              <w:tc>
                <w:tcPr>
                  <w:tcW w:w="1432" w:type="pct"/>
                  <w:gridSpan w:val="2"/>
                  <w:tcBorders>
                    <w:tl2br w:val="nil"/>
                    <w:tr2bl w:val="nil"/>
                  </w:tcBorders>
                  <w:vAlign w:val="center"/>
                </w:tcPr>
                <w:p w14:paraId="39B19EF1">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地下水及土壤</w:t>
                  </w:r>
                </w:p>
              </w:tc>
              <w:tc>
                <w:tcPr>
                  <w:tcW w:w="2282" w:type="pct"/>
                  <w:tcBorders>
                    <w:tl2br w:val="nil"/>
                    <w:tr2bl w:val="nil"/>
                  </w:tcBorders>
                  <w:vAlign w:val="center"/>
                </w:tcPr>
                <w:p w14:paraId="4B7C1D67">
                  <w:pPr>
                    <w:pStyle w:val="102"/>
                    <w:keepNext w:val="0"/>
                    <w:pageBreakBefore w:val="0"/>
                    <w:kinsoku/>
                    <w:wordWrap/>
                    <w:overflowPunct/>
                    <w:topLinePunct w:val="0"/>
                    <w:autoSpaceDE/>
                    <w:autoSpaceDN/>
                    <w:bidi w:val="0"/>
                    <w:adjustRightInd/>
                    <w:snapToGrid/>
                    <w:contextualSpacing/>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厂区分区防渗</w:t>
                  </w:r>
                </w:p>
              </w:tc>
              <w:tc>
                <w:tcPr>
                  <w:tcW w:w="868" w:type="pct"/>
                  <w:tcBorders>
                    <w:tl2br w:val="nil"/>
                    <w:tr2bl w:val="nil"/>
                  </w:tcBorders>
                  <w:vAlign w:val="center"/>
                </w:tcPr>
                <w:p w14:paraId="129D6F98">
                  <w:pPr>
                    <w:keepNext w:val="0"/>
                    <w:keepLines/>
                    <w:pageBreakBefore w:val="0"/>
                    <w:kinsoku/>
                    <w:wordWrap/>
                    <w:overflowPunct/>
                    <w:topLinePunct w:val="0"/>
                    <w:autoSpaceDE/>
                    <w:autoSpaceDN/>
                    <w:bidi w:val="0"/>
                    <w:adjustRightInd/>
                    <w:snapToGrid/>
                    <w:contextualSpacing/>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w:t>
                  </w:r>
                </w:p>
              </w:tc>
            </w:tr>
            <w:tr w14:paraId="17F7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1" w:type="pct"/>
                  <w:gridSpan w:val="4"/>
                  <w:tcBorders>
                    <w:tl2br w:val="nil"/>
                    <w:tr2bl w:val="nil"/>
                  </w:tcBorders>
                  <w:vAlign w:val="center"/>
                </w:tcPr>
                <w:p w14:paraId="6A786864">
                  <w:pPr>
                    <w:keepNext w:val="0"/>
                    <w:keepLines/>
                    <w:pageBreakBefore w:val="0"/>
                    <w:kinsoku/>
                    <w:wordWrap/>
                    <w:overflowPunct/>
                    <w:topLinePunct w:val="0"/>
                    <w:autoSpaceDE/>
                    <w:autoSpaceDN/>
                    <w:bidi w:val="0"/>
                    <w:adjustRightInd/>
                    <w:snapToGrid/>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总计</w:t>
                  </w:r>
                </w:p>
              </w:tc>
              <w:tc>
                <w:tcPr>
                  <w:tcW w:w="868" w:type="pct"/>
                  <w:tcBorders>
                    <w:tl2br w:val="nil"/>
                    <w:tr2bl w:val="nil"/>
                  </w:tcBorders>
                  <w:vAlign w:val="center"/>
                </w:tcPr>
                <w:p w14:paraId="370B2878">
                  <w:pPr>
                    <w:keepNext w:val="0"/>
                    <w:keepLines/>
                    <w:pageBreakBefore w:val="0"/>
                    <w:kinsoku/>
                    <w:wordWrap/>
                    <w:overflowPunct/>
                    <w:topLinePunct w:val="0"/>
                    <w:autoSpaceDE/>
                    <w:autoSpaceDN/>
                    <w:bidi w:val="0"/>
                    <w:adjustRightInd/>
                    <w:snapToGrid/>
                    <w:contextualSpacing/>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150</w:t>
                  </w:r>
                </w:p>
              </w:tc>
            </w:tr>
          </w:tbl>
          <w:p w14:paraId="61281FF2">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ascii="Times New Roman" w:hAnsi="Times New Roman" w:eastAsia="宋体" w:cs="Times New Roman"/>
                <w:b/>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snapToGrid/>
                <w:color w:val="000000" w:themeColor="text1"/>
                <w:spacing w:val="0"/>
                <w:w w:val="100"/>
                <w:kern w:val="0"/>
                <w:position w:val="0"/>
                <w:sz w:val="21"/>
                <w:szCs w:val="21"/>
                <w:lang w:val="en-US" w:eastAsia="zh-CN"/>
                <w14:textFill>
                  <w14:solidFill>
                    <w14:schemeClr w14:val="tx1"/>
                  </w14:solidFill>
                </w14:textFill>
              </w:rPr>
              <w:t>表4-</w:t>
            </w:r>
            <w:r>
              <w:rPr>
                <w:rFonts w:hint="eastAsia" w:ascii="Times New Roman" w:hAnsi="Times New Roman" w:cs="Times New Roman"/>
                <w:b/>
                <w:snapToGrid/>
                <w:color w:val="000000" w:themeColor="text1"/>
                <w:spacing w:val="0"/>
                <w:w w:val="100"/>
                <w:kern w:val="0"/>
                <w:position w:val="0"/>
                <w:sz w:val="21"/>
                <w:szCs w:val="21"/>
                <w:lang w:val="en-US" w:eastAsia="zh-CN"/>
                <w14:textFill>
                  <w14:solidFill>
                    <w14:schemeClr w14:val="tx1"/>
                  </w14:solidFill>
                </w14:textFill>
              </w:rPr>
              <w:t>21</w:t>
            </w:r>
            <w:r>
              <w:rPr>
                <w:rFonts w:hint="eastAsia" w:ascii="Times New Roman" w:hAnsi="Times New Roman" w:eastAsia="宋体" w:cs="Times New Roman"/>
                <w:b/>
                <w:snapToGrid/>
                <w:color w:val="000000" w:themeColor="text1"/>
                <w:spacing w:val="0"/>
                <w:w w:val="100"/>
                <w:kern w:val="0"/>
                <w:position w:val="0"/>
                <w:sz w:val="21"/>
                <w:szCs w:val="21"/>
                <w:lang w:val="en-US" w:eastAsia="zh-CN"/>
                <w14:textFill>
                  <w14:solidFill>
                    <w14:schemeClr w14:val="tx1"/>
                  </w14:solidFill>
                </w14:textFill>
              </w:rPr>
              <w:t xml:space="preserve">  </w:t>
            </w:r>
            <w:r>
              <w:rPr>
                <w:rFonts w:ascii="Times New Roman" w:hAnsi="Times New Roman" w:eastAsia="宋体" w:cs="Times New Roman"/>
                <w:b/>
                <w:snapToGrid/>
                <w:color w:val="000000" w:themeColor="text1"/>
                <w:spacing w:val="0"/>
                <w:w w:val="100"/>
                <w:kern w:val="0"/>
                <w:position w:val="0"/>
                <w:sz w:val="21"/>
                <w:szCs w:val="21"/>
                <w:lang w:val="en-US" w:eastAsia="zh-CN"/>
                <w14:textFill>
                  <w14:solidFill>
                    <w14:schemeClr w14:val="tx1"/>
                  </w14:solidFill>
                </w14:textFill>
              </w:rPr>
              <w:t>环保验收一览表</w:t>
            </w:r>
          </w:p>
          <w:tbl>
            <w:tblPr>
              <w:tblStyle w:val="27"/>
              <w:tblW w:w="82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013"/>
              <w:gridCol w:w="1081"/>
              <w:gridCol w:w="2623"/>
              <w:gridCol w:w="1068"/>
              <w:gridCol w:w="1659"/>
            </w:tblGrid>
            <w:tr w14:paraId="34356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9446318">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类别</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6617BE8">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污染源</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5669C15">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污染因子</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9335F76">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环保措施</w:t>
                  </w:r>
                </w:p>
              </w:tc>
              <w:tc>
                <w:tcPr>
                  <w:tcW w:w="648"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CC9D2BD">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监控点位</w:t>
                  </w:r>
                </w:p>
              </w:tc>
              <w:tc>
                <w:tcPr>
                  <w:tcW w:w="1007"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CB9EF8">
                  <w:pPr>
                    <w:pStyle w:val="102"/>
                    <w:contextualSpacing/>
                    <w:jc w:val="cente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
                      <w:bCs w:val="0"/>
                      <w:snapToGrid/>
                      <w:color w:val="000000" w:themeColor="text1"/>
                      <w:spacing w:val="0"/>
                      <w:w w:val="100"/>
                      <w:kern w:val="0"/>
                      <w:position w:val="0"/>
                      <w:sz w:val="21"/>
                      <w:szCs w:val="21"/>
                      <w:lang w:val="en-US" w:eastAsia="zh-CN"/>
                      <w14:textFill>
                        <w14:solidFill>
                          <w14:schemeClr w14:val="tx1"/>
                        </w14:solidFill>
                      </w14:textFill>
                    </w:rPr>
                    <w:t>排放标准</w:t>
                  </w:r>
                </w:p>
              </w:tc>
            </w:tr>
            <w:tr w14:paraId="6B075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8" w:space="0"/>
                    <w:left w:val="single" w:color="000000" w:sz="8" w:space="0"/>
                    <w:right w:val="single" w:color="000000" w:sz="8" w:space="0"/>
                  </w:tcBorders>
                  <w:shd w:val="clear" w:color="auto" w:fill="auto"/>
                  <w:noWrap w:val="0"/>
                  <w:vAlign w:val="center"/>
                </w:tcPr>
                <w:p w14:paraId="2564F3FD">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bCs/>
                      <w:color w:val="000000" w:themeColor="text1"/>
                      <w:sz w:val="21"/>
                      <w:szCs w:val="21"/>
                      <w14:textFill>
                        <w14:solidFill>
                          <w14:schemeClr w14:val="tx1"/>
                        </w14:solidFill>
                      </w14:textFill>
                    </w:rPr>
                    <w:t>废气</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6438A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原料堆场</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67C4DC7">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颗粒物</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1CEB88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地面进行硬化处理，来往运输车辆用篷布覆盖，原料堆场位于厂房内，仅留车辆进出口通道，堆料区、下料区和进出口通道安装喷雾装置进行喷淋作业。</w:t>
                  </w:r>
                </w:p>
              </w:tc>
              <w:tc>
                <w:tcPr>
                  <w:tcW w:w="648" w:type="pct"/>
                  <w:vMerge w:val="restart"/>
                  <w:tcBorders>
                    <w:top w:val="single" w:color="000000" w:sz="8" w:space="0"/>
                    <w:left w:val="single" w:color="000000" w:sz="8" w:space="0"/>
                    <w:right w:val="single" w:color="000000" w:sz="8" w:space="0"/>
                  </w:tcBorders>
                  <w:shd w:val="clear" w:color="auto" w:fill="auto"/>
                  <w:noWrap w:val="0"/>
                  <w:vAlign w:val="center"/>
                </w:tcPr>
                <w:p w14:paraId="306227B0">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default"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厂界外20m处上风向设参照点，下风向设监控点</w:t>
                  </w:r>
                </w:p>
              </w:tc>
              <w:tc>
                <w:tcPr>
                  <w:tcW w:w="1007" w:type="pct"/>
                  <w:vMerge w:val="restart"/>
                  <w:tcBorders>
                    <w:top w:val="single" w:color="000000" w:sz="8" w:space="0"/>
                    <w:left w:val="single" w:color="000000" w:sz="8" w:space="0"/>
                    <w:right w:val="single" w:color="000000" w:sz="8" w:space="0"/>
                  </w:tcBorders>
                  <w:shd w:val="clear" w:color="auto" w:fill="auto"/>
                  <w:noWrap w:val="0"/>
                  <w:vAlign w:val="center"/>
                </w:tcPr>
                <w:p w14:paraId="25ED37CF">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《水泥工业大气污染物排放标准》（GB</w:t>
                  </w:r>
                  <w:r>
                    <w:rPr>
                      <w:rFonts w:hint="eastAsia" w:ascii="Times New Roman" w:hAnsi="Times New Roman" w:eastAsia="宋体"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4915</w:t>
                  </w:r>
                  <w:r>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2013</w:t>
                  </w:r>
                  <w:r>
                    <w:rPr>
                      <w:rFonts w:hint="default" w:ascii="Times New Roman" w:hAnsi="Times New Roman" w:eastAsia="宋体"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w:t>
                  </w:r>
                </w:p>
              </w:tc>
            </w:tr>
            <w:tr w14:paraId="11BCC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right w:val="single" w:color="000000" w:sz="8" w:space="0"/>
                  </w:tcBorders>
                  <w:shd w:val="clear" w:color="auto" w:fill="auto"/>
                  <w:noWrap w:val="0"/>
                  <w:vAlign w:val="center"/>
                </w:tcPr>
                <w:p w14:paraId="005911B5">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7E714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4AE0387">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颗粒物</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5EDB81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筒仓顶部均设置脉冲式布袋除尘器，筒仓进料粉尘经脉冲式布袋除尘器收集处理后在厂房中自然沉降，以无组织方式排放。</w:t>
                  </w:r>
                </w:p>
              </w:tc>
              <w:tc>
                <w:tcPr>
                  <w:tcW w:w="648" w:type="pct"/>
                  <w:vMerge w:val="continue"/>
                  <w:tcBorders>
                    <w:left w:val="single" w:color="000000" w:sz="8" w:space="0"/>
                    <w:right w:val="single" w:color="000000" w:sz="8" w:space="0"/>
                  </w:tcBorders>
                  <w:shd w:val="clear" w:color="auto" w:fill="auto"/>
                  <w:noWrap w:val="0"/>
                  <w:vAlign w:val="center"/>
                </w:tcPr>
                <w:p w14:paraId="12229636">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007" w:type="pct"/>
                  <w:vMerge w:val="continue"/>
                  <w:tcBorders>
                    <w:left w:val="single" w:color="000000" w:sz="8" w:space="0"/>
                    <w:right w:val="single" w:color="000000" w:sz="8" w:space="0"/>
                  </w:tcBorders>
                  <w:shd w:val="clear" w:color="auto" w:fill="auto"/>
                  <w:noWrap w:val="0"/>
                  <w:vAlign w:val="center"/>
                </w:tcPr>
                <w:p w14:paraId="0A41EBB2">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r>
            <w:tr w14:paraId="1160E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right w:val="single" w:color="000000" w:sz="8" w:space="0"/>
                  </w:tcBorders>
                  <w:shd w:val="clear" w:color="auto" w:fill="auto"/>
                  <w:noWrap w:val="0"/>
                  <w:vAlign w:val="center"/>
                </w:tcPr>
                <w:p w14:paraId="1AE4FC16">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E90F0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634ABD8">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颗粒物</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54CD63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机顶部设置布袋除尘器。产生的粉尘经脉冲式布袋除尘器处理后，在厂房内无组织排放。同时，厂房内设置喷雾装置控制皮带输送时产生的原料输送扬尘。在下料斗设置三面围挡，顶部设置喷雾装置进行降尘。</w:t>
                  </w:r>
                </w:p>
              </w:tc>
              <w:tc>
                <w:tcPr>
                  <w:tcW w:w="648" w:type="pct"/>
                  <w:vMerge w:val="continue"/>
                  <w:tcBorders>
                    <w:left w:val="single" w:color="000000" w:sz="8" w:space="0"/>
                    <w:right w:val="single" w:color="000000" w:sz="8" w:space="0"/>
                  </w:tcBorders>
                  <w:shd w:val="clear" w:color="auto" w:fill="auto"/>
                  <w:noWrap w:val="0"/>
                  <w:vAlign w:val="center"/>
                </w:tcPr>
                <w:p w14:paraId="174819BF">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007" w:type="pct"/>
                  <w:vMerge w:val="continue"/>
                  <w:tcBorders>
                    <w:left w:val="single" w:color="000000" w:sz="8" w:space="0"/>
                    <w:right w:val="single" w:color="000000" w:sz="8" w:space="0"/>
                  </w:tcBorders>
                  <w:shd w:val="clear" w:color="auto" w:fill="auto"/>
                  <w:noWrap w:val="0"/>
                  <w:vAlign w:val="center"/>
                </w:tcPr>
                <w:p w14:paraId="6CD24475">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r>
            <w:tr w14:paraId="6D087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right w:val="single" w:color="000000" w:sz="8" w:space="0"/>
                  </w:tcBorders>
                  <w:shd w:val="clear" w:color="auto" w:fill="auto"/>
                  <w:noWrap w:val="0"/>
                  <w:vAlign w:val="center"/>
                </w:tcPr>
                <w:p w14:paraId="47696657">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C9263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运输车辆</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3BADBF0">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颗粒物</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D4211A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地面固化，每日进行地面清洁。运输车辆加盖篷布，严禁超载，杜绝汽车抛洒，保持车体整洁，净车上路。道路两侧设置固定喷雾降尘或移动式雾炮降尘。</w:t>
                  </w:r>
                </w:p>
              </w:tc>
              <w:tc>
                <w:tcPr>
                  <w:tcW w:w="648" w:type="pct"/>
                  <w:vMerge w:val="continue"/>
                  <w:tcBorders>
                    <w:left w:val="single" w:color="000000" w:sz="8" w:space="0"/>
                    <w:bottom w:val="single" w:color="000000" w:sz="8" w:space="0"/>
                    <w:right w:val="single" w:color="000000" w:sz="8" w:space="0"/>
                  </w:tcBorders>
                  <w:shd w:val="clear" w:color="auto" w:fill="auto"/>
                  <w:noWrap w:val="0"/>
                  <w:vAlign w:val="center"/>
                </w:tcPr>
                <w:p w14:paraId="47971CDA">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007" w:type="pct"/>
                  <w:vMerge w:val="continue"/>
                  <w:tcBorders>
                    <w:left w:val="single" w:color="000000" w:sz="8" w:space="0"/>
                    <w:bottom w:val="single" w:color="000000" w:sz="8" w:space="0"/>
                    <w:right w:val="single" w:color="000000" w:sz="8" w:space="0"/>
                  </w:tcBorders>
                  <w:shd w:val="clear" w:color="auto" w:fill="auto"/>
                  <w:noWrap w:val="0"/>
                  <w:vAlign w:val="center"/>
                </w:tcPr>
                <w:p w14:paraId="006C70D8">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r>
            <w:tr w14:paraId="0F382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8" w:space="0"/>
                    <w:left w:val="single" w:color="000000" w:sz="8" w:space="0"/>
                    <w:right w:val="single" w:color="000000" w:sz="8" w:space="0"/>
                  </w:tcBorders>
                  <w:shd w:val="clear" w:color="auto" w:fill="auto"/>
                  <w:noWrap w:val="0"/>
                  <w:vAlign w:val="center"/>
                </w:tcPr>
                <w:p w14:paraId="2509ADB6">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水污染物</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3268C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车辆冲洗</w:t>
                  </w:r>
                </w:p>
              </w:tc>
              <w:tc>
                <w:tcPr>
                  <w:tcW w:w="656" w:type="pct"/>
                  <w:vMerge w:val="restart"/>
                  <w:tcBorders>
                    <w:top w:val="single" w:color="000000" w:sz="8" w:space="0"/>
                    <w:left w:val="single" w:color="000000" w:sz="8" w:space="0"/>
                    <w:right w:val="single" w:color="000000" w:sz="8" w:space="0"/>
                  </w:tcBorders>
                  <w:shd w:val="clear" w:color="auto" w:fill="auto"/>
                  <w:noWrap w:val="0"/>
                  <w:vAlign w:val="center"/>
                </w:tcPr>
                <w:p w14:paraId="73B9AF53">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pH、COD、NH</w:t>
                  </w:r>
                  <w:r>
                    <w:rPr>
                      <w:rFonts w:hint="default" w:ascii="Times New Roman" w:hAnsi="Times New Roman" w:eastAsia="宋体" w:cs="Times New Roman"/>
                      <w:bCs/>
                      <w:snapToGrid/>
                      <w:color w:val="000000" w:themeColor="text1"/>
                      <w:spacing w:val="0"/>
                      <w:w w:val="100"/>
                      <w:kern w:val="0"/>
                      <w:position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-H、SS</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4B320B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经洗车平台沉淀池（15m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）沉淀后回用于车辆冲洗，不外排。</w:t>
                  </w:r>
                </w:p>
              </w:tc>
              <w:tc>
                <w:tcPr>
                  <w:tcW w:w="648" w:type="pct"/>
                  <w:vMerge w:val="restart"/>
                  <w:tcBorders>
                    <w:top w:val="single" w:color="000000" w:sz="8" w:space="0"/>
                    <w:left w:val="single" w:color="000000" w:sz="8" w:space="0"/>
                    <w:right w:val="single" w:color="000000" w:sz="8" w:space="0"/>
                  </w:tcBorders>
                  <w:shd w:val="clear" w:color="auto" w:fill="auto"/>
                  <w:noWrap w:val="0"/>
                  <w:vAlign w:val="center"/>
                </w:tcPr>
                <w:p w14:paraId="7A916441">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w:t>
                  </w:r>
                </w:p>
              </w:tc>
              <w:tc>
                <w:tcPr>
                  <w:tcW w:w="1007" w:type="pct"/>
                  <w:vMerge w:val="restart"/>
                  <w:tcBorders>
                    <w:top w:val="single" w:color="000000" w:sz="8" w:space="0"/>
                    <w:left w:val="single" w:color="000000" w:sz="8" w:space="0"/>
                    <w:right w:val="single" w:color="000000" w:sz="8" w:space="0"/>
                  </w:tcBorders>
                  <w:shd w:val="clear" w:color="auto" w:fill="auto"/>
                  <w:noWrap w:val="0"/>
                  <w:vAlign w:val="center"/>
                </w:tcPr>
                <w:p w14:paraId="0F98CDB4">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不外排</w:t>
                  </w:r>
                </w:p>
              </w:tc>
            </w:tr>
            <w:tr w14:paraId="4D8CB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right w:val="single" w:color="000000" w:sz="8" w:space="0"/>
                  </w:tcBorders>
                  <w:shd w:val="clear" w:color="auto" w:fill="auto"/>
                  <w:noWrap w:val="0"/>
                  <w:vAlign w:val="center"/>
                </w:tcPr>
                <w:p w14:paraId="099B74D2">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3AB0E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地面冲洗</w:t>
                  </w:r>
                </w:p>
              </w:tc>
              <w:tc>
                <w:tcPr>
                  <w:tcW w:w="656" w:type="pct"/>
                  <w:vMerge w:val="continue"/>
                  <w:tcBorders>
                    <w:left w:val="single" w:color="000000" w:sz="8" w:space="0"/>
                    <w:right w:val="single" w:color="000000" w:sz="8" w:space="0"/>
                  </w:tcBorders>
                  <w:shd w:val="clear" w:color="auto" w:fill="auto"/>
                  <w:noWrap w:val="0"/>
                  <w:vAlign w:val="center"/>
                </w:tcPr>
                <w:p w14:paraId="47FAE729">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592" w:type="pct"/>
                  <w:vMerge w:val="restart"/>
                  <w:tcBorders>
                    <w:top w:val="single" w:color="000000" w:sz="8" w:space="0"/>
                    <w:left w:val="single" w:color="000000" w:sz="8" w:space="0"/>
                    <w:right w:val="single" w:color="000000" w:sz="8" w:space="0"/>
                  </w:tcBorders>
                  <w:shd w:val="clear" w:color="auto" w:fill="auto"/>
                  <w:noWrap w:val="0"/>
                  <w:vAlign w:val="center"/>
                </w:tcPr>
                <w:p w14:paraId="1D2E470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经车间沉淀池（</w:t>
                  </w:r>
                  <w:r>
                    <w:rPr>
                      <w:rFonts w:hint="eastAsia" w:ascii="Times New Roman" w:hAnsi="Times New Roman" w:eastAsia="宋体" w:cs="Times New Roman"/>
                      <w:i w:val="0"/>
                      <w:iCs w:val="0"/>
                      <w:color w:val="000000"/>
                      <w:kern w:val="0"/>
                      <w:sz w:val="21"/>
                      <w:szCs w:val="21"/>
                      <w:u w:val="none"/>
                      <w:lang w:val="en-US" w:eastAsia="zh-CN" w:bidi="ar"/>
                    </w:rPr>
                    <w:t>30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）+砂水分离机+压滤设施回用，不外排。</w:t>
                  </w:r>
                </w:p>
              </w:tc>
              <w:tc>
                <w:tcPr>
                  <w:tcW w:w="648" w:type="pct"/>
                  <w:vMerge w:val="continue"/>
                  <w:tcBorders>
                    <w:left w:val="single" w:color="000000" w:sz="8" w:space="0"/>
                    <w:right w:val="single" w:color="000000" w:sz="8" w:space="0"/>
                  </w:tcBorders>
                  <w:shd w:val="clear" w:color="auto" w:fill="auto"/>
                  <w:noWrap w:val="0"/>
                  <w:vAlign w:val="center"/>
                </w:tcPr>
                <w:p w14:paraId="5BEF8CC1">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007" w:type="pct"/>
                  <w:vMerge w:val="continue"/>
                  <w:tcBorders>
                    <w:left w:val="single" w:color="000000" w:sz="8" w:space="0"/>
                    <w:right w:val="single" w:color="000000" w:sz="8" w:space="0"/>
                  </w:tcBorders>
                  <w:shd w:val="clear" w:color="auto" w:fill="auto"/>
                  <w:noWrap w:val="0"/>
                  <w:vAlign w:val="center"/>
                </w:tcPr>
                <w:p w14:paraId="11B152CE">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r>
            <w:tr w14:paraId="22B28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right w:val="single" w:color="000000" w:sz="8" w:space="0"/>
                  </w:tcBorders>
                  <w:shd w:val="clear" w:color="auto" w:fill="auto"/>
                  <w:noWrap w:val="0"/>
                  <w:vAlign w:val="center"/>
                </w:tcPr>
                <w:p w14:paraId="490C3F90">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CE2B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搅拌机清洗</w:t>
                  </w:r>
                </w:p>
              </w:tc>
              <w:tc>
                <w:tcPr>
                  <w:tcW w:w="656" w:type="pct"/>
                  <w:vMerge w:val="continue"/>
                  <w:tcBorders>
                    <w:left w:val="single" w:color="000000" w:sz="8" w:space="0"/>
                    <w:bottom w:val="single" w:color="000000" w:sz="8" w:space="0"/>
                    <w:right w:val="single" w:color="000000" w:sz="8" w:space="0"/>
                  </w:tcBorders>
                  <w:shd w:val="clear" w:color="auto" w:fill="auto"/>
                  <w:noWrap w:val="0"/>
                  <w:vAlign w:val="center"/>
                </w:tcPr>
                <w:p w14:paraId="119378E0">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592" w:type="pct"/>
                  <w:vMerge w:val="continue"/>
                  <w:tcBorders>
                    <w:left w:val="single" w:color="000000" w:sz="8" w:space="0"/>
                    <w:bottom w:val="single" w:color="000000" w:sz="8" w:space="0"/>
                    <w:right w:val="single" w:color="000000" w:sz="8" w:space="0"/>
                  </w:tcBorders>
                  <w:shd w:val="clear" w:color="auto" w:fill="auto"/>
                  <w:noWrap w:val="0"/>
                  <w:vAlign w:val="center"/>
                </w:tcPr>
                <w:p w14:paraId="7A51150C">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48" w:type="pct"/>
                  <w:vMerge w:val="continue"/>
                  <w:tcBorders>
                    <w:left w:val="single" w:color="000000" w:sz="8" w:space="0"/>
                    <w:bottom w:val="single" w:color="000000" w:sz="8" w:space="0"/>
                    <w:right w:val="single" w:color="000000" w:sz="8" w:space="0"/>
                  </w:tcBorders>
                  <w:shd w:val="clear" w:color="auto" w:fill="auto"/>
                  <w:noWrap w:val="0"/>
                  <w:vAlign w:val="center"/>
                </w:tcPr>
                <w:p w14:paraId="496D778F">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1007" w:type="pct"/>
                  <w:vMerge w:val="continue"/>
                  <w:tcBorders>
                    <w:left w:val="single" w:color="000000" w:sz="8" w:space="0"/>
                    <w:bottom w:val="single" w:color="000000" w:sz="8" w:space="0"/>
                    <w:right w:val="single" w:color="000000" w:sz="8" w:space="0"/>
                  </w:tcBorders>
                  <w:shd w:val="clear" w:color="auto" w:fill="auto"/>
                  <w:noWrap w:val="0"/>
                  <w:vAlign w:val="center"/>
                </w:tcPr>
                <w:p w14:paraId="1CEB36B1">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r>
            <w:tr w14:paraId="2FF3D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left w:val="single" w:color="000000" w:sz="8" w:space="0"/>
                    <w:bottom w:val="single" w:color="000000" w:sz="8" w:space="0"/>
                    <w:right w:val="single" w:color="000000" w:sz="8" w:space="0"/>
                  </w:tcBorders>
                  <w:shd w:val="clear" w:color="auto" w:fill="auto"/>
                  <w:noWrap w:val="0"/>
                  <w:vAlign w:val="center"/>
                </w:tcPr>
                <w:p w14:paraId="2DD6F74B">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34D62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办公生活</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E2094EF">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pH、COD、NH</w:t>
                  </w:r>
                  <w:r>
                    <w:rPr>
                      <w:rFonts w:hint="eastAsia" w:ascii="Times New Roman" w:hAnsi="Times New Roman" w:eastAsia="宋体" w:cs="Times New Roman"/>
                      <w:bCs/>
                      <w:snapToGrid/>
                      <w:color w:val="000000" w:themeColor="text1"/>
                      <w:spacing w:val="0"/>
                      <w:w w:val="100"/>
                      <w:kern w:val="0"/>
                      <w:position w:val="0"/>
                      <w:sz w:val="21"/>
                      <w:szCs w:val="21"/>
                      <w:vertAlign w:val="subscript"/>
                      <w:lang w:val="en-US" w:eastAsia="zh-CN"/>
                      <w14:textFill>
                        <w14:solidFill>
                          <w14:schemeClr w14:val="tx1"/>
                        </w14:solidFill>
                      </w14:textFill>
                    </w:rPr>
                    <w:t>3</w:t>
                  </w: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-H、SS、BOD</w:t>
                  </w:r>
                  <w:r>
                    <w:rPr>
                      <w:rFonts w:hint="eastAsia" w:ascii="Times New Roman" w:hAnsi="Times New Roman" w:eastAsia="宋体" w:cs="Times New Roman"/>
                      <w:bCs/>
                      <w:snapToGrid/>
                      <w:color w:val="000000" w:themeColor="text1"/>
                      <w:spacing w:val="0"/>
                      <w:w w:val="100"/>
                      <w:kern w:val="0"/>
                      <w:position w:val="0"/>
                      <w:sz w:val="21"/>
                      <w:szCs w:val="21"/>
                      <w:vertAlign w:val="subscript"/>
                      <w:lang w:val="en-US" w:eastAsia="zh-CN"/>
                      <w14:textFill>
                        <w14:solidFill>
                          <w14:schemeClr w14:val="tx1"/>
                        </w14:solidFill>
                      </w14:textFill>
                    </w:rPr>
                    <w:t>5</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B567F0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经化粪池</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处理后用于厂区绿化，不外排。</w:t>
                  </w:r>
                </w:p>
              </w:tc>
              <w:tc>
                <w:tcPr>
                  <w:tcW w:w="648"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DD3F3A1">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化粪池</w:t>
                  </w:r>
                </w:p>
              </w:tc>
              <w:tc>
                <w:tcPr>
                  <w:tcW w:w="1007"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E5EDF5F">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《农田灌溉水质标准》（GB5084-2021）</w:t>
                  </w:r>
                </w:p>
              </w:tc>
            </w:tr>
            <w:tr w14:paraId="3C231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EA9F1EF">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噪声</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4B2586E">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生产设备</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2F6E09D">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bCs/>
                      <w:snapToGrid/>
                      <w:color w:val="000000" w:themeColor="text1"/>
                      <w:spacing w:val="0"/>
                      <w:w w:val="100"/>
                      <w:kern w:val="0"/>
                      <w:position w:val="0"/>
                      <w:sz w:val="21"/>
                      <w:szCs w:val="21"/>
                      <w:lang w:val="en-US" w:eastAsia="zh-CN"/>
                      <w14:textFill>
                        <w14:solidFill>
                          <w14:schemeClr w14:val="tx1"/>
                        </w14:solidFill>
                      </w14:textFill>
                    </w:rPr>
                    <w:t>等效连续A声级</w:t>
                  </w:r>
                </w:p>
              </w:tc>
              <w:tc>
                <w:tcPr>
                  <w:tcW w:w="15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7F3B47D">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合理安排工作时间、隔声、减振、距离衰减等</w:t>
                  </w:r>
                </w:p>
              </w:tc>
              <w:tc>
                <w:tcPr>
                  <w:tcW w:w="648"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D2A4E95">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厂界</w:t>
                  </w:r>
                </w:p>
              </w:tc>
              <w:tc>
                <w:tcPr>
                  <w:tcW w:w="1007"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36814AB">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《工业企业厂界环境噪声排放标准》（GB 12348-2008）2类标准</w:t>
                  </w:r>
                </w:p>
              </w:tc>
            </w:tr>
            <w:tr w14:paraId="1A0D2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1B883AD">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固体废物</w:t>
                  </w: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89098E9">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生活垃圾</w:t>
                  </w:r>
                </w:p>
              </w:tc>
              <w:tc>
                <w:tcPr>
                  <w:tcW w:w="65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F3DD6B7">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生活垃圾</w:t>
                  </w:r>
                </w:p>
              </w:tc>
              <w:tc>
                <w:tcPr>
                  <w:tcW w:w="3248" w:type="pct"/>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D22763C">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分类收集，当地环卫部门清运处理</w:t>
                  </w:r>
                </w:p>
              </w:tc>
            </w:tr>
            <w:tr w14:paraId="7E1D8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0F8E356">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B7AE32F">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一般工业固废</w:t>
                  </w:r>
                </w:p>
              </w:tc>
              <w:tc>
                <w:tcPr>
                  <w:tcW w:w="3905" w:type="pct"/>
                  <w:gridSpan w:val="4"/>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51CB4F0">
                  <w:pPr>
                    <w:pStyle w:val="102"/>
                    <w:contextualSpacing/>
                    <w:jc w:val="both"/>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设置一般</w:t>
                  </w: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工业固废暂存间</w:t>
                  </w:r>
                  <w:r>
                    <w:rPr>
                      <w:rFonts w:hint="eastAsia"/>
                      <w:bCs/>
                      <w:color w:val="000000" w:themeColor="text1"/>
                      <w:sz w:val="21"/>
                      <w:szCs w:val="21"/>
                      <w:lang w:val="en-US" w:eastAsia="zh-CN"/>
                      <w14:textFill>
                        <w14:solidFill>
                          <w14:schemeClr w14:val="tx1"/>
                        </w14:solidFill>
                      </w14:textFill>
                    </w:rPr>
                    <w:t>（占地面积20</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w:t>
                  </w:r>
                  <w: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布袋除尘器收集的粉尘</w:t>
                  </w: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、沉渣</w:t>
                  </w:r>
                  <w: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回用于生产</w:t>
                  </w: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，废除尘布袋</w:t>
                  </w:r>
                  <w:r>
                    <w:rPr>
                      <w:rFonts w:hint="eastAsia" w:cs="Times New Roman"/>
                      <w:bCs/>
                      <w:snapToGrid/>
                      <w:color w:val="000000" w:themeColor="text1"/>
                      <w:spacing w:val="0"/>
                      <w:w w:val="100"/>
                      <w:kern w:val="0"/>
                      <w:position w:val="0"/>
                      <w:sz w:val="21"/>
                      <w:szCs w:val="21"/>
                      <w:lang w:val="en-US" w:eastAsia="zh-CN"/>
                      <w14:textFill>
                        <w14:solidFill>
                          <w14:schemeClr w14:val="tx1"/>
                        </w14:solidFill>
                      </w14:textFill>
                    </w:rPr>
                    <w:t>、废实验样品</w:t>
                  </w: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定期交由环卫部门处置。</w:t>
                  </w:r>
                </w:p>
              </w:tc>
            </w:tr>
            <w:tr w14:paraId="14904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5818A58">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p>
              </w:tc>
              <w:tc>
                <w:tcPr>
                  <w:tcW w:w="615"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C7E9A46">
                  <w:pPr>
                    <w:pStyle w:val="102"/>
                    <w:contextualSpacing/>
                    <w:jc w:val="cente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危险废物</w:t>
                  </w:r>
                </w:p>
              </w:tc>
              <w:tc>
                <w:tcPr>
                  <w:tcW w:w="3905" w:type="pct"/>
                  <w:gridSpan w:val="4"/>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4F685EB">
                  <w:pPr>
                    <w:pStyle w:val="102"/>
                    <w:contextualSpacing/>
                    <w:jc w:val="both"/>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设置</w:t>
                  </w:r>
                  <w:r>
                    <w:rPr>
                      <w:rFonts w:hint="eastAsia"/>
                      <w:bCs/>
                      <w:color w:val="000000" w:themeColor="text1"/>
                      <w:sz w:val="21"/>
                      <w:szCs w:val="21"/>
                      <w:lang w:val="en-US" w:eastAsia="zh-CN"/>
                      <w14:textFill>
                        <w14:solidFill>
                          <w14:schemeClr w14:val="tx1"/>
                        </w14:solidFill>
                      </w14:textFill>
                    </w:rPr>
                    <w:t>危废暂存间（占地面积10</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r>
                    <w:rPr>
                      <w:rFonts w:hint="eastAsia"/>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w:t>
                  </w:r>
                  <w: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t>废机油</w:t>
                  </w:r>
                  <w:r>
                    <w:rPr>
                      <w:rFonts w:hint="eastAsia" w:ascii="Times New Roman" w:hAnsi="Times New Roman" w:cs="Times New Roman"/>
                      <w:bCs/>
                      <w:snapToGrid/>
                      <w:color w:val="000000" w:themeColor="text1"/>
                      <w:spacing w:val="0"/>
                      <w:w w:val="100"/>
                      <w:kern w:val="0"/>
                      <w:position w:val="0"/>
                      <w:sz w:val="21"/>
                      <w:szCs w:val="21"/>
                      <w:lang w:val="en-US" w:eastAsia="zh-CN"/>
                      <w14:textFill>
                        <w14:solidFill>
                          <w14:schemeClr w14:val="tx1"/>
                        </w14:solidFill>
                      </w14:textFill>
                    </w:rPr>
                    <w:t>、废机油桶、含油抹布、废手套委托有资质的单位处置。</w:t>
                  </w:r>
                </w:p>
              </w:tc>
            </w:tr>
            <w:tr w14:paraId="4ACBD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pct"/>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887E879">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bCs/>
                      <w:snapToGrid/>
                      <w:color w:val="000000" w:themeColor="text1"/>
                      <w:spacing w:val="0"/>
                      <w:w w:val="100"/>
                      <w:kern w:val="0"/>
                      <w:position w:val="0"/>
                      <w:sz w:val="21"/>
                      <w:szCs w:val="21"/>
                      <w:lang w:val="en-US" w:eastAsia="zh-CN"/>
                      <w14:textFill>
                        <w14:solidFill>
                          <w14:schemeClr w14:val="tx1"/>
                        </w14:solidFill>
                      </w14:textFill>
                    </w:rPr>
                    <w:t>环境风险</w:t>
                  </w:r>
                </w:p>
              </w:tc>
              <w:tc>
                <w:tcPr>
                  <w:tcW w:w="3248" w:type="pct"/>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185AD0C">
                  <w:pPr>
                    <w:pStyle w:val="102"/>
                    <w:contextualSpacing/>
                    <w:jc w:val="center"/>
                    <w:rPr>
                      <w:rFonts w:hint="default" w:ascii="Times New Roman" w:hAnsi="Times New Roman" w:eastAsia="宋体" w:cs="Times New Roman"/>
                      <w:bCs/>
                      <w:snapToGrid/>
                      <w:color w:val="000000" w:themeColor="text1"/>
                      <w:spacing w:val="0"/>
                      <w:w w:val="100"/>
                      <w:kern w:val="0"/>
                      <w:position w:val="0"/>
                      <w:sz w:val="21"/>
                      <w:szCs w:val="21"/>
                      <w:lang w:val="en-US" w:eastAsia="zh-CN"/>
                      <w14:textFill>
                        <w14:solidFill>
                          <w14:schemeClr w14:val="tx1"/>
                        </w14:solidFill>
                      </w14:textFill>
                    </w:rPr>
                  </w:pPr>
                  <w:r>
                    <w:rPr>
                      <w:rFonts w:hint="eastAsia" w:cs="Times New Roman"/>
                      <w:bCs/>
                      <w:snapToGrid/>
                      <w:color w:val="000000" w:themeColor="text1"/>
                      <w:spacing w:val="0"/>
                      <w:w w:val="100"/>
                      <w:kern w:val="0"/>
                      <w:position w:val="0"/>
                      <w:sz w:val="21"/>
                      <w:szCs w:val="21"/>
                      <w:lang w:val="en-US" w:eastAsia="zh-CN"/>
                      <w14:textFill>
                        <w14:solidFill>
                          <w14:schemeClr w14:val="tx1"/>
                        </w14:solidFill>
                      </w14:textFill>
                    </w:rPr>
                    <w:t>初期雨水池（90</w:t>
                  </w:r>
                  <w:r>
                    <w:rPr>
                      <w:rFonts w:hint="eastAsia"/>
                      <w:bCs/>
                      <w:snapToGrid/>
                      <w:color w:val="000000" w:themeColor="text1"/>
                      <w:spacing w:val="0"/>
                      <w:w w:val="100"/>
                      <w:kern w:val="0"/>
                      <w:position w:val="0"/>
                      <w:sz w:val="21"/>
                      <w:szCs w:val="21"/>
                      <w:lang w:val="en-US" w:eastAsia="zh-CN"/>
                      <w14:textFill>
                        <w14:solidFill>
                          <w14:schemeClr w14:val="tx1"/>
                        </w14:solidFill>
                      </w14:textFill>
                    </w:rPr>
                    <w:t>m</w:t>
                  </w:r>
                  <w:r>
                    <w:rPr>
                      <w:rFonts w:hint="eastAsia"/>
                      <w:bCs/>
                      <w:snapToGrid/>
                      <w:color w:val="000000" w:themeColor="text1"/>
                      <w:spacing w:val="0"/>
                      <w:w w:val="100"/>
                      <w:kern w:val="0"/>
                      <w:position w:val="0"/>
                      <w:sz w:val="21"/>
                      <w:szCs w:val="21"/>
                      <w:vertAlign w:val="superscript"/>
                      <w:lang w:val="en-US" w:eastAsia="zh-CN"/>
                      <w14:textFill>
                        <w14:solidFill>
                          <w14:schemeClr w14:val="tx1"/>
                        </w14:solidFill>
                      </w14:textFill>
                    </w:rPr>
                    <w:t>3</w:t>
                  </w:r>
                  <w:r>
                    <w:rPr>
                      <w:rFonts w:hint="eastAsia" w:cs="Times New Roman"/>
                      <w:bCs/>
                      <w:snapToGrid/>
                      <w:color w:val="000000" w:themeColor="text1"/>
                      <w:spacing w:val="0"/>
                      <w:w w:val="100"/>
                      <w:kern w:val="0"/>
                      <w:position w:val="0"/>
                      <w:sz w:val="21"/>
                      <w:szCs w:val="21"/>
                      <w:lang w:val="en-US" w:eastAsia="zh-CN"/>
                      <w14:textFill>
                        <w14:solidFill>
                          <w14:schemeClr w14:val="tx1"/>
                        </w14:solidFill>
                      </w14:textFill>
                    </w:rPr>
                    <w:t>）</w:t>
                  </w:r>
                </w:p>
              </w:tc>
            </w:tr>
          </w:tbl>
          <w:p w14:paraId="37465D91">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p w14:paraId="75F07558">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p w14:paraId="6AAD3477">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p w14:paraId="6B61B973">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vertAlign w:val="baseline"/>
                <w14:textFill>
                  <w14:solidFill>
                    <w14:schemeClr w14:val="tx1"/>
                  </w14:solidFill>
                </w14:textFill>
              </w:rPr>
            </w:pPr>
          </w:p>
        </w:tc>
      </w:tr>
    </w:tbl>
    <w:p w14:paraId="328A99CC">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sectPr>
          <w:pgSz w:w="11906" w:h="16838"/>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p>
    <w:p w14:paraId="43C7424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snapToGrid/>
          <w:color w:val="000000" w:themeColor="text1"/>
          <w:spacing w:val="0"/>
          <w:kern w:val="0"/>
          <w:position w:val="0"/>
          <w:sz w:val="30"/>
          <w:szCs w:val="30"/>
          <w14:textFill>
            <w14:solidFill>
              <w14:schemeClr w14:val="tx1"/>
            </w14:solidFill>
          </w14:textFill>
        </w:rPr>
      </w:pPr>
      <w:r>
        <w:rPr>
          <w:rFonts w:hint="eastAsia" w:ascii="黑体" w:hAnsi="黑体" w:eastAsia="黑体"/>
          <w:snapToGrid/>
          <w:color w:val="000000" w:themeColor="text1"/>
          <w:spacing w:val="0"/>
          <w:kern w:val="0"/>
          <w:position w:val="0"/>
          <w:sz w:val="30"/>
          <w:szCs w:val="30"/>
          <w14:textFill>
            <w14:solidFill>
              <w14:schemeClr w14:val="tx1"/>
            </w14:solidFill>
          </w14:textFill>
        </w:rPr>
        <w:t>五、</w:t>
      </w:r>
      <w:bookmarkStart w:id="10" w:name="_Hlk54167917"/>
      <w:r>
        <w:rPr>
          <w:rFonts w:hint="eastAsia" w:ascii="黑体" w:hAnsi="黑体" w:eastAsia="黑体"/>
          <w:snapToGrid/>
          <w:color w:val="000000" w:themeColor="text1"/>
          <w:spacing w:val="0"/>
          <w:kern w:val="0"/>
          <w:position w:val="0"/>
          <w:sz w:val="30"/>
          <w:szCs w:val="30"/>
          <w14:textFill>
            <w14:solidFill>
              <w14:schemeClr w14:val="tx1"/>
            </w14:solidFill>
          </w14:textFill>
        </w:rPr>
        <w:t>环境保护措施监督检查清单</w:t>
      </w:r>
      <w:bookmarkEnd w:id="9"/>
      <w:bookmarkEnd w:id="1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498"/>
        <w:gridCol w:w="1479"/>
        <w:gridCol w:w="2748"/>
        <w:gridCol w:w="1764"/>
      </w:tblGrid>
      <w:tr w14:paraId="5E22C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tcBorders>
              <w:tl2br w:val="single" w:color="auto" w:sz="4" w:space="0"/>
            </w:tcBorders>
            <w:noWrap w:val="0"/>
            <w:vAlign w:val="center"/>
          </w:tcPr>
          <w:p w14:paraId="08CCE450">
            <w:pPr>
              <w:keepNext w:val="0"/>
              <w:keepLines w:val="0"/>
              <w:pageBreakBefore w:val="0"/>
              <w:kinsoku/>
              <w:wordWrap/>
              <w:overflowPunct/>
              <w:topLinePunct w:val="0"/>
              <w:autoSpaceDE/>
              <w:autoSpaceDN/>
              <w:bidi w:val="0"/>
              <w:adjustRightInd w:val="0"/>
              <w:snapToGrid w:val="0"/>
              <w:spacing w:line="240" w:lineRule="auto"/>
              <w:jc w:val="right"/>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内容</w:t>
            </w:r>
          </w:p>
          <w:p w14:paraId="6F7DB41A">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要素</w:t>
            </w:r>
          </w:p>
        </w:tc>
        <w:tc>
          <w:tcPr>
            <w:tcW w:w="1498" w:type="dxa"/>
            <w:noWrap w:val="0"/>
            <w:vAlign w:val="center"/>
          </w:tcPr>
          <w:p w14:paraId="6F2F6AB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排放口(编号、名称)/污染源</w:t>
            </w:r>
          </w:p>
        </w:tc>
        <w:tc>
          <w:tcPr>
            <w:tcW w:w="1479" w:type="dxa"/>
            <w:noWrap w:val="0"/>
            <w:vAlign w:val="center"/>
          </w:tcPr>
          <w:p w14:paraId="3CB27E7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污染物项目</w:t>
            </w:r>
          </w:p>
        </w:tc>
        <w:tc>
          <w:tcPr>
            <w:tcW w:w="2748" w:type="dxa"/>
            <w:noWrap w:val="0"/>
            <w:vAlign w:val="center"/>
          </w:tcPr>
          <w:p w14:paraId="1CFA1021">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环境保护措施</w:t>
            </w:r>
          </w:p>
        </w:tc>
        <w:tc>
          <w:tcPr>
            <w:tcW w:w="1764" w:type="dxa"/>
            <w:noWrap w:val="0"/>
            <w:vAlign w:val="center"/>
          </w:tcPr>
          <w:p w14:paraId="23B55FDE">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b/>
                <w:bCs/>
                <w:snapToGrid/>
                <w:color w:val="000000" w:themeColor="text1"/>
                <w:spacing w:val="0"/>
                <w:kern w:val="0"/>
                <w:position w:val="0"/>
                <w:sz w:val="24"/>
                <w:szCs w:val="24"/>
                <w14:textFill>
                  <w14:solidFill>
                    <w14:schemeClr w14:val="tx1"/>
                  </w14:solidFill>
                </w14:textFill>
              </w:rPr>
            </w:pPr>
            <w:r>
              <w:rPr>
                <w:rFonts w:hint="eastAsia" w:ascii="宋体" w:hAnsi="宋体" w:cs="宋体"/>
                <w:b/>
                <w:bCs/>
                <w:snapToGrid/>
                <w:color w:val="000000" w:themeColor="text1"/>
                <w:spacing w:val="0"/>
                <w:kern w:val="0"/>
                <w:position w:val="0"/>
                <w:sz w:val="24"/>
                <w:szCs w:val="24"/>
                <w14:textFill>
                  <w14:solidFill>
                    <w14:schemeClr w14:val="tx1"/>
                  </w14:solidFill>
                </w14:textFill>
              </w:rPr>
              <w:t>执行标准</w:t>
            </w:r>
          </w:p>
        </w:tc>
      </w:tr>
      <w:tr w14:paraId="39239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restart"/>
            <w:noWrap w:val="0"/>
            <w:vAlign w:val="center"/>
          </w:tcPr>
          <w:p w14:paraId="15FDAA1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大气环境</w:t>
            </w:r>
          </w:p>
        </w:tc>
        <w:tc>
          <w:tcPr>
            <w:tcW w:w="1498" w:type="dxa"/>
            <w:noWrap w:val="0"/>
            <w:vAlign w:val="center"/>
          </w:tcPr>
          <w:p w14:paraId="5A5B36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原料堆场</w:t>
            </w:r>
          </w:p>
        </w:tc>
        <w:tc>
          <w:tcPr>
            <w:tcW w:w="1479" w:type="dxa"/>
            <w:noWrap w:val="0"/>
            <w:vAlign w:val="center"/>
          </w:tcPr>
          <w:p w14:paraId="6B46DE04">
            <w:pPr>
              <w:widowControl/>
              <w:adjustRightInd w:val="0"/>
              <w:snapToGrid w:val="0"/>
              <w:spacing w:before="48" w:beforeLines="20" w:after="48" w:afterLines="20"/>
              <w:jc w:val="center"/>
              <w:textAlignment w:val="center"/>
              <w:rPr>
                <w:rFonts w:hint="eastAsia"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颗粒物</w:t>
            </w:r>
          </w:p>
        </w:tc>
        <w:tc>
          <w:tcPr>
            <w:tcW w:w="2748" w:type="dxa"/>
            <w:noWrap w:val="0"/>
            <w:vAlign w:val="center"/>
          </w:tcPr>
          <w:p w14:paraId="5442BC1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地面进行硬化处理，来往运输车辆用篷布覆盖，原料堆场位于厂房内，仅留车辆进出口通道，堆料区、下料区和进出口通道安装喷雾装置进行喷淋作业。</w:t>
            </w:r>
          </w:p>
        </w:tc>
        <w:tc>
          <w:tcPr>
            <w:tcW w:w="1764" w:type="dxa"/>
            <w:vMerge w:val="restart"/>
            <w:noWrap w:val="0"/>
            <w:vAlign w:val="center"/>
          </w:tcPr>
          <w:p w14:paraId="38E0FC15">
            <w:pPr>
              <w:widowControl/>
              <w:adjustRightInd w:val="0"/>
              <w:snapToGrid w:val="0"/>
              <w:spacing w:before="48" w:beforeLines="20" w:after="48" w:afterLines="20"/>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4"/>
                <w:szCs w:val="24"/>
                <w:vertAlign w:val="baseline"/>
                <w:lang w:val="en-US" w:eastAsia="zh-CN" w:bidi="ar-SA"/>
                <w14:textFill>
                  <w14:solidFill>
                    <w14:schemeClr w14:val="tx1"/>
                  </w14:solidFill>
                </w14:textFill>
              </w:rPr>
              <w:t>《水泥工业大气污染物排放标准》（GB</w:t>
            </w:r>
            <w:r>
              <w:rPr>
                <w:rFonts w:hint="eastAsia" w:ascii="Times New Roman" w:hAnsi="Times New Roman" w:eastAsia="宋体" w:cs="Times New Roman"/>
                <w:b w:val="0"/>
                <w:bCs w:val="0"/>
                <w:snapToGrid/>
                <w:color w:val="000000" w:themeColor="text1"/>
                <w:spacing w:val="0"/>
                <w:kern w:val="0"/>
                <w:position w:val="0"/>
                <w:sz w:val="24"/>
                <w:szCs w:val="24"/>
                <w:vertAlign w:val="baseline"/>
                <w:lang w:val="en-US" w:eastAsia="zh-CN" w:bidi="ar-SA"/>
                <w14:textFill>
                  <w14:solidFill>
                    <w14:schemeClr w14:val="tx1"/>
                  </w14:solidFill>
                </w14:textFill>
              </w:rPr>
              <w:t>4915</w:t>
            </w:r>
            <w:r>
              <w:rPr>
                <w:rFonts w:hint="default" w:ascii="Times New Roman" w:hAnsi="Times New Roman" w:eastAsia="宋体" w:cs="Times New Roman"/>
                <w:b w:val="0"/>
                <w:bCs w:val="0"/>
                <w:snapToGrid/>
                <w:color w:val="000000" w:themeColor="text1"/>
                <w:spacing w:val="0"/>
                <w:kern w:val="0"/>
                <w:positio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b w:val="0"/>
                <w:bCs w:val="0"/>
                <w:snapToGrid/>
                <w:color w:val="000000" w:themeColor="text1"/>
                <w:spacing w:val="0"/>
                <w:kern w:val="0"/>
                <w:position w:val="0"/>
                <w:sz w:val="24"/>
                <w:szCs w:val="24"/>
                <w:vertAlign w:val="baseline"/>
                <w:lang w:val="en-US" w:eastAsia="zh-CN" w:bidi="ar-SA"/>
                <w14:textFill>
                  <w14:solidFill>
                    <w14:schemeClr w14:val="tx1"/>
                  </w14:solidFill>
                </w14:textFill>
              </w:rPr>
              <w:t>2013</w:t>
            </w:r>
            <w:r>
              <w:rPr>
                <w:rFonts w:hint="default" w:ascii="Times New Roman" w:hAnsi="Times New Roman" w:eastAsia="宋体" w:cs="Times New Roman"/>
                <w:b w:val="0"/>
                <w:bCs w:val="0"/>
                <w:snapToGrid/>
                <w:color w:val="000000" w:themeColor="text1"/>
                <w:spacing w:val="0"/>
                <w:kern w:val="0"/>
                <w:position w:val="0"/>
                <w:sz w:val="24"/>
                <w:szCs w:val="24"/>
                <w:vertAlign w:val="baseline"/>
                <w:lang w:val="en-US" w:eastAsia="zh-CN" w:bidi="ar-SA"/>
                <w14:textFill>
                  <w14:solidFill>
                    <w14:schemeClr w14:val="tx1"/>
                  </w14:solidFill>
                </w14:textFill>
              </w:rPr>
              <w:t>）</w:t>
            </w:r>
          </w:p>
        </w:tc>
      </w:tr>
      <w:tr w14:paraId="1174F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694BFC94">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73267A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筒仓</w:t>
            </w:r>
          </w:p>
        </w:tc>
        <w:tc>
          <w:tcPr>
            <w:tcW w:w="1479" w:type="dxa"/>
            <w:noWrap w:val="0"/>
            <w:vAlign w:val="center"/>
          </w:tcPr>
          <w:p w14:paraId="389AF57E">
            <w:pPr>
              <w:widowControl/>
              <w:adjustRightInd w:val="0"/>
              <w:snapToGrid w:val="0"/>
              <w:spacing w:before="48" w:beforeLines="20" w:after="48" w:afterLines="20"/>
              <w:jc w:val="center"/>
              <w:textAlignment w:val="center"/>
              <w:rPr>
                <w:rFonts w:hint="eastAsia"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颗粒物</w:t>
            </w:r>
          </w:p>
        </w:tc>
        <w:tc>
          <w:tcPr>
            <w:tcW w:w="2748" w:type="dxa"/>
            <w:noWrap w:val="0"/>
            <w:vAlign w:val="center"/>
          </w:tcPr>
          <w:p w14:paraId="298F09F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筒仓顶部均设置脉冲式布袋除尘器，筒仓进料粉尘经脉冲式布袋除尘器收集处理后在厂房中自然沉降，以无组织方式排放。</w:t>
            </w:r>
          </w:p>
        </w:tc>
        <w:tc>
          <w:tcPr>
            <w:tcW w:w="1764" w:type="dxa"/>
            <w:vMerge w:val="continue"/>
            <w:noWrap w:val="0"/>
            <w:vAlign w:val="center"/>
          </w:tcPr>
          <w:p w14:paraId="0918F22B">
            <w:pPr>
              <w:widowControl/>
              <w:adjustRightInd w:val="0"/>
              <w:snapToGrid w:val="0"/>
              <w:spacing w:before="48" w:beforeLines="20" w:after="48" w:afterLines="20"/>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p>
        </w:tc>
      </w:tr>
      <w:tr w14:paraId="48EA7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49EA7D1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217720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搅拌</w:t>
            </w:r>
          </w:p>
        </w:tc>
        <w:tc>
          <w:tcPr>
            <w:tcW w:w="1479" w:type="dxa"/>
            <w:noWrap w:val="0"/>
            <w:vAlign w:val="center"/>
          </w:tcPr>
          <w:p w14:paraId="4B1E15BA">
            <w:pPr>
              <w:widowControl/>
              <w:adjustRightInd w:val="0"/>
              <w:snapToGrid w:val="0"/>
              <w:spacing w:before="48" w:beforeLines="20" w:after="48" w:afterLines="20"/>
              <w:jc w:val="center"/>
              <w:textAlignment w:val="center"/>
              <w:rPr>
                <w:rFonts w:hint="eastAsia"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颗粒物</w:t>
            </w:r>
          </w:p>
        </w:tc>
        <w:tc>
          <w:tcPr>
            <w:tcW w:w="2748" w:type="dxa"/>
            <w:noWrap w:val="0"/>
            <w:vAlign w:val="center"/>
          </w:tcPr>
          <w:p w14:paraId="13E850D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搅拌机顶部设置布袋除尘器。产生的粉尘经脉冲式布袋除尘器处理后，在厂房内无组织排放。同时，厂房内设置喷雾装置控制皮带输送时产生的原料输送扬尘。在下料斗设置三面围挡，顶部设置喷雾装置进行降尘。</w:t>
            </w:r>
          </w:p>
        </w:tc>
        <w:tc>
          <w:tcPr>
            <w:tcW w:w="1764" w:type="dxa"/>
            <w:vMerge w:val="continue"/>
            <w:noWrap w:val="0"/>
            <w:vAlign w:val="center"/>
          </w:tcPr>
          <w:p w14:paraId="2B68C153">
            <w:pPr>
              <w:widowControl/>
              <w:adjustRightInd w:val="0"/>
              <w:snapToGrid w:val="0"/>
              <w:spacing w:before="48" w:beforeLines="20" w:after="48" w:afterLines="20"/>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p>
        </w:tc>
      </w:tr>
      <w:tr w14:paraId="3E0F0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7F0B3A10">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7BB472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运输车辆</w:t>
            </w:r>
          </w:p>
        </w:tc>
        <w:tc>
          <w:tcPr>
            <w:tcW w:w="1479" w:type="dxa"/>
            <w:noWrap w:val="0"/>
            <w:vAlign w:val="center"/>
          </w:tcPr>
          <w:p w14:paraId="07624E73">
            <w:pPr>
              <w:widowControl/>
              <w:adjustRightInd w:val="0"/>
              <w:snapToGrid w:val="0"/>
              <w:spacing w:before="48" w:beforeLines="20" w:after="48" w:afterLines="20"/>
              <w:jc w:val="center"/>
              <w:textAlignment w:val="center"/>
              <w:rPr>
                <w:rFonts w:hint="eastAsia"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颗粒物</w:t>
            </w:r>
          </w:p>
        </w:tc>
        <w:tc>
          <w:tcPr>
            <w:tcW w:w="2748" w:type="dxa"/>
            <w:noWrap w:val="0"/>
            <w:vAlign w:val="center"/>
          </w:tcPr>
          <w:p w14:paraId="248FFDE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地面固化，每日进行地面清洁。运输车辆加盖篷布，严禁超载，杜绝汽车抛洒，保持车体整洁，净车上路。道路两侧设置固定喷雾降尘或移动式雾炮降尘。</w:t>
            </w:r>
          </w:p>
        </w:tc>
        <w:tc>
          <w:tcPr>
            <w:tcW w:w="1764" w:type="dxa"/>
            <w:vMerge w:val="continue"/>
            <w:noWrap w:val="0"/>
            <w:vAlign w:val="center"/>
          </w:tcPr>
          <w:p w14:paraId="6F05D6B0">
            <w:pPr>
              <w:widowControl/>
              <w:adjustRightInd w:val="0"/>
              <w:snapToGrid w:val="0"/>
              <w:spacing w:before="48" w:beforeLines="20" w:after="48" w:afterLines="20"/>
              <w:textAlignment w:val="center"/>
              <w:rPr>
                <w:rFonts w:hint="default" w:ascii="Times New Roman" w:hAnsi="Times New Roman" w:eastAsia="宋体" w:cs="Times New Roman"/>
                <w:bCs/>
                <w:snapToGrid/>
                <w:color w:val="000000" w:themeColor="text1"/>
                <w:spacing w:val="0"/>
                <w:kern w:val="0"/>
                <w:position w:val="0"/>
                <w:sz w:val="24"/>
                <w:szCs w:val="24"/>
                <w:lang w:val="en-US" w:eastAsia="zh-CN" w:bidi="ar-SA"/>
                <w14:textFill>
                  <w14:solidFill>
                    <w14:schemeClr w14:val="tx1"/>
                  </w14:solidFill>
                </w14:textFill>
              </w:rPr>
            </w:pPr>
          </w:p>
        </w:tc>
      </w:tr>
      <w:tr w14:paraId="700D9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restart"/>
            <w:noWrap w:val="0"/>
            <w:vAlign w:val="center"/>
          </w:tcPr>
          <w:p w14:paraId="0D3F0F1B">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地表水环境</w:t>
            </w:r>
          </w:p>
        </w:tc>
        <w:tc>
          <w:tcPr>
            <w:tcW w:w="1498" w:type="dxa"/>
            <w:noWrap w:val="0"/>
            <w:vAlign w:val="center"/>
          </w:tcPr>
          <w:p w14:paraId="1502AB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车辆冲洗</w:t>
            </w:r>
          </w:p>
        </w:tc>
        <w:tc>
          <w:tcPr>
            <w:tcW w:w="1479" w:type="dxa"/>
            <w:vMerge w:val="restart"/>
            <w:noWrap w:val="0"/>
            <w:vAlign w:val="center"/>
          </w:tcPr>
          <w:p w14:paraId="6E4DF66E">
            <w:pPr>
              <w:pStyle w:val="102"/>
              <w:contextualSpacing/>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pH、COD、NH</w:t>
            </w:r>
            <w:r>
              <w:rPr>
                <w:rFonts w:hint="default" w:ascii="Times New Roman" w:hAnsi="Times New Roman" w:eastAsia="宋体" w:cs="Times New Roman"/>
                <w:bCs/>
                <w:snapToGrid/>
                <w:color w:val="000000" w:themeColor="text1"/>
                <w:spacing w:val="0"/>
                <w:w w:val="100"/>
                <w:kern w:val="0"/>
                <w:position w:val="0"/>
                <w:sz w:val="24"/>
                <w:szCs w:val="24"/>
                <w:vertAlign w:val="subscript"/>
                <w:lang w:val="en-US" w:eastAsia="zh-CN"/>
                <w14:textFill>
                  <w14:solidFill>
                    <w14:schemeClr w14:val="tx1"/>
                  </w14:solidFill>
                </w14:textFill>
              </w:rPr>
              <w:t>3</w:t>
            </w:r>
            <w:r>
              <w:rPr>
                <w:rFonts w:hint="default"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-H、SS</w:t>
            </w:r>
          </w:p>
        </w:tc>
        <w:tc>
          <w:tcPr>
            <w:tcW w:w="2748" w:type="dxa"/>
            <w:noWrap w:val="0"/>
            <w:vAlign w:val="center"/>
          </w:tcPr>
          <w:p w14:paraId="3474713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经洗车平台沉淀池（15m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）沉淀后回用于车辆冲洗，不外排。</w:t>
            </w:r>
          </w:p>
        </w:tc>
        <w:tc>
          <w:tcPr>
            <w:tcW w:w="1764" w:type="dxa"/>
            <w:vMerge w:val="restart"/>
            <w:noWrap w:val="0"/>
            <w:vAlign w:val="center"/>
          </w:tcPr>
          <w:p w14:paraId="25C1EFA0">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p>
        </w:tc>
      </w:tr>
      <w:tr w14:paraId="595C6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0D01CD3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027A1D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地面冲洗</w:t>
            </w:r>
          </w:p>
        </w:tc>
        <w:tc>
          <w:tcPr>
            <w:tcW w:w="1479" w:type="dxa"/>
            <w:vMerge w:val="continue"/>
            <w:noWrap w:val="0"/>
            <w:vAlign w:val="center"/>
          </w:tcPr>
          <w:p w14:paraId="461E9C7C">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c>
          <w:tcPr>
            <w:tcW w:w="2748" w:type="dxa"/>
            <w:vMerge w:val="restart"/>
            <w:noWrap w:val="0"/>
            <w:vAlign w:val="center"/>
          </w:tcPr>
          <w:p w14:paraId="2928A77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经车间沉淀池（</w:t>
            </w:r>
            <w:r>
              <w:rPr>
                <w:rFonts w:hint="eastAsia" w:ascii="Times New Roman" w:hAnsi="Times New Roman" w:eastAsia="宋体" w:cs="Times New Roman"/>
                <w:i w:val="0"/>
                <w:iCs w:val="0"/>
                <w:color w:val="000000"/>
                <w:kern w:val="0"/>
                <w:sz w:val="24"/>
                <w:szCs w:val="24"/>
                <w:u w:val="none"/>
                <w:lang w:val="en-US" w:eastAsia="zh-CN" w:bidi="ar"/>
              </w:rPr>
              <w:t>30</w:t>
            </w:r>
            <w:r>
              <w:rPr>
                <w:rFonts w:hint="default" w:ascii="Times New Roman" w:hAnsi="Times New Roman" w:eastAsia="宋体" w:cs="Times New Roman"/>
                <w:i w:val="0"/>
                <w:iCs w:val="0"/>
                <w:color w:val="000000"/>
                <w:kern w:val="0"/>
                <w:sz w:val="24"/>
                <w:szCs w:val="24"/>
                <w:u w:val="none"/>
                <w:lang w:val="en-US" w:eastAsia="zh-CN" w:bidi="ar"/>
              </w:rPr>
              <w:t>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）+砂水分离机+压滤设施回用，不外排。</w:t>
            </w:r>
          </w:p>
        </w:tc>
        <w:tc>
          <w:tcPr>
            <w:tcW w:w="1764" w:type="dxa"/>
            <w:vMerge w:val="continue"/>
            <w:noWrap w:val="0"/>
            <w:vAlign w:val="center"/>
          </w:tcPr>
          <w:p w14:paraId="12959649">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r>
      <w:tr w14:paraId="6001F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494BC0B3">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41C550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搅拌机清洗</w:t>
            </w:r>
          </w:p>
        </w:tc>
        <w:tc>
          <w:tcPr>
            <w:tcW w:w="1479" w:type="dxa"/>
            <w:vMerge w:val="continue"/>
            <w:noWrap w:val="0"/>
            <w:vAlign w:val="center"/>
          </w:tcPr>
          <w:p w14:paraId="44C2F484">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c>
          <w:tcPr>
            <w:tcW w:w="2748" w:type="dxa"/>
            <w:vMerge w:val="continue"/>
            <w:noWrap w:val="0"/>
            <w:vAlign w:val="center"/>
          </w:tcPr>
          <w:p w14:paraId="0731FC55">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c>
          <w:tcPr>
            <w:tcW w:w="1764" w:type="dxa"/>
            <w:vMerge w:val="continue"/>
            <w:noWrap w:val="0"/>
            <w:vAlign w:val="center"/>
          </w:tcPr>
          <w:p w14:paraId="7439F910">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p>
        </w:tc>
      </w:tr>
      <w:tr w14:paraId="40CE5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vMerge w:val="continue"/>
            <w:noWrap w:val="0"/>
            <w:vAlign w:val="center"/>
          </w:tcPr>
          <w:p w14:paraId="76E7EA39">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p>
        </w:tc>
        <w:tc>
          <w:tcPr>
            <w:tcW w:w="1498" w:type="dxa"/>
            <w:noWrap w:val="0"/>
            <w:vAlign w:val="center"/>
          </w:tcPr>
          <w:p w14:paraId="31834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cs="Times New Roman"/>
                <w:bCs/>
                <w:snapToGrid/>
                <w:color w:val="000000" w:themeColor="text1"/>
                <w:spacing w:val="0"/>
                <w:w w:val="100"/>
                <w:kern w:val="0"/>
                <w:position w:val="0"/>
                <w:sz w:val="24"/>
                <w:szCs w:val="24"/>
                <w:lang w:val="en-US" w:eastAsia="zh-CN"/>
                <w14:textFill>
                  <w14:solidFill>
                    <w14:schemeClr w14:val="tx1"/>
                  </w14:solidFill>
                </w14:textFill>
              </w:rPr>
              <w:t>办公生活</w:t>
            </w:r>
          </w:p>
        </w:tc>
        <w:tc>
          <w:tcPr>
            <w:tcW w:w="1479" w:type="dxa"/>
            <w:noWrap w:val="0"/>
            <w:vAlign w:val="center"/>
          </w:tcPr>
          <w:p w14:paraId="79B93D0F">
            <w:pPr>
              <w:pStyle w:val="102"/>
              <w:contextualSpacing/>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pH、COD、NH</w:t>
            </w:r>
            <w:r>
              <w:rPr>
                <w:rFonts w:hint="eastAsia" w:ascii="Times New Roman" w:hAnsi="Times New Roman" w:eastAsia="宋体" w:cs="Times New Roman"/>
                <w:bCs/>
                <w:snapToGrid/>
                <w:color w:val="000000" w:themeColor="text1"/>
                <w:spacing w:val="0"/>
                <w:w w:val="100"/>
                <w:kern w:val="0"/>
                <w:position w:val="0"/>
                <w:sz w:val="24"/>
                <w:szCs w:val="24"/>
                <w:vertAlign w:val="subscript"/>
                <w:lang w:val="en-US" w:eastAsia="zh-CN"/>
                <w14:textFill>
                  <w14:solidFill>
                    <w14:schemeClr w14:val="tx1"/>
                  </w14:solidFill>
                </w14:textFill>
              </w:rPr>
              <w:t>3</w:t>
            </w: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-H、SS、BOD</w:t>
            </w:r>
            <w:r>
              <w:rPr>
                <w:rFonts w:hint="eastAsia" w:ascii="Times New Roman" w:hAnsi="Times New Roman" w:eastAsia="宋体" w:cs="Times New Roman"/>
                <w:bCs/>
                <w:snapToGrid/>
                <w:color w:val="000000" w:themeColor="text1"/>
                <w:spacing w:val="0"/>
                <w:w w:val="100"/>
                <w:kern w:val="0"/>
                <w:position w:val="0"/>
                <w:sz w:val="24"/>
                <w:szCs w:val="24"/>
                <w:vertAlign w:val="subscript"/>
                <w:lang w:val="en-US" w:eastAsia="zh-CN"/>
                <w14:textFill>
                  <w14:solidFill>
                    <w14:schemeClr w14:val="tx1"/>
                  </w14:solidFill>
                </w14:textFill>
              </w:rPr>
              <w:t>5</w:t>
            </w:r>
          </w:p>
        </w:tc>
        <w:tc>
          <w:tcPr>
            <w:tcW w:w="2748" w:type="dxa"/>
            <w:noWrap w:val="0"/>
            <w:vAlign w:val="center"/>
          </w:tcPr>
          <w:p w14:paraId="5669236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经化粪池</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处理后用于厂区绿化，不外排。</w:t>
            </w:r>
          </w:p>
        </w:tc>
        <w:tc>
          <w:tcPr>
            <w:tcW w:w="1764" w:type="dxa"/>
            <w:noWrap w:val="0"/>
            <w:vAlign w:val="center"/>
          </w:tcPr>
          <w:p w14:paraId="24CC5281">
            <w:pPr>
              <w:pStyle w:val="26"/>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0"/>
                <w:position w:val="0"/>
                <w:sz w:val="24"/>
                <w:szCs w:val="24"/>
                <w:lang w:val="en-US" w:eastAsia="zh-CN"/>
                <w14:textFill>
                  <w14:solidFill>
                    <w14:schemeClr w14:val="tx1"/>
                  </w14:solidFill>
                </w14:textFill>
              </w:rPr>
              <w:t>《农田灌溉水质标准》（GB5084-2021）</w:t>
            </w:r>
          </w:p>
        </w:tc>
      </w:tr>
      <w:tr w14:paraId="0D24E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1777BF1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声环境</w:t>
            </w:r>
          </w:p>
        </w:tc>
        <w:tc>
          <w:tcPr>
            <w:tcW w:w="1498" w:type="dxa"/>
            <w:noWrap w:val="0"/>
            <w:vAlign w:val="center"/>
          </w:tcPr>
          <w:p w14:paraId="57A144E1">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生产</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设备</w:t>
            </w:r>
          </w:p>
        </w:tc>
        <w:tc>
          <w:tcPr>
            <w:tcW w:w="1479" w:type="dxa"/>
            <w:noWrap w:val="0"/>
            <w:vAlign w:val="center"/>
          </w:tcPr>
          <w:p w14:paraId="21E30A95">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机械噪声</w:t>
            </w:r>
          </w:p>
        </w:tc>
        <w:tc>
          <w:tcPr>
            <w:tcW w:w="2748" w:type="dxa"/>
            <w:noWrap w:val="0"/>
            <w:vAlign w:val="center"/>
          </w:tcPr>
          <w:p w14:paraId="7AEBC20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napToGrid/>
                <w:color w:val="000000" w:themeColor="text1"/>
                <w:spacing w:val="0"/>
                <w:kern w:val="0"/>
                <w:position w:val="0"/>
                <w:sz w:val="24"/>
                <w:szCs w:val="24"/>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尽量选用低噪声设备，采用声源屏蔽、隔声、减振、合理布局等综合处理措施</w:t>
            </w:r>
            <w:r>
              <w:rPr>
                <w:rFonts w:hint="eastAsia" w:cs="Times New Roman"/>
                <w:snapToGrid/>
                <w:color w:val="000000" w:themeColor="text1"/>
                <w:spacing w:val="0"/>
                <w:kern w:val="0"/>
                <w:position w:val="0"/>
                <w:sz w:val="24"/>
                <w:szCs w:val="24"/>
                <w:lang w:eastAsia="zh-CN"/>
                <w14:textFill>
                  <w14:solidFill>
                    <w14:schemeClr w14:val="tx1"/>
                  </w14:solidFill>
                </w14:textFill>
              </w:rPr>
              <w:t>。</w:t>
            </w:r>
          </w:p>
        </w:tc>
        <w:tc>
          <w:tcPr>
            <w:tcW w:w="1764" w:type="dxa"/>
            <w:noWrap w:val="0"/>
            <w:vAlign w:val="center"/>
          </w:tcPr>
          <w:p w14:paraId="0A67E787">
            <w:pPr>
              <w:keepNext w:val="0"/>
              <w:keepLines w:val="0"/>
              <w:pageBreakBefore w:val="0"/>
              <w:widowControl w:val="0"/>
              <w:kinsoku/>
              <w:wordWrap/>
              <w:overflowPunct/>
              <w:topLinePunct w:val="0"/>
              <w:autoSpaceDE/>
              <w:autoSpaceDN/>
              <w:bidi w:val="0"/>
              <w:adjustRightInd w:val="0"/>
              <w:snapToGrid w:val="0"/>
              <w:spacing w:line="240" w:lineRule="auto"/>
              <w:ind w:firstLine="240" w:firstLineChars="100"/>
              <w:jc w:val="both"/>
              <w:textAlignment w:val="auto"/>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bCs/>
                <w:snapToGrid/>
                <w:color w:val="000000" w:themeColor="text1"/>
                <w:spacing w:val="0"/>
                <w:kern w:val="0"/>
                <w:position w:val="0"/>
                <w:sz w:val="24"/>
                <w:szCs w:val="24"/>
                <w14:textFill>
                  <w14:solidFill>
                    <w14:schemeClr w14:val="tx1"/>
                  </w14:solidFill>
                </w14:textFill>
              </w:rPr>
              <w:t>《</w:t>
            </w:r>
            <w:r>
              <w:rPr>
                <w:rStyle w:val="55"/>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工业企业厂界环境噪声排放标准》（GB12348-2008）</w:t>
            </w:r>
            <w:r>
              <w:rPr>
                <w:rFonts w:hint="eastAsia" w:cs="Times New Roman"/>
                <w:snapToGrid/>
                <w:color w:val="000000" w:themeColor="text1"/>
                <w:spacing w:val="0"/>
                <w:kern w:val="0"/>
                <w:position w:val="0"/>
                <w:sz w:val="24"/>
                <w:szCs w:val="24"/>
                <w:lang w:val="en-US" w:eastAsia="zh-CN"/>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类标准</w:t>
            </w:r>
          </w:p>
        </w:tc>
      </w:tr>
      <w:tr w14:paraId="032B1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73D3675F">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电磁辐射</w:t>
            </w:r>
          </w:p>
        </w:tc>
        <w:tc>
          <w:tcPr>
            <w:tcW w:w="7489" w:type="dxa"/>
            <w:gridSpan w:val="4"/>
            <w:noWrap w:val="0"/>
            <w:vAlign w:val="center"/>
          </w:tcPr>
          <w:p w14:paraId="1A03E64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snapToGrid/>
                <w:color w:val="000000" w:themeColor="text1"/>
                <w:spacing w:val="0"/>
                <w:kern w:val="0"/>
                <w:position w:val="0"/>
                <w:sz w:val="24"/>
                <w:szCs w:val="24"/>
                <w:lang w:val="en-US" w:eastAsia="zh-CN"/>
                <w14:textFill>
                  <w14:solidFill>
                    <w14:schemeClr w14:val="tx1"/>
                  </w14:solidFill>
                </w14:textFill>
              </w:rPr>
            </w:pPr>
            <w:r>
              <w:rPr>
                <w:rFonts w:hint="eastAsia" w:ascii="宋体" w:hAnsi="宋体" w:cs="宋体"/>
                <w:snapToGrid/>
                <w:color w:val="000000" w:themeColor="text1"/>
                <w:spacing w:val="0"/>
                <w:kern w:val="0"/>
                <w:position w:val="0"/>
                <w:sz w:val="24"/>
                <w:szCs w:val="24"/>
                <w:lang w:val="en-US" w:eastAsia="zh-CN"/>
                <w14:textFill>
                  <w14:solidFill>
                    <w14:schemeClr w14:val="tx1"/>
                  </w14:solidFill>
                </w14:textFill>
              </w:rPr>
              <w:t>/</w:t>
            </w:r>
          </w:p>
        </w:tc>
      </w:tr>
      <w:tr w14:paraId="457CC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4294372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固体废物</w:t>
            </w:r>
          </w:p>
        </w:tc>
        <w:tc>
          <w:tcPr>
            <w:tcW w:w="7489" w:type="dxa"/>
            <w:gridSpan w:val="4"/>
            <w:noWrap w:val="0"/>
            <w:vAlign w:val="center"/>
          </w:tcPr>
          <w:p w14:paraId="058CF378">
            <w:pPr>
              <w:keepNext w:val="0"/>
              <w:keepLines w:val="0"/>
              <w:pageBreakBefore w:val="0"/>
              <w:widowControl/>
              <w:suppressLineNumbers w:val="0"/>
              <w:kinsoku/>
              <w:wordWrap/>
              <w:overflowPunct/>
              <w:topLinePunct w:val="0"/>
              <w:autoSpaceDE/>
              <w:autoSpaceDN/>
              <w:bidi w:val="0"/>
              <w:adjustRightInd/>
              <w:snapToGrid/>
              <w:spacing w:line="440" w:lineRule="exact"/>
              <w:jc w:val="left"/>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固体废物管理应遵照《中华人民共和国固体废物污染环境防治法》的要求；固体废物暂存于固体废物暂存间，应满足防渗漏、防雨淋、防扬尘等要求</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危险废物执行《国家危险废物名录》（</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202</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5</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年版）以及《危险废物贮存污染控制标准》（</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GB18597-20</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23）相关要求</w:t>
            </w: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w:t>
            </w:r>
          </w:p>
        </w:tc>
      </w:tr>
      <w:tr w14:paraId="7FA33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29C82C90">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土壤及地下水污染防治措施</w:t>
            </w:r>
          </w:p>
        </w:tc>
        <w:tc>
          <w:tcPr>
            <w:tcW w:w="7489" w:type="dxa"/>
            <w:gridSpan w:val="4"/>
            <w:noWrap w:val="0"/>
            <w:vAlign w:val="center"/>
          </w:tcPr>
          <w:p w14:paraId="7C3888C2">
            <w:pPr>
              <w:keepNext w:val="0"/>
              <w:keepLines w:val="0"/>
              <w:pageBreakBefore w:val="0"/>
              <w:widowControl/>
              <w:suppressLineNumbers w:val="0"/>
              <w:kinsoku/>
              <w:wordWrap/>
              <w:overflowPunct/>
              <w:topLinePunct w:val="0"/>
              <w:autoSpaceDE/>
              <w:autoSpaceDN/>
              <w:bidi w:val="0"/>
              <w:adjustRightInd/>
              <w:snapToGrid/>
              <w:spacing w:line="440" w:lineRule="exact"/>
              <w:jc w:val="left"/>
              <w:rPr>
                <w:rFonts w:hint="eastAsia" w:ascii="宋体" w:hAnsi="宋体" w:eastAsia="宋体" w:cs="宋体"/>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项目各功能区均采取“源头控制”、“分区控制”的防渗措施，固体废物暂时贮存</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间参照执行</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《一般工业固体废物贮存和填埋污染控制标准》（GB18599-2020）</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重点防渗区的防渗设计应满足《危险废物贮存污染控制标准》（GB18597-2023）相关要求。</w:t>
            </w:r>
          </w:p>
        </w:tc>
      </w:tr>
      <w:tr w14:paraId="044AE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4039CFB4">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生态保护措施</w:t>
            </w:r>
          </w:p>
        </w:tc>
        <w:tc>
          <w:tcPr>
            <w:tcW w:w="7489" w:type="dxa"/>
            <w:gridSpan w:val="4"/>
            <w:noWrap w:val="0"/>
            <w:vAlign w:val="center"/>
          </w:tcPr>
          <w:p w14:paraId="538598FC">
            <w:pPr>
              <w:keepNext w:val="0"/>
              <w:keepLines w:val="0"/>
              <w:pageBreakBefore w:val="0"/>
              <w:widowControl/>
              <w:suppressLineNumbers w:val="0"/>
              <w:kinsoku/>
              <w:wordWrap/>
              <w:overflowPunct/>
              <w:topLinePunct w:val="0"/>
              <w:autoSpaceDE/>
              <w:autoSpaceDN/>
              <w:bidi w:val="0"/>
              <w:adjustRightInd/>
              <w:snapToGrid/>
              <w:spacing w:line="440" w:lineRule="exact"/>
              <w:jc w:val="left"/>
              <w:rPr>
                <w:rFonts w:hint="default" w:ascii="宋体" w:hAnsi="宋体" w:eastAsia="宋体" w:cs="宋体"/>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项目</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运营</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中产生的污染物通过采取以上环境保护治理措施并且加强日常的管理和监督，同时搞好厂区绿化后，均可达标排放。项目</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运营</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期间不会对周边的生态环境造成明显的不利影响。</w:t>
            </w:r>
          </w:p>
        </w:tc>
      </w:tr>
      <w:tr w14:paraId="1D62D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4CBA33B4">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环境风险防范措施</w:t>
            </w:r>
          </w:p>
        </w:tc>
        <w:tc>
          <w:tcPr>
            <w:tcW w:w="7489" w:type="dxa"/>
            <w:gridSpan w:val="4"/>
            <w:noWrap w:val="0"/>
            <w:vAlign w:val="center"/>
          </w:tcPr>
          <w:p w14:paraId="79DB8EDA">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1、企业应当对废气收集排放系统定期进行检修维护，定期采样监测，以确保废气处理设施处于正常工作状态。</w:t>
            </w:r>
          </w:p>
          <w:p w14:paraId="6330243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2、按照《危险废物贮存污染控制标准》（GB18597-2023）对危险废物暂存场进行设计和建设，同时将危险废物</w:t>
            </w: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交由</w:t>
            </w: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相关资质单位处理，做好供应商的管理。同时严格按《危险废物转移联单管理办法》做好转移记录。</w:t>
            </w:r>
          </w:p>
          <w:p w14:paraId="4E36D88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3、制定环境风险隐患排查制度，定期对仓库、危废暂存区进行排查，配置足够的消防、环境应急物资，同时设置安全疏散通道。</w:t>
            </w:r>
          </w:p>
          <w:p w14:paraId="1588D338">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4、制定操作规程，加强员工的培训管理，加强生产设备维护和检修。</w:t>
            </w:r>
          </w:p>
        </w:tc>
      </w:tr>
      <w:tr w14:paraId="60A58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dxa"/>
            <w:noWrap w:val="0"/>
            <w:vAlign w:val="center"/>
          </w:tcPr>
          <w:p w14:paraId="1DEC2D27">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snapToGrid/>
                <w:color w:val="000000" w:themeColor="text1"/>
                <w:spacing w:val="0"/>
                <w:kern w:val="0"/>
                <w:position w:val="0"/>
                <w:sz w:val="24"/>
                <w:szCs w:val="24"/>
                <w14:textFill>
                  <w14:solidFill>
                    <w14:schemeClr w14:val="tx1"/>
                  </w14:solidFill>
                </w14:textFill>
              </w:rPr>
            </w:pPr>
            <w:r>
              <w:rPr>
                <w:rFonts w:hint="eastAsia" w:ascii="宋体" w:hAnsi="宋体" w:cs="宋体"/>
                <w:snapToGrid/>
                <w:color w:val="000000" w:themeColor="text1"/>
                <w:spacing w:val="0"/>
                <w:kern w:val="0"/>
                <w:position w:val="0"/>
                <w:sz w:val="24"/>
                <w:szCs w:val="24"/>
                <w14:textFill>
                  <w14:solidFill>
                    <w14:schemeClr w14:val="tx1"/>
                  </w14:solidFill>
                </w14:textFill>
              </w:rPr>
              <w:t>其他环境管理要求</w:t>
            </w:r>
          </w:p>
        </w:tc>
        <w:tc>
          <w:tcPr>
            <w:tcW w:w="7489" w:type="dxa"/>
            <w:gridSpan w:val="4"/>
            <w:noWrap w:val="0"/>
            <w:vAlign w:val="center"/>
          </w:tcPr>
          <w:p w14:paraId="29F9A50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val="en-US" w:eastAsia="zh-CN"/>
                <w14:textFill>
                  <w14:solidFill>
                    <w14:schemeClr w14:val="tx1"/>
                  </w14:solidFill>
                </w14:textFill>
              </w:rPr>
              <w:t>1、</w:t>
            </w:r>
            <w:r>
              <w:rPr>
                <w:rFonts w:hint="eastAsia"/>
                <w:snapToGrid/>
                <w:color w:val="000000" w:themeColor="text1"/>
                <w:spacing w:val="0"/>
                <w:kern w:val="0"/>
                <w:position w:val="0"/>
                <w:sz w:val="24"/>
                <w:szCs w:val="24"/>
                <w14:textFill>
                  <w14:solidFill>
                    <w14:schemeClr w14:val="tx1"/>
                  </w14:solidFill>
                </w14:textFill>
              </w:rPr>
              <w:t>环境管理机构设置</w:t>
            </w:r>
          </w:p>
          <w:p w14:paraId="1E786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14:textFill>
                  <w14:solidFill>
                    <w14:schemeClr w14:val="tx1"/>
                  </w14:solidFill>
                </w14:textFill>
              </w:rPr>
              <w:t>为了本项目在运营期能更好地执行和遵守国家、省及地方的有关环境保护法律、法规、政策及标准，接受地方</w:t>
            </w:r>
            <w:r>
              <w:rPr>
                <w:rFonts w:hint="eastAsia"/>
                <w:snapToGrid/>
                <w:color w:val="000000" w:themeColor="text1"/>
                <w:spacing w:val="0"/>
                <w:kern w:val="0"/>
                <w:position w:val="0"/>
                <w:sz w:val="24"/>
                <w:szCs w:val="24"/>
                <w:lang w:val="en-US" w:eastAsia="zh-CN"/>
                <w14:textFill>
                  <w14:solidFill>
                    <w14:schemeClr w14:val="tx1"/>
                  </w14:solidFill>
                </w14:textFill>
              </w:rPr>
              <w:t>生态环境局</w:t>
            </w:r>
            <w:r>
              <w:rPr>
                <w:rFonts w:hint="eastAsia"/>
                <w:snapToGrid/>
                <w:color w:val="000000" w:themeColor="text1"/>
                <w:spacing w:val="0"/>
                <w:kern w:val="0"/>
                <w:position w:val="0"/>
                <w:sz w:val="24"/>
                <w:szCs w:val="24"/>
                <w14:textFill>
                  <w14:solidFill>
                    <w14:schemeClr w14:val="tx1"/>
                  </w14:solidFill>
                </w14:textFill>
              </w:rPr>
              <w:t>的环境监督，调整和制订环境规划和目标，进行一切与改善环境有关的管理活动，同时对工程施工及运营期产生的污染物进行监测、分析、了解工程对环境的影响状况，公司应设置专职的环境管理人员，配备一名管理人员分管环境保护管理工作，编入一名技术人员参与项目的环保设施“三同时”管理，同时需负责产生污染防治设施运行管理。</w:t>
            </w:r>
          </w:p>
          <w:p w14:paraId="41BF25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val="en-US" w:eastAsia="zh-CN"/>
                <w14:textFill>
                  <w14:solidFill>
                    <w14:schemeClr w14:val="tx1"/>
                  </w14:solidFill>
                </w14:textFill>
              </w:rPr>
              <w:t>2、</w:t>
            </w:r>
            <w:r>
              <w:rPr>
                <w:rFonts w:hint="eastAsia"/>
                <w:snapToGrid/>
                <w:color w:val="000000" w:themeColor="text1"/>
                <w:spacing w:val="0"/>
                <w:kern w:val="0"/>
                <w:position w:val="0"/>
                <w:sz w:val="24"/>
                <w:szCs w:val="24"/>
                <w14:textFill>
                  <w14:solidFill>
                    <w14:schemeClr w14:val="tx1"/>
                  </w14:solidFill>
                </w14:textFill>
              </w:rPr>
              <w:t>环境管理制度</w:t>
            </w:r>
          </w:p>
          <w:p w14:paraId="665827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lang w:val="en-US" w:eastAsia="zh-CN"/>
                <w14:textFill>
                  <w14:solidFill>
                    <w14:schemeClr w14:val="tx1"/>
                  </w14:solidFill>
                </w14:textFill>
              </w:rPr>
              <w:t>1</w:t>
            </w: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14:textFill>
                  <w14:solidFill>
                    <w14:schemeClr w14:val="tx1"/>
                  </w14:solidFill>
                </w14:textFill>
              </w:rPr>
              <w:t>贯彻执行“三同时”制度：设计单位必须将环境保护设施与主体工程同时设计，工程建设单位必须保证防治污染</w:t>
            </w:r>
            <w:r>
              <w:rPr>
                <w:rFonts w:hint="eastAsia"/>
                <w:snapToGrid/>
                <w:color w:val="000000" w:themeColor="text1"/>
                <w:spacing w:val="0"/>
                <w:kern w:val="0"/>
                <w:position w:val="0"/>
                <w:sz w:val="24"/>
                <w:szCs w:val="24"/>
                <w:lang w:eastAsia="zh-CN"/>
                <w14:textFill>
                  <w14:solidFill>
                    <w14:schemeClr w14:val="tx1"/>
                  </w14:solidFill>
                </w14:textFill>
              </w:rPr>
              <w:t>及其他</w:t>
            </w:r>
            <w:r>
              <w:rPr>
                <w:rFonts w:hint="eastAsia"/>
                <w:snapToGrid/>
                <w:color w:val="000000" w:themeColor="text1"/>
                <w:spacing w:val="0"/>
                <w:kern w:val="0"/>
                <w:position w:val="0"/>
                <w:sz w:val="24"/>
                <w:szCs w:val="24"/>
                <w14:textFill>
                  <w14:solidFill>
                    <w14:schemeClr w14:val="tx1"/>
                  </w14:solidFill>
                </w14:textFill>
              </w:rPr>
              <w:t>配套的设施与主体工程项目同时施工、同时投入运行，工程竣工后，应</w:t>
            </w:r>
            <w:r>
              <w:rPr>
                <w:rFonts w:hint="eastAsia"/>
                <w:snapToGrid/>
                <w:color w:val="000000" w:themeColor="text1"/>
                <w:spacing w:val="0"/>
                <w:kern w:val="0"/>
                <w:position w:val="0"/>
                <w:sz w:val="24"/>
                <w:szCs w:val="24"/>
                <w:lang w:val="en-US" w:eastAsia="zh-CN"/>
                <w14:textFill>
                  <w14:solidFill>
                    <w14:schemeClr w14:val="tx1"/>
                  </w14:solidFill>
                </w14:textFill>
              </w:rPr>
              <w:t>向当地生态环境局</w:t>
            </w:r>
            <w:r>
              <w:rPr>
                <w:rFonts w:hint="eastAsia"/>
                <w:snapToGrid/>
                <w:color w:val="000000" w:themeColor="text1"/>
                <w:spacing w:val="0"/>
                <w:kern w:val="0"/>
                <w:position w:val="0"/>
                <w:sz w:val="24"/>
                <w:szCs w:val="24"/>
                <w14:textFill>
                  <w14:solidFill>
                    <w14:schemeClr w14:val="tx1"/>
                  </w14:solidFill>
                </w14:textFill>
              </w:rPr>
              <w:t>提交有环保内容的竣工验收报告或专项竣工验收报告。</w:t>
            </w:r>
          </w:p>
          <w:p w14:paraId="768C0E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lang w:val="en-US" w:eastAsia="zh-CN"/>
                <w14:textFill>
                  <w14:solidFill>
                    <w14:schemeClr w14:val="tx1"/>
                  </w14:solidFill>
                </w14:textFill>
              </w:rPr>
              <w:t>2</w:t>
            </w: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14:textFill>
                  <w14:solidFill>
                    <w14:schemeClr w14:val="tx1"/>
                  </w14:solidFill>
                </w14:textFill>
              </w:rPr>
              <w:t>执行排污申报登记：按照国家和地方环境保护规定，企业应及时向当地</w:t>
            </w:r>
            <w:r>
              <w:rPr>
                <w:rFonts w:hint="eastAsia"/>
                <w:snapToGrid/>
                <w:color w:val="000000" w:themeColor="text1"/>
                <w:spacing w:val="0"/>
                <w:kern w:val="0"/>
                <w:position w:val="0"/>
                <w:sz w:val="24"/>
                <w:szCs w:val="24"/>
                <w:lang w:val="en-US" w:eastAsia="zh-CN"/>
                <w14:textFill>
                  <w14:solidFill>
                    <w14:schemeClr w14:val="tx1"/>
                  </w14:solidFill>
                </w14:textFill>
              </w:rPr>
              <w:t>生态环境局</w:t>
            </w:r>
            <w:r>
              <w:rPr>
                <w:rFonts w:hint="eastAsia"/>
                <w:snapToGrid/>
                <w:color w:val="000000" w:themeColor="text1"/>
                <w:spacing w:val="0"/>
                <w:kern w:val="0"/>
                <w:position w:val="0"/>
                <w:sz w:val="24"/>
                <w:szCs w:val="24"/>
                <w14:textFill>
                  <w14:solidFill>
                    <w14:schemeClr w14:val="tx1"/>
                  </w14:solidFill>
                </w14:textFill>
              </w:rPr>
              <w:t>进行污染物排放申报登记。经批准后，方可按分配的指标排放。</w:t>
            </w:r>
          </w:p>
          <w:p w14:paraId="6B4BE4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lang w:val="en-US" w:eastAsia="zh-CN"/>
                <w14:textFill>
                  <w14:solidFill>
                    <w14:schemeClr w14:val="tx1"/>
                  </w14:solidFill>
                </w14:textFill>
              </w:rPr>
              <w:t>3</w:t>
            </w:r>
            <w:r>
              <w:rPr>
                <w:rFonts w:hint="eastAsia"/>
                <w:snapToGrid/>
                <w:color w:val="000000" w:themeColor="text1"/>
                <w:spacing w:val="0"/>
                <w:kern w:val="0"/>
                <w:position w:val="0"/>
                <w:sz w:val="24"/>
                <w:szCs w:val="24"/>
                <w:lang w:eastAsia="zh-CN"/>
                <w14:textFill>
                  <w14:solidFill>
                    <w14:schemeClr w14:val="tx1"/>
                  </w14:solidFill>
                </w14:textFill>
              </w:rPr>
              <w:t>）</w:t>
            </w:r>
            <w:r>
              <w:rPr>
                <w:rFonts w:hint="eastAsia"/>
                <w:snapToGrid/>
                <w:color w:val="000000" w:themeColor="text1"/>
                <w:spacing w:val="0"/>
                <w:kern w:val="0"/>
                <w:position w:val="0"/>
                <w:sz w:val="24"/>
                <w:szCs w:val="24"/>
                <w14:textFill>
                  <w14:solidFill>
                    <w14:schemeClr w14:val="tx1"/>
                  </w14:solidFill>
                </w14:textFill>
              </w:rPr>
              <w:t>环保设施运行管理制度：应建立环保设施定期检查制度和污染治理措施岗位责任制，实行污染治理岗位运行记录制度，以确保污染治理设施稳定高效运行。当污染治理设施发生故障时，应及时组织抢修，并根据实际情况采取相应措施，防止污染事故的发生。</w:t>
            </w:r>
          </w:p>
          <w:p w14:paraId="7609D1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lang w:val="en-US" w:eastAsia="zh-CN"/>
                <w14:textFill>
                  <w14:solidFill>
                    <w14:schemeClr w14:val="tx1"/>
                  </w14:solidFill>
                </w14:textFill>
              </w:rPr>
              <w:t>3、</w:t>
            </w:r>
            <w:r>
              <w:rPr>
                <w:rFonts w:hint="eastAsia"/>
                <w:snapToGrid/>
                <w:color w:val="000000" w:themeColor="text1"/>
                <w:spacing w:val="0"/>
                <w:kern w:val="0"/>
                <w:position w:val="0"/>
                <w:sz w:val="24"/>
                <w:szCs w:val="24"/>
                <w14:textFill>
                  <w14:solidFill>
                    <w14:schemeClr w14:val="tx1"/>
                  </w14:solidFill>
                </w14:textFill>
              </w:rPr>
              <w:t>环境监测</w:t>
            </w:r>
          </w:p>
          <w:p w14:paraId="7BD918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color w:val="000000" w:themeColor="text1"/>
                <w:spacing w:val="0"/>
                <w:kern w:val="0"/>
                <w:position w:val="0"/>
                <w:sz w:val="24"/>
                <w:szCs w:val="24"/>
                <w14:textFill>
                  <w14:solidFill>
                    <w14:schemeClr w14:val="tx1"/>
                  </w14:solidFill>
                </w14:textFill>
              </w:rPr>
            </w:pPr>
            <w:r>
              <w:rPr>
                <w:rFonts w:hint="eastAsia"/>
                <w:snapToGrid/>
                <w:color w:val="000000" w:themeColor="text1"/>
                <w:spacing w:val="0"/>
                <w:kern w:val="0"/>
                <w:position w:val="0"/>
                <w:sz w:val="24"/>
                <w:szCs w:val="24"/>
                <w14:textFill>
                  <w14:solidFill>
                    <w14:schemeClr w14:val="tx1"/>
                  </w14:solidFill>
                </w14:textFill>
              </w:rPr>
              <w:t>排污单位应当在启动生产设施或者发生实际排污之前申请排污许可证。委托有资质的检测机构代为开展自行监测，监测数据的电子台账和纸质台账两种记录形式同步管理，存档时间至少</w:t>
            </w:r>
            <w:r>
              <w:rPr>
                <w:rFonts w:hint="eastAsia"/>
                <w:snapToGrid/>
                <w:color w:val="000000" w:themeColor="text1"/>
                <w:spacing w:val="0"/>
                <w:kern w:val="0"/>
                <w:position w:val="0"/>
                <w:sz w:val="24"/>
                <w:szCs w:val="24"/>
                <w:lang w:val="en-US" w:eastAsia="zh-CN"/>
                <w14:textFill>
                  <w14:solidFill>
                    <w14:schemeClr w14:val="tx1"/>
                  </w14:solidFill>
                </w14:textFill>
              </w:rPr>
              <w:t>5</w:t>
            </w:r>
            <w:r>
              <w:rPr>
                <w:rFonts w:hint="eastAsia"/>
                <w:snapToGrid/>
                <w:color w:val="000000" w:themeColor="text1"/>
                <w:spacing w:val="0"/>
                <w:kern w:val="0"/>
                <w:position w:val="0"/>
                <w:sz w:val="24"/>
                <w:szCs w:val="24"/>
                <w14:textFill>
                  <w14:solidFill>
                    <w14:schemeClr w14:val="tx1"/>
                  </w14:solidFill>
                </w14:textFill>
              </w:rPr>
              <w:t>年。</w:t>
            </w:r>
          </w:p>
          <w:p w14:paraId="0CCEA5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本项目属于“</w:t>
            </w:r>
            <w:r>
              <w:rPr>
                <w:rFonts w:hint="eastAsia" w:cs="Times New Roman"/>
                <w:snapToGrid/>
                <w:color w:val="000000" w:themeColor="text1"/>
                <w:spacing w:val="0"/>
                <w:kern w:val="0"/>
                <w:position w:val="0"/>
                <w:sz w:val="24"/>
                <w:szCs w:val="24"/>
                <w:lang w:val="en-US" w:eastAsia="zh-CN" w:bidi="ar"/>
                <w14:textFill>
                  <w14:solidFill>
                    <w14:schemeClr w14:val="tx1"/>
                  </w14:solidFill>
                </w14:textFill>
              </w:rPr>
              <w:t>C3021 水泥制品制造，C3029 其他水泥类似制品制造</w:t>
            </w:r>
            <w: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根据</w:t>
            </w:r>
            <w:r>
              <w:rPr>
                <w:rFonts w:hint="eastAsia" w:ascii="Times New Roman" w:hAnsi="Times New Roman" w:eastAsia="宋体" w:cs="Times New Roman"/>
                <w:smallCaps w:val="0"/>
                <w:snapToGrid/>
                <w:color w:val="000000" w:themeColor="text1"/>
                <w:spacing w:val="0"/>
                <w:w w:val="100"/>
                <w:kern w:val="0"/>
                <w:position w:val="0"/>
                <w:sz w:val="24"/>
                <w:szCs w:val="24"/>
                <w:lang w:eastAsia="zh-CN"/>
                <w14:textFill>
                  <w14:solidFill>
                    <w14:schemeClr w14:val="tx1"/>
                  </w14:solidFill>
                </w14:textFill>
              </w:rPr>
              <w:t>《固定污染源排污许可分类管理名录（2019年版）》</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，本项目属</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于“二</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十五、非金属矿物制品业30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；6</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3.水泥、石灰和石膏制造301，石膏、水泥制品及类似制品制造302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；水</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泥制品制造3021，砼结构构件制造3022，石棉水泥制品制造3023，轻质建筑材料制造3024，其他水泥类似制品制造3029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eastAsia" w:cs="Times New Roman"/>
                <w:snapToGrid/>
                <w:color w:val="000000" w:themeColor="text1"/>
                <w:spacing w:val="0"/>
                <w:kern w:val="0"/>
                <w:position w:val="0"/>
                <w:sz w:val="24"/>
                <w:szCs w:val="24"/>
                <w:lang w:val="en-US" w:eastAsia="zh-CN"/>
                <w14:textFill>
                  <w14:solidFill>
                    <w14:schemeClr w14:val="tx1"/>
                  </w14:solidFill>
                </w14:textFill>
              </w:rPr>
              <w:t>排污许可登记管理</w:t>
            </w:r>
            <w:r>
              <w:rPr>
                <w:rFonts w:hint="eastAsia" w:ascii="Times New Roman" w:hAnsi="Times New Roman" w:eastAsia="宋体" w:cs="Times New Roman"/>
                <w:smallCaps w:val="0"/>
                <w:snapToGrid/>
                <w:color w:val="000000" w:themeColor="text1"/>
                <w:spacing w:val="0"/>
                <w:w w:val="100"/>
                <w:kern w:val="0"/>
                <w:position w:val="0"/>
                <w:sz w:val="24"/>
                <w:szCs w:val="24"/>
                <w:lang w:eastAsia="zh-CN"/>
                <w14:textFill>
                  <w14:solidFill>
                    <w14:schemeClr w14:val="tx1"/>
                  </w14:solidFill>
                </w14:textFill>
              </w:rPr>
              <w:t>。</w:t>
            </w:r>
          </w:p>
          <w:p w14:paraId="402D33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snapToGrid/>
                <w:color w:val="000000" w:themeColor="text1"/>
                <w:spacing w:val="0"/>
                <w:kern w:val="0"/>
                <w:position w:val="0"/>
                <w:sz w:val="24"/>
                <w:szCs w:val="24"/>
                <w:lang w:val="en-US" w:eastAsia="zh-CN"/>
                <w14:textFill>
                  <w14:solidFill>
                    <w14:schemeClr w14:val="tx1"/>
                  </w14:solidFill>
                </w14:textFill>
              </w:rPr>
            </w:pPr>
            <w:r>
              <w:rPr>
                <w:rFonts w:hint="eastAsia"/>
                <w:snapToGrid/>
                <w:color w:val="000000" w:themeColor="text1"/>
                <w:spacing w:val="0"/>
                <w:kern w:val="0"/>
                <w:position w:val="0"/>
                <w:sz w:val="24"/>
                <w:szCs w:val="24"/>
                <w:lang w:val="en-US" w:eastAsia="zh-CN"/>
                <w14:textFill>
                  <w14:solidFill>
                    <w14:schemeClr w14:val="tx1"/>
                  </w14:solidFill>
                </w14:textFill>
              </w:rPr>
              <w:t>4、排污口规范化</w:t>
            </w:r>
          </w:p>
          <w:p w14:paraId="5FC923A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按照《固定污染源排气中颗粒物测定与气态污染物采样方法》（</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GB/T16157-1996</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）等要求，在废气治理设施前、后分别预留监测孔，设置明显标志；</w:t>
            </w:r>
          </w:p>
          <w:p w14:paraId="26011030">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根据原国家环境保护总局制定的《</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&lt;</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环境保护图形标志</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&gt;</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实施细则（试行）》（环监</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 xml:space="preserve">[1996]463 </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号）修改单以及《关于开展排放口规范化整治工作的通知》（环发</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 xml:space="preserve">[1999]24 </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号）的规定：</w:t>
            </w:r>
          </w:p>
          <w:p w14:paraId="19A0805A">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废气、废水、噪声排放口、固体废物堆场应进行规范化设计，在各排污口设立相应的环境保护图形标志牌，具备采样、监测条件；</w:t>
            </w:r>
          </w:p>
          <w:p w14:paraId="421490B3">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环境保护图形标志具体设置图形见表5</w:t>
            </w:r>
            <w:r>
              <w:rPr>
                <w:rFonts w:hint="default"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w:t>
            </w: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1~2。</w:t>
            </w:r>
          </w:p>
          <w:p w14:paraId="206A7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表</w:t>
            </w:r>
            <w:r>
              <w:rPr>
                <w:rFonts w:hint="eastAsia" w:ascii="Times New Roman" w:hAnsi="Times New Roman" w:eastAsia="宋体" w:cs="Times New Roman"/>
                <w:b/>
                <w:smallCaps w:val="0"/>
                <w:snapToGrid/>
                <w:color w:val="000000" w:themeColor="text1"/>
                <w:spacing w:val="0"/>
                <w:w w:val="100"/>
                <w:kern w:val="0"/>
                <w:position w:val="0"/>
                <w:sz w:val="21"/>
                <w:szCs w:val="21"/>
                <w:lang w:val="en-US" w:eastAsia="zh-CN"/>
                <w14:textFill>
                  <w14:solidFill>
                    <w14:schemeClr w14:val="tx1"/>
                  </w14:solidFill>
                </w14:textFill>
              </w:rPr>
              <w:t>5</w:t>
            </w: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-1</w:t>
            </w:r>
            <w:r>
              <w:rPr>
                <w:rFonts w:hint="eastAsia" w:ascii="Times New Roman" w:hAnsi="Times New Roman" w:eastAsia="宋体" w:cs="Times New Roman"/>
                <w:b/>
                <w:smallCaps w:val="0"/>
                <w:snapToGrid/>
                <w:color w:val="000000" w:themeColor="text1"/>
                <w:spacing w:val="0"/>
                <w:w w:val="100"/>
                <w:kern w:val="0"/>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环境保护图形标志的形状及颜色表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815"/>
              <w:gridCol w:w="1816"/>
              <w:gridCol w:w="1816"/>
            </w:tblGrid>
            <w:tr w14:paraId="45C1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722D880B">
                  <w:pPr>
                    <w:pStyle w:val="110"/>
                    <w:spacing w:line="240" w:lineRule="auto"/>
                    <w:ind w:firstLine="0" w:firstLineChars="0"/>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标志名称</w:t>
                  </w:r>
                </w:p>
              </w:tc>
              <w:tc>
                <w:tcPr>
                  <w:tcW w:w="1249" w:type="pct"/>
                  <w:vAlign w:val="center"/>
                </w:tcPr>
                <w:p w14:paraId="7AC04C91">
                  <w:pPr>
                    <w:pStyle w:val="110"/>
                    <w:spacing w:line="240" w:lineRule="auto"/>
                    <w:ind w:firstLine="0" w:firstLineChars="0"/>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形状</w:t>
                  </w:r>
                </w:p>
              </w:tc>
              <w:tc>
                <w:tcPr>
                  <w:tcW w:w="1250" w:type="pct"/>
                  <w:vAlign w:val="center"/>
                </w:tcPr>
                <w:p w14:paraId="6C6CD10F">
                  <w:pPr>
                    <w:pStyle w:val="110"/>
                    <w:spacing w:line="240" w:lineRule="auto"/>
                    <w:ind w:firstLine="0" w:firstLineChars="0"/>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背景颜色</w:t>
                  </w:r>
                </w:p>
              </w:tc>
              <w:tc>
                <w:tcPr>
                  <w:tcW w:w="1250" w:type="pct"/>
                  <w:vAlign w:val="center"/>
                </w:tcPr>
                <w:p w14:paraId="1F62B918">
                  <w:pPr>
                    <w:pStyle w:val="110"/>
                    <w:spacing w:line="240" w:lineRule="auto"/>
                    <w:ind w:firstLine="0" w:firstLineChars="0"/>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图形颜色</w:t>
                  </w:r>
                </w:p>
              </w:tc>
            </w:tr>
            <w:tr w14:paraId="7CDE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6C12178F">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警告标志</w:t>
                  </w:r>
                </w:p>
              </w:tc>
              <w:tc>
                <w:tcPr>
                  <w:tcW w:w="1249" w:type="pct"/>
                  <w:vAlign w:val="center"/>
                </w:tcPr>
                <w:p w14:paraId="2258DBAD">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三角形边框</w:t>
                  </w:r>
                </w:p>
              </w:tc>
              <w:tc>
                <w:tcPr>
                  <w:tcW w:w="1250" w:type="pct"/>
                  <w:vAlign w:val="center"/>
                </w:tcPr>
                <w:p w14:paraId="316D4067">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黄色</w:t>
                  </w:r>
                </w:p>
              </w:tc>
              <w:tc>
                <w:tcPr>
                  <w:tcW w:w="1250" w:type="pct"/>
                  <w:vAlign w:val="center"/>
                </w:tcPr>
                <w:p w14:paraId="6D6EA657">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黑色</w:t>
                  </w:r>
                </w:p>
              </w:tc>
            </w:tr>
            <w:tr w14:paraId="5EA7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6404D22D">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提示标志</w:t>
                  </w:r>
                </w:p>
              </w:tc>
              <w:tc>
                <w:tcPr>
                  <w:tcW w:w="1249" w:type="pct"/>
                  <w:vAlign w:val="center"/>
                </w:tcPr>
                <w:p w14:paraId="5A77EECF">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正方形边框</w:t>
                  </w:r>
                </w:p>
              </w:tc>
              <w:tc>
                <w:tcPr>
                  <w:tcW w:w="1250" w:type="pct"/>
                  <w:vAlign w:val="center"/>
                </w:tcPr>
                <w:p w14:paraId="2761AC3B">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绿色</w:t>
                  </w:r>
                </w:p>
              </w:tc>
              <w:tc>
                <w:tcPr>
                  <w:tcW w:w="1250" w:type="pct"/>
                  <w:vAlign w:val="center"/>
                </w:tcPr>
                <w:p w14:paraId="357148DD">
                  <w:pPr>
                    <w:pStyle w:val="110"/>
                    <w:spacing w:line="240" w:lineRule="auto"/>
                    <w:ind w:firstLine="0" w:firstLineChars="0"/>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白色</w:t>
                  </w:r>
                </w:p>
              </w:tc>
            </w:tr>
          </w:tbl>
          <w:p w14:paraId="69ADAD3A">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表</w:t>
            </w:r>
            <w:r>
              <w:rPr>
                <w:rFonts w:hint="eastAsia" w:ascii="Times New Roman" w:hAnsi="Times New Roman" w:eastAsia="宋体" w:cs="Times New Roman"/>
                <w:b/>
                <w:smallCaps w:val="0"/>
                <w:snapToGrid/>
                <w:color w:val="000000" w:themeColor="text1"/>
                <w:spacing w:val="0"/>
                <w:w w:val="100"/>
                <w:kern w:val="0"/>
                <w:position w:val="0"/>
                <w:sz w:val="21"/>
                <w:szCs w:val="21"/>
                <w:lang w:val="en-US" w:eastAsia="zh-CN"/>
                <w14:textFill>
                  <w14:solidFill>
                    <w14:schemeClr w14:val="tx1"/>
                  </w14:solidFill>
                </w14:textFill>
              </w:rPr>
              <w:t>5</w:t>
            </w: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-2</w:t>
            </w:r>
            <w:r>
              <w:rPr>
                <w:rFonts w:hint="eastAsia" w:ascii="Times New Roman" w:hAnsi="Times New Roman" w:eastAsia="宋体" w:cs="Times New Roman"/>
                <w:b/>
                <w:smallCaps w:val="0"/>
                <w:snapToGrid/>
                <w:color w:val="000000" w:themeColor="text1"/>
                <w:spacing w:val="0"/>
                <w:w w:val="100"/>
                <w:kern w:val="0"/>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b/>
                <w:smallCaps w:val="0"/>
                <w:snapToGrid/>
                <w:color w:val="000000" w:themeColor="text1"/>
                <w:spacing w:val="0"/>
                <w:w w:val="100"/>
                <w:kern w:val="0"/>
                <w:position w:val="0"/>
                <w:sz w:val="21"/>
                <w:szCs w:val="21"/>
                <w14:textFill>
                  <w14:solidFill>
                    <w14:schemeClr w14:val="tx1"/>
                  </w14:solidFill>
                </w14:textFill>
              </w:rPr>
              <w:t>环境保护图形符号一览表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69"/>
              <w:gridCol w:w="1761"/>
              <w:gridCol w:w="1268"/>
              <w:gridCol w:w="2090"/>
            </w:tblGrid>
            <w:tr w14:paraId="202D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139C7DA3">
                  <w:pPr>
                    <w:pStyle w:val="23"/>
                    <w:spacing w:before="0" w:beforeAutospacing="0" w:after="0" w:afterAutospacing="0" w:line="240" w:lineRule="auto"/>
                    <w:ind w:firstLine="0" w:firstLineChars="0"/>
                    <w:jc w:val="cente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序号</w:t>
                  </w:r>
                </w:p>
              </w:tc>
              <w:tc>
                <w:tcPr>
                  <w:tcW w:w="1080" w:type="pct"/>
                  <w:tcBorders>
                    <w:tl2br w:val="nil"/>
                    <w:tr2bl w:val="nil"/>
                  </w:tcBorders>
                  <w:noWrap w:val="0"/>
                  <w:vAlign w:val="center"/>
                </w:tcPr>
                <w:p w14:paraId="74C2A519">
                  <w:pPr>
                    <w:pStyle w:val="23"/>
                    <w:spacing w:before="0" w:beforeAutospacing="0" w:after="0" w:afterAutospacing="0" w:line="240" w:lineRule="auto"/>
                    <w:ind w:firstLine="0" w:firstLineChars="0"/>
                    <w:jc w:val="cente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提示图形符号</w:t>
                  </w:r>
                </w:p>
              </w:tc>
              <w:tc>
                <w:tcPr>
                  <w:tcW w:w="1212" w:type="pct"/>
                  <w:tcBorders>
                    <w:tl2br w:val="nil"/>
                    <w:tr2bl w:val="nil"/>
                  </w:tcBorders>
                  <w:noWrap w:val="0"/>
                  <w:vAlign w:val="center"/>
                </w:tcPr>
                <w:p w14:paraId="35FB97BC">
                  <w:pPr>
                    <w:pStyle w:val="23"/>
                    <w:spacing w:before="0" w:beforeAutospacing="0" w:after="0" w:afterAutospacing="0" w:line="240" w:lineRule="auto"/>
                    <w:ind w:firstLine="0" w:firstLineChars="0"/>
                    <w:jc w:val="cente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警告图形符号</w:t>
                  </w:r>
                </w:p>
              </w:tc>
              <w:tc>
                <w:tcPr>
                  <w:tcW w:w="873" w:type="pct"/>
                  <w:tcBorders>
                    <w:tl2br w:val="nil"/>
                    <w:tr2bl w:val="nil"/>
                  </w:tcBorders>
                  <w:noWrap w:val="0"/>
                  <w:vAlign w:val="center"/>
                </w:tcPr>
                <w:p w14:paraId="2C994D02">
                  <w:pPr>
                    <w:pStyle w:val="23"/>
                    <w:spacing w:before="0" w:beforeAutospacing="0" w:after="0" w:afterAutospacing="0" w:line="240" w:lineRule="auto"/>
                    <w:ind w:firstLine="0" w:firstLineChars="0"/>
                    <w:jc w:val="cente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名 称</w:t>
                  </w:r>
                </w:p>
              </w:tc>
              <w:tc>
                <w:tcPr>
                  <w:tcW w:w="1438" w:type="pct"/>
                  <w:tcBorders>
                    <w:tl2br w:val="nil"/>
                    <w:tr2bl w:val="nil"/>
                  </w:tcBorders>
                  <w:noWrap w:val="0"/>
                  <w:vAlign w:val="center"/>
                </w:tcPr>
                <w:p w14:paraId="6395264B">
                  <w:pPr>
                    <w:pStyle w:val="23"/>
                    <w:spacing w:before="0" w:beforeAutospacing="0" w:after="0" w:afterAutospacing="0" w:line="240" w:lineRule="auto"/>
                    <w:ind w:firstLine="0" w:firstLineChars="0"/>
                    <w:jc w:val="cente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b/>
                      <w:smallCaps w:val="0"/>
                      <w:snapToGrid/>
                      <w:color w:val="000000" w:themeColor="text1"/>
                      <w:spacing w:val="0"/>
                      <w:w w:val="100"/>
                      <w:kern w:val="0"/>
                      <w:position w:val="0"/>
                      <w:sz w:val="21"/>
                      <w:szCs w:val="21"/>
                      <w14:textFill>
                        <w14:solidFill>
                          <w14:schemeClr w14:val="tx1"/>
                        </w14:solidFill>
                      </w14:textFill>
                    </w:rPr>
                    <w:t>功 能</w:t>
                  </w:r>
                </w:p>
              </w:tc>
            </w:tr>
            <w:tr w14:paraId="5C6A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4B9EE5C1">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1</w:t>
                  </w:r>
                </w:p>
              </w:tc>
              <w:tc>
                <w:tcPr>
                  <w:tcW w:w="1080" w:type="pct"/>
                  <w:tcBorders>
                    <w:tl2br w:val="nil"/>
                    <w:tr2bl w:val="nil"/>
                  </w:tcBorders>
                  <w:noWrap w:val="0"/>
                  <w:vAlign w:val="center"/>
                </w:tcPr>
                <w:p w14:paraId="6F27DB67">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848360" cy="855980"/>
                        <wp:effectExtent l="0" t="0" r="8890" b="1270"/>
                        <wp:docPr id="57" name="图片 29"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descr="13001"/>
                                <pic:cNvPicPr>
                                  <a:picLocks noChangeAspect="1"/>
                                </pic:cNvPicPr>
                              </pic:nvPicPr>
                              <pic:blipFill>
                                <a:blip r:embed="rId42"/>
                                <a:stretch>
                                  <a:fillRect/>
                                </a:stretch>
                              </pic:blipFill>
                              <pic:spPr>
                                <a:xfrm>
                                  <a:off x="0" y="0"/>
                                  <a:ext cx="848360" cy="855980"/>
                                </a:xfrm>
                                <a:prstGeom prst="rect">
                                  <a:avLst/>
                                </a:prstGeom>
                                <a:noFill/>
                                <a:ln>
                                  <a:noFill/>
                                </a:ln>
                              </pic:spPr>
                            </pic:pic>
                          </a:graphicData>
                        </a:graphic>
                      </wp:inline>
                    </w:drawing>
                  </w:r>
                </w:p>
              </w:tc>
              <w:tc>
                <w:tcPr>
                  <w:tcW w:w="1212" w:type="pct"/>
                  <w:tcBorders>
                    <w:tl2br w:val="nil"/>
                    <w:tr2bl w:val="nil"/>
                  </w:tcBorders>
                  <w:noWrap w:val="0"/>
                  <w:vAlign w:val="center"/>
                </w:tcPr>
                <w:p w14:paraId="2C73F883">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848360" cy="855980"/>
                        <wp:effectExtent l="0" t="0" r="8890" b="1270"/>
                        <wp:docPr id="53" name="图片 30"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13002"/>
                                <pic:cNvPicPr>
                                  <a:picLocks noChangeAspect="1"/>
                                </pic:cNvPicPr>
                              </pic:nvPicPr>
                              <pic:blipFill>
                                <a:blip r:embed="rId43"/>
                                <a:stretch>
                                  <a:fillRect/>
                                </a:stretch>
                              </pic:blipFill>
                              <pic:spPr>
                                <a:xfrm>
                                  <a:off x="0" y="0"/>
                                  <a:ext cx="848360" cy="855980"/>
                                </a:xfrm>
                                <a:prstGeom prst="rect">
                                  <a:avLst/>
                                </a:prstGeom>
                                <a:noFill/>
                                <a:ln>
                                  <a:noFill/>
                                </a:ln>
                              </pic:spPr>
                            </pic:pic>
                          </a:graphicData>
                        </a:graphic>
                      </wp:inline>
                    </w:drawing>
                  </w:r>
                </w:p>
              </w:tc>
              <w:tc>
                <w:tcPr>
                  <w:tcW w:w="873" w:type="pct"/>
                  <w:tcBorders>
                    <w:tl2br w:val="nil"/>
                    <w:tr2bl w:val="nil"/>
                  </w:tcBorders>
                  <w:noWrap w:val="0"/>
                  <w:vAlign w:val="center"/>
                </w:tcPr>
                <w:p w14:paraId="1F3C311E">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废水排放口</w:t>
                  </w:r>
                </w:p>
              </w:tc>
              <w:tc>
                <w:tcPr>
                  <w:tcW w:w="1438" w:type="pct"/>
                  <w:tcBorders>
                    <w:tl2br w:val="nil"/>
                    <w:tr2bl w:val="nil"/>
                  </w:tcBorders>
                  <w:noWrap w:val="0"/>
                  <w:vAlign w:val="center"/>
                </w:tcPr>
                <w:p w14:paraId="2F5142E1">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表示废水向水体排放</w:t>
                  </w:r>
                </w:p>
              </w:tc>
            </w:tr>
            <w:tr w14:paraId="34DF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276107D6">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2</w:t>
                  </w:r>
                </w:p>
              </w:tc>
              <w:tc>
                <w:tcPr>
                  <w:tcW w:w="1080" w:type="pct"/>
                  <w:tcBorders>
                    <w:tl2br w:val="nil"/>
                    <w:tr2bl w:val="nil"/>
                  </w:tcBorders>
                  <w:noWrap w:val="0"/>
                  <w:vAlign w:val="center"/>
                </w:tcPr>
                <w:p w14:paraId="417A5CB6">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848360" cy="855980"/>
                        <wp:effectExtent l="0" t="0" r="8890" b="1270"/>
                        <wp:docPr id="55" name="图片 31"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descr="13003"/>
                                <pic:cNvPicPr>
                                  <a:picLocks noChangeAspect="1"/>
                                </pic:cNvPicPr>
                              </pic:nvPicPr>
                              <pic:blipFill>
                                <a:blip r:embed="rId44"/>
                                <a:stretch>
                                  <a:fillRect/>
                                </a:stretch>
                              </pic:blipFill>
                              <pic:spPr>
                                <a:xfrm>
                                  <a:off x="0" y="0"/>
                                  <a:ext cx="848360" cy="855980"/>
                                </a:xfrm>
                                <a:prstGeom prst="rect">
                                  <a:avLst/>
                                </a:prstGeom>
                                <a:noFill/>
                                <a:ln>
                                  <a:noFill/>
                                </a:ln>
                              </pic:spPr>
                            </pic:pic>
                          </a:graphicData>
                        </a:graphic>
                      </wp:inline>
                    </w:drawing>
                  </w:r>
                </w:p>
              </w:tc>
              <w:tc>
                <w:tcPr>
                  <w:tcW w:w="1212" w:type="pct"/>
                  <w:tcBorders>
                    <w:tl2br w:val="nil"/>
                    <w:tr2bl w:val="nil"/>
                  </w:tcBorders>
                  <w:noWrap w:val="0"/>
                  <w:vAlign w:val="center"/>
                </w:tcPr>
                <w:p w14:paraId="4E6172A6">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885190" cy="885190"/>
                        <wp:effectExtent l="0" t="0" r="10160" b="10160"/>
                        <wp:docPr id="54"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descr="4"/>
                                <pic:cNvPicPr>
                                  <a:picLocks noChangeAspect="1"/>
                                </pic:cNvPicPr>
                              </pic:nvPicPr>
                              <pic:blipFill>
                                <a:blip r:embed="rId45"/>
                                <a:stretch>
                                  <a:fillRect/>
                                </a:stretch>
                              </pic:blipFill>
                              <pic:spPr>
                                <a:xfrm>
                                  <a:off x="0" y="0"/>
                                  <a:ext cx="885190" cy="885190"/>
                                </a:xfrm>
                                <a:prstGeom prst="rect">
                                  <a:avLst/>
                                </a:prstGeom>
                                <a:noFill/>
                                <a:ln>
                                  <a:noFill/>
                                </a:ln>
                              </pic:spPr>
                            </pic:pic>
                          </a:graphicData>
                        </a:graphic>
                      </wp:inline>
                    </w:drawing>
                  </w:r>
                </w:p>
              </w:tc>
              <w:tc>
                <w:tcPr>
                  <w:tcW w:w="873" w:type="pct"/>
                  <w:tcBorders>
                    <w:tl2br w:val="nil"/>
                    <w:tr2bl w:val="nil"/>
                  </w:tcBorders>
                  <w:noWrap w:val="0"/>
                  <w:vAlign w:val="center"/>
                </w:tcPr>
                <w:p w14:paraId="286DECAF">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废气排放口</w:t>
                  </w:r>
                </w:p>
              </w:tc>
              <w:tc>
                <w:tcPr>
                  <w:tcW w:w="1438" w:type="pct"/>
                  <w:tcBorders>
                    <w:tl2br w:val="nil"/>
                    <w:tr2bl w:val="nil"/>
                  </w:tcBorders>
                  <w:noWrap w:val="0"/>
                  <w:vAlign w:val="center"/>
                </w:tcPr>
                <w:p w14:paraId="6D0A81D5">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表示废气向大气环境排放</w:t>
                  </w:r>
                </w:p>
              </w:tc>
            </w:tr>
            <w:tr w14:paraId="0B50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690B1B86">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3</w:t>
                  </w:r>
                </w:p>
              </w:tc>
              <w:tc>
                <w:tcPr>
                  <w:tcW w:w="1080" w:type="pct"/>
                  <w:tcBorders>
                    <w:tl2br w:val="nil"/>
                    <w:tr2bl w:val="nil"/>
                  </w:tcBorders>
                  <w:noWrap w:val="0"/>
                  <w:vAlign w:val="center"/>
                </w:tcPr>
                <w:p w14:paraId="1DF01F6F">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848360" cy="855980"/>
                        <wp:effectExtent l="0" t="0" r="8890" b="1270"/>
                        <wp:docPr id="61" name="图片 33"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descr="14001"/>
                                <pic:cNvPicPr>
                                  <a:picLocks noChangeAspect="1"/>
                                </pic:cNvPicPr>
                              </pic:nvPicPr>
                              <pic:blipFill>
                                <a:blip r:embed="rId46"/>
                                <a:stretch>
                                  <a:fillRect/>
                                </a:stretch>
                              </pic:blipFill>
                              <pic:spPr>
                                <a:xfrm>
                                  <a:off x="0" y="0"/>
                                  <a:ext cx="848360" cy="855980"/>
                                </a:xfrm>
                                <a:prstGeom prst="rect">
                                  <a:avLst/>
                                </a:prstGeom>
                                <a:noFill/>
                                <a:ln>
                                  <a:noFill/>
                                </a:ln>
                              </pic:spPr>
                            </pic:pic>
                          </a:graphicData>
                        </a:graphic>
                      </wp:inline>
                    </w:drawing>
                  </w:r>
                </w:p>
              </w:tc>
              <w:tc>
                <w:tcPr>
                  <w:tcW w:w="1212" w:type="pct"/>
                  <w:tcBorders>
                    <w:tl2br w:val="nil"/>
                    <w:tr2bl w:val="nil"/>
                  </w:tcBorders>
                  <w:noWrap w:val="0"/>
                  <w:vAlign w:val="center"/>
                </w:tcPr>
                <w:p w14:paraId="233D7B81">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906780" cy="862965"/>
                        <wp:effectExtent l="0" t="0" r="7620" b="13335"/>
                        <wp:docPr id="58" name="图片 34"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descr="14002"/>
                                <pic:cNvPicPr>
                                  <a:picLocks noChangeAspect="1"/>
                                </pic:cNvPicPr>
                              </pic:nvPicPr>
                              <pic:blipFill>
                                <a:blip r:embed="rId47"/>
                                <a:stretch>
                                  <a:fillRect/>
                                </a:stretch>
                              </pic:blipFill>
                              <pic:spPr>
                                <a:xfrm>
                                  <a:off x="0" y="0"/>
                                  <a:ext cx="906780" cy="862965"/>
                                </a:xfrm>
                                <a:prstGeom prst="rect">
                                  <a:avLst/>
                                </a:prstGeom>
                                <a:noFill/>
                                <a:ln>
                                  <a:noFill/>
                                </a:ln>
                              </pic:spPr>
                            </pic:pic>
                          </a:graphicData>
                        </a:graphic>
                      </wp:inline>
                    </w:drawing>
                  </w:r>
                </w:p>
              </w:tc>
              <w:tc>
                <w:tcPr>
                  <w:tcW w:w="873" w:type="pct"/>
                  <w:tcBorders>
                    <w:tl2br w:val="nil"/>
                    <w:tr2bl w:val="nil"/>
                  </w:tcBorders>
                  <w:noWrap w:val="0"/>
                  <w:vAlign w:val="center"/>
                </w:tcPr>
                <w:p w14:paraId="4AFA6C12">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一般固体废物</w:t>
                  </w:r>
                </w:p>
              </w:tc>
              <w:tc>
                <w:tcPr>
                  <w:tcW w:w="1438" w:type="pct"/>
                  <w:tcBorders>
                    <w:tl2br w:val="nil"/>
                    <w:tr2bl w:val="nil"/>
                  </w:tcBorders>
                  <w:noWrap w:val="0"/>
                  <w:vAlign w:val="center"/>
                </w:tcPr>
                <w:p w14:paraId="002AA666">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表示一般固体废物贮存、处置场</w:t>
                  </w:r>
                </w:p>
              </w:tc>
            </w:tr>
            <w:tr w14:paraId="3A3E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57CB05C7">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4</w:t>
                  </w:r>
                </w:p>
              </w:tc>
              <w:tc>
                <w:tcPr>
                  <w:tcW w:w="1080" w:type="pct"/>
                  <w:tcBorders>
                    <w:tl2br w:val="nil"/>
                    <w:tr2bl w:val="nil"/>
                  </w:tcBorders>
                  <w:noWrap w:val="0"/>
                  <w:vAlign w:val="center"/>
                </w:tcPr>
                <w:p w14:paraId="28293BDC">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p>
              </w:tc>
              <w:tc>
                <w:tcPr>
                  <w:tcW w:w="1212" w:type="pct"/>
                  <w:tcBorders>
                    <w:tl2br w:val="nil"/>
                    <w:tr2bl w:val="nil"/>
                  </w:tcBorders>
                  <w:noWrap w:val="0"/>
                  <w:vAlign w:val="center"/>
                </w:tcPr>
                <w:p w14:paraId="677A4183">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snapToGrid/>
                      <w:color w:val="000000" w:themeColor="text1"/>
                      <w:spacing w:val="0"/>
                      <w:w w:val="100"/>
                      <w:position w:val="0"/>
                      <w:sz w:val="21"/>
                      <w:szCs w:val="21"/>
                      <w14:textFill>
                        <w14:solidFill>
                          <w14:schemeClr w14:val="tx1"/>
                        </w14:solidFill>
                      </w14:textFill>
                    </w:rPr>
                    <w:drawing>
                      <wp:inline distT="0" distB="0" distL="114300" distR="114300">
                        <wp:extent cx="1092835" cy="982980"/>
                        <wp:effectExtent l="0" t="0" r="12065" b="762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48"/>
                                <a:srcRect t="5741" b="2177"/>
                                <a:stretch>
                                  <a:fillRect/>
                                </a:stretch>
                              </pic:blipFill>
                              <pic:spPr>
                                <a:xfrm>
                                  <a:off x="0" y="0"/>
                                  <a:ext cx="1092835" cy="982980"/>
                                </a:xfrm>
                                <a:prstGeom prst="rect">
                                  <a:avLst/>
                                </a:prstGeom>
                                <a:noFill/>
                                <a:ln>
                                  <a:noFill/>
                                </a:ln>
                              </pic:spPr>
                            </pic:pic>
                          </a:graphicData>
                        </a:graphic>
                      </wp:inline>
                    </w:drawing>
                  </w:r>
                </w:p>
              </w:tc>
              <w:tc>
                <w:tcPr>
                  <w:tcW w:w="873" w:type="pct"/>
                  <w:tcBorders>
                    <w:tl2br w:val="nil"/>
                    <w:tr2bl w:val="nil"/>
                  </w:tcBorders>
                  <w:noWrap w:val="0"/>
                  <w:vAlign w:val="center"/>
                </w:tcPr>
                <w:p w14:paraId="50F67408">
                  <w:pPr>
                    <w:pStyle w:val="7"/>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危险废物</w:t>
                  </w:r>
                </w:p>
              </w:tc>
              <w:tc>
                <w:tcPr>
                  <w:tcW w:w="1438" w:type="pct"/>
                  <w:tcBorders>
                    <w:tl2br w:val="nil"/>
                    <w:tr2bl w:val="nil"/>
                  </w:tcBorders>
                  <w:noWrap w:val="0"/>
                  <w:vAlign w:val="center"/>
                </w:tcPr>
                <w:p w14:paraId="252F8E78">
                  <w:pPr>
                    <w:pStyle w:val="7"/>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表示危险废物贮存、处置场</w:t>
                  </w:r>
                </w:p>
              </w:tc>
            </w:tr>
            <w:tr w14:paraId="2E2B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noWrap w:val="0"/>
                  <w:vAlign w:val="center"/>
                </w:tcPr>
                <w:p w14:paraId="39FF06E7">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5</w:t>
                  </w:r>
                </w:p>
              </w:tc>
              <w:tc>
                <w:tcPr>
                  <w:tcW w:w="1080" w:type="pct"/>
                  <w:tcBorders>
                    <w:tl2br w:val="nil"/>
                    <w:tr2bl w:val="nil"/>
                  </w:tcBorders>
                  <w:noWrap w:val="0"/>
                  <w:vAlign w:val="center"/>
                </w:tcPr>
                <w:p w14:paraId="0C209B26">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929005" cy="929005"/>
                        <wp:effectExtent l="0" t="0" r="4445" b="4445"/>
                        <wp:docPr id="56" name="图片 3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image011"/>
                                <pic:cNvPicPr>
                                  <a:picLocks noChangeAspect="1"/>
                                </pic:cNvPicPr>
                              </pic:nvPicPr>
                              <pic:blipFill>
                                <a:blip r:embed="rId49"/>
                                <a:stretch>
                                  <a:fillRect/>
                                </a:stretch>
                              </pic:blipFill>
                              <pic:spPr>
                                <a:xfrm>
                                  <a:off x="0" y="0"/>
                                  <a:ext cx="929005" cy="929005"/>
                                </a:xfrm>
                                <a:prstGeom prst="rect">
                                  <a:avLst/>
                                </a:prstGeom>
                                <a:noFill/>
                                <a:ln>
                                  <a:noFill/>
                                </a:ln>
                              </pic:spPr>
                            </pic:pic>
                          </a:graphicData>
                        </a:graphic>
                      </wp:inline>
                    </w:drawing>
                  </w:r>
                </w:p>
              </w:tc>
              <w:tc>
                <w:tcPr>
                  <w:tcW w:w="1212" w:type="pct"/>
                  <w:tcBorders>
                    <w:tl2br w:val="nil"/>
                    <w:tr2bl w:val="nil"/>
                  </w:tcBorders>
                  <w:noWrap w:val="0"/>
                  <w:vAlign w:val="center"/>
                </w:tcPr>
                <w:p w14:paraId="17B9FDC9">
                  <w:pPr>
                    <w:spacing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drawing>
                      <wp:inline distT="0" distB="0" distL="114300" distR="114300">
                        <wp:extent cx="1068070" cy="951230"/>
                        <wp:effectExtent l="0" t="0" r="17780" b="1270"/>
                        <wp:docPr id="60" name="图片 3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image012"/>
                                <pic:cNvPicPr>
                                  <a:picLocks noChangeAspect="1"/>
                                </pic:cNvPicPr>
                              </pic:nvPicPr>
                              <pic:blipFill>
                                <a:blip r:embed="rId50"/>
                                <a:stretch>
                                  <a:fillRect/>
                                </a:stretch>
                              </pic:blipFill>
                              <pic:spPr>
                                <a:xfrm>
                                  <a:off x="0" y="0"/>
                                  <a:ext cx="1068070" cy="951230"/>
                                </a:xfrm>
                                <a:prstGeom prst="rect">
                                  <a:avLst/>
                                </a:prstGeom>
                                <a:noFill/>
                                <a:ln>
                                  <a:noFill/>
                                </a:ln>
                              </pic:spPr>
                            </pic:pic>
                          </a:graphicData>
                        </a:graphic>
                      </wp:inline>
                    </w:drawing>
                  </w:r>
                </w:p>
              </w:tc>
              <w:tc>
                <w:tcPr>
                  <w:tcW w:w="873" w:type="pct"/>
                  <w:tcBorders>
                    <w:tl2br w:val="nil"/>
                    <w:tr2bl w:val="nil"/>
                  </w:tcBorders>
                  <w:noWrap w:val="0"/>
                  <w:vAlign w:val="center"/>
                </w:tcPr>
                <w:p w14:paraId="204E3A67">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噪声排放源</w:t>
                  </w:r>
                </w:p>
              </w:tc>
              <w:tc>
                <w:tcPr>
                  <w:tcW w:w="1438" w:type="pct"/>
                  <w:tcBorders>
                    <w:tl2br w:val="nil"/>
                    <w:tr2bl w:val="nil"/>
                  </w:tcBorders>
                  <w:noWrap w:val="0"/>
                  <w:vAlign w:val="center"/>
                </w:tcPr>
                <w:p w14:paraId="77C57C93">
                  <w:pPr>
                    <w:pStyle w:val="23"/>
                    <w:spacing w:before="0" w:beforeAutospacing="0" w:after="0" w:afterAutospacing="0" w:line="240" w:lineRule="auto"/>
                    <w:ind w:firstLine="0" w:firstLineChars="0"/>
                    <w:jc w:val="cente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pPr>
                  <w:r>
                    <w:rPr>
                      <w:rFonts w:hint="default" w:ascii="Times New Roman" w:hAnsi="Times New Roman" w:cs="Times New Roman"/>
                      <w:smallCaps w:val="0"/>
                      <w:snapToGrid/>
                      <w:color w:val="000000" w:themeColor="text1"/>
                      <w:spacing w:val="0"/>
                      <w:w w:val="100"/>
                      <w:kern w:val="0"/>
                      <w:position w:val="0"/>
                      <w:sz w:val="21"/>
                      <w:szCs w:val="21"/>
                      <w14:textFill>
                        <w14:solidFill>
                          <w14:schemeClr w14:val="tx1"/>
                        </w14:solidFill>
                      </w14:textFill>
                    </w:rPr>
                    <w:t>表示噪声向外环境排放</w:t>
                  </w:r>
                </w:p>
              </w:tc>
            </w:tr>
          </w:tbl>
          <w:p w14:paraId="3F86DEFC">
            <w:pPr>
              <w:keepNext w:val="0"/>
              <w:keepLines w:val="0"/>
              <w:pageBreakBefore w:val="0"/>
              <w:widowControl w:val="0"/>
              <w:kinsoku/>
              <w:wordWrap/>
              <w:overflowPunct/>
              <w:topLinePunct/>
              <w:autoSpaceDE/>
              <w:autoSpaceDN/>
              <w:bidi w:val="0"/>
              <w:adjustRightInd/>
              <w:snapToGrid/>
              <w:spacing w:before="157" w:beforeLines="50"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排污口应符合“一明显、二合理、三便于”的要求，即环保标志明显，排污口设置合理，排污去向合理，便于采集样品，便于监测计量，便于公众监督管理；</w:t>
            </w:r>
          </w:p>
          <w:p w14:paraId="018CC5C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一切新建、扩建、改建和限期治理的排污单位必须在建设污染治理设施的同时建设规范化排放口，并作为落实环境保护“三同时”制度的必要组成部分和项目验收的内容之一。</w:t>
            </w:r>
          </w:p>
          <w:p w14:paraId="1379AC4B">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r>
              <w:rPr>
                <w:rFonts w:hint="eastAsia" w:ascii="Times New Roman" w:hAnsi="Times New Roman" w:cs="Times New Roman"/>
                <w:smallCaps w:val="0"/>
                <w:snapToGrid/>
                <w:color w:val="000000" w:themeColor="text1"/>
                <w:spacing w:val="0"/>
                <w:w w:val="100"/>
                <w:kern w:val="0"/>
                <w:position w:val="0"/>
                <w:sz w:val="24"/>
                <w:szCs w:val="24"/>
                <w:lang w:val="en-US" w:eastAsia="zh-CN"/>
                <w14:textFill>
                  <w14:solidFill>
                    <w14:schemeClr w14:val="tx1"/>
                  </w14:solidFill>
                </w14:textFill>
              </w:rPr>
              <w:t>排污单位必须负责规范化的有关环保设施（如图形标志牌、计量装置、监控装置等）日常的维护保养，任何单位和个人不得擅自拆除，如需变更的须报环境监察部门同意并办理变更手续。</w:t>
            </w:r>
          </w:p>
          <w:p w14:paraId="3905D470">
            <w:pPr>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5E498F95">
            <w:pPr>
              <w:pStyle w:val="2"/>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5C8FA5EA">
            <w:pPr>
              <w:pStyle w:val="18"/>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04074252">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16152C96">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65F43E9C">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7FC77CAD">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1B5862FE">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22AE6794">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51112C71">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4396D064">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676BF484">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01D7A819">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7EC68056">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35378B34">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61456FA5">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69007D9C">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26F12DE6">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2CA17FC7">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7A07CA5B">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4D0872DC">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243C73F7">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155ECF7C">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1B7F81C1">
            <w:pPr>
              <w:pStyle w:val="19"/>
              <w:rPr>
                <w:rFonts w:hint="eastAsia" w:ascii="Times New Roman" w:hAnsi="Times New Roman" w:eastAsia="宋体" w:cs="Times New Roman"/>
                <w:snapToGrid/>
                <w:color w:val="000000" w:themeColor="text1"/>
                <w:spacing w:val="0"/>
                <w:kern w:val="0"/>
                <w:position w:val="0"/>
                <w:sz w:val="24"/>
                <w:szCs w:val="24"/>
                <w:lang w:eastAsia="zh-CN"/>
                <w14:textFill>
                  <w14:solidFill>
                    <w14:schemeClr w14:val="tx1"/>
                  </w14:solidFill>
                </w14:textFill>
              </w:rPr>
            </w:pPr>
          </w:p>
          <w:p w14:paraId="4E8DC948">
            <w:pPr>
              <w:keepNext w:val="0"/>
              <w:keepLines w:val="0"/>
              <w:pageBreakBefore w:val="0"/>
              <w:widowControl w:val="0"/>
              <w:kinsoku/>
              <w:wordWrap/>
              <w:overflowPunct/>
              <w:topLinePunct w:val="0"/>
              <w:autoSpaceDE/>
              <w:autoSpaceDN/>
              <w:bidi w:val="0"/>
              <w:spacing w:line="440" w:lineRule="exact"/>
              <w:textAlignment w:val="auto"/>
              <w:rPr>
                <w:rFonts w:hint="eastAsia"/>
                <w:snapToGrid/>
                <w:color w:val="000000" w:themeColor="text1"/>
                <w:spacing w:val="0"/>
                <w:kern w:val="0"/>
                <w:position w:val="0"/>
                <w:sz w:val="24"/>
                <w:szCs w:val="24"/>
                <w:lang w:eastAsia="zh-CN"/>
                <w14:textFill>
                  <w14:solidFill>
                    <w14:schemeClr w14:val="tx1"/>
                  </w14:solidFill>
                </w14:textFill>
              </w:rPr>
            </w:pPr>
          </w:p>
          <w:p w14:paraId="036ACF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napToGrid/>
                <w:color w:val="000000" w:themeColor="text1"/>
                <w:spacing w:val="0"/>
                <w:kern w:val="0"/>
                <w:position w:val="0"/>
                <w:sz w:val="24"/>
                <w:szCs w:val="24"/>
                <w:lang w:val="en-US" w:eastAsia="zh-CN"/>
                <w14:textFill>
                  <w14:solidFill>
                    <w14:schemeClr w14:val="tx1"/>
                  </w14:solidFill>
                </w14:textFill>
              </w:rPr>
            </w:pPr>
          </w:p>
        </w:tc>
      </w:tr>
    </w:tbl>
    <w:p w14:paraId="4224AD05">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color w:val="000000" w:themeColor="text1"/>
          <w:spacing w:val="0"/>
          <w:kern w:val="0"/>
          <w:position w:val="0"/>
          <w:sz w:val="30"/>
          <w:szCs w:val="30"/>
          <w14:textFill>
            <w14:solidFill>
              <w14:schemeClr w14:val="tx1"/>
            </w14:solidFill>
          </w14:textFill>
        </w:rPr>
      </w:pPr>
      <w:r>
        <w:rPr>
          <w:snapToGrid/>
          <w:color w:val="000000" w:themeColor="text1"/>
          <w:spacing w:val="0"/>
          <w:kern w:val="0"/>
          <w:position w:val="0"/>
          <w14:textFill>
            <w14:solidFill>
              <w14:schemeClr w14:val="tx1"/>
            </w14:solidFill>
          </w14:textFill>
        </w:rPr>
        <w:br w:type="page"/>
      </w:r>
      <w:bookmarkStart w:id="11" w:name="_Toc4103"/>
      <w:r>
        <w:rPr>
          <w:rFonts w:hint="eastAsia" w:ascii="黑体" w:hAnsi="黑体" w:eastAsia="黑体"/>
          <w:snapToGrid/>
          <w:color w:val="000000" w:themeColor="text1"/>
          <w:spacing w:val="0"/>
          <w:kern w:val="0"/>
          <w:position w:val="0"/>
          <w:sz w:val="30"/>
          <w:szCs w:val="30"/>
          <w14:textFill>
            <w14:solidFill>
              <w14:schemeClr w14:val="tx1"/>
            </w14:solidFill>
          </w14:textFill>
        </w:rPr>
        <w:t>六、结论</w:t>
      </w:r>
      <w:bookmarkEnd w:id="11"/>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069A3B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top"/>
          </w:tcPr>
          <w:p w14:paraId="7FFCEE9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本项目符合国家产业政策，项目选址符合当地规划要求。项目所在区大气、水以及声环境质量现状良好；在优化的污染防治措施实施后，项目废水、废气和噪声可稳定达标排放，固废可得到妥善处置；</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项目排放的各种污染物对环境的影响程度和范围均较小。</w:t>
            </w:r>
          </w:p>
          <w:p w14:paraId="210E6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因此，从环保角度考虑，在切实落实本报告中各项污染防治措施的前提下，</w:t>
            </w:r>
            <w:r>
              <w:rPr>
                <w:rFonts w:hint="eastAsia" w:cs="Times New Roman"/>
                <w:snapToGrid/>
                <w:color w:val="000000" w:themeColor="text1"/>
                <w:spacing w:val="0"/>
                <w:kern w:val="0"/>
                <w:position w:val="0"/>
                <w:sz w:val="24"/>
                <w:szCs w:val="24"/>
                <w:lang w:val="en-US" w:eastAsia="zh-CN"/>
                <w14:textFill>
                  <w14:solidFill>
                    <w14:schemeClr w14:val="tx1"/>
                  </w14:solidFill>
                </w14:textFill>
              </w:rPr>
              <w:t>本</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项目建设是可行的。</w:t>
            </w:r>
          </w:p>
          <w:p w14:paraId="38DAD0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BA090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29C5C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18B55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71D4E4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42648A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DA34C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2E6AD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2459F3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14EF2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8ECBD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84817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30DBB9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420D40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39F61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69C55C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38FB2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779F98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1E8923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6C9A76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39F9F5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437AD2D7">
            <w:pPr>
              <w:pStyle w:val="10"/>
              <w:rPr>
                <w:rFonts w:hint="default"/>
                <w:color w:val="000000" w:themeColor="text1"/>
                <w14:textFill>
                  <w14:solidFill>
                    <w14:schemeClr w14:val="tx1"/>
                  </w14:solidFill>
                </w14:textFill>
              </w:rPr>
            </w:pPr>
          </w:p>
          <w:p w14:paraId="1CC124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4DAE0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p>
          <w:p w14:paraId="05D75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snapToGrid/>
                <w:color w:val="000000" w:themeColor="text1"/>
                <w:spacing w:val="0"/>
                <w:kern w:val="0"/>
                <w:position w:val="0"/>
                <w:sz w:val="24"/>
                <w:lang w:eastAsia="zh-CN"/>
                <w14:textFill>
                  <w14:solidFill>
                    <w14:schemeClr w14:val="tx1"/>
                  </w14:solidFill>
                </w14:textFill>
              </w:rPr>
            </w:pPr>
          </w:p>
        </w:tc>
      </w:tr>
    </w:tbl>
    <w:p w14:paraId="475090A0">
      <w:pPr>
        <w:rPr>
          <w:rFonts w:ascii="宋体"/>
          <w:snapToGrid/>
          <w:color w:val="000000" w:themeColor="text1"/>
          <w:spacing w:val="0"/>
          <w:kern w:val="0"/>
          <w:position w:val="0"/>
          <w14:textFill>
            <w14:solidFill>
              <w14:schemeClr w14:val="tx1"/>
            </w14:solidFill>
          </w14:textFill>
        </w:rPr>
        <w:sectPr>
          <w:headerReference r:id="rId9" w:type="default"/>
          <w:pgSz w:w="11906" w:h="16838"/>
          <w:pgMar w:top="1531" w:right="1531" w:bottom="1531" w:left="1531" w:header="964" w:footer="1020" w:gutter="0"/>
          <w:pgBorders>
            <w:top w:val="none" w:sz="0" w:space="0"/>
            <w:left w:val="none" w:sz="0" w:space="0"/>
            <w:bottom w:val="none" w:sz="0" w:space="0"/>
            <w:right w:val="none" w:sz="0" w:space="0"/>
          </w:pgBorders>
          <w:pgNumType w:fmt="decimal"/>
          <w:cols w:space="720" w:num="1"/>
          <w:docGrid w:linePitch="312" w:charSpace="0"/>
        </w:sectPr>
      </w:pPr>
    </w:p>
    <w:p w14:paraId="024EB98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ascii="黑体" w:hAnsi="黑体" w:eastAsia="黑体"/>
          <w:snapToGrid/>
          <w:color w:val="000000" w:themeColor="text1"/>
          <w:spacing w:val="0"/>
          <w:kern w:val="0"/>
          <w:position w:val="0"/>
          <w:sz w:val="32"/>
          <w:szCs w:val="32"/>
          <w14:textFill>
            <w14:solidFill>
              <w14:schemeClr w14:val="tx1"/>
            </w14:solidFill>
          </w14:textFill>
        </w:rPr>
      </w:pPr>
      <w:bookmarkStart w:id="12" w:name="_Toc26054"/>
      <w:r>
        <w:rPr>
          <w:rFonts w:hint="eastAsia" w:ascii="黑体" w:hAnsi="黑体" w:eastAsia="黑体"/>
          <w:snapToGrid/>
          <w:color w:val="000000" w:themeColor="text1"/>
          <w:spacing w:val="0"/>
          <w:kern w:val="0"/>
          <w:position w:val="0"/>
          <w:sz w:val="32"/>
          <w:szCs w:val="32"/>
          <w14:textFill>
            <w14:solidFill>
              <w14:schemeClr w14:val="tx1"/>
            </w14:solidFill>
          </w14:textFill>
        </w:rPr>
        <w:t>附表</w:t>
      </w:r>
      <w:bookmarkEnd w:id="12"/>
    </w:p>
    <w:p w14:paraId="75D4AB91">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color w:val="000000" w:themeColor="text1"/>
          <w:spacing w:val="0"/>
          <w:kern w:val="0"/>
          <w:position w:val="0"/>
          <w:sz w:val="38"/>
          <w:szCs w:val="38"/>
          <w14:textFill>
            <w14:solidFill>
              <w14:schemeClr w14:val="tx1"/>
            </w14:solidFill>
          </w14:textFill>
        </w:rPr>
      </w:pPr>
      <w:bookmarkStart w:id="13" w:name="_Toc7762"/>
      <w:r>
        <w:rPr>
          <w:rFonts w:hint="eastAsia" w:ascii="方正小标宋_GBK" w:hAnsi="黑体" w:eastAsia="方正小标宋_GBK"/>
          <w:snapToGrid/>
          <w:color w:val="000000" w:themeColor="text1"/>
          <w:spacing w:val="0"/>
          <w:kern w:val="0"/>
          <w:position w:val="0"/>
          <w:sz w:val="38"/>
          <w:szCs w:val="38"/>
          <w14:textFill>
            <w14:solidFill>
              <w14:schemeClr w14:val="tx1"/>
            </w14:solidFill>
          </w14:textFill>
        </w:rPr>
        <w:t>建设项目污染物排放量汇总表</w:t>
      </w:r>
      <w:bookmarkEnd w:id="13"/>
    </w:p>
    <w:tbl>
      <w:tblPr>
        <w:tblStyle w:val="27"/>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963"/>
        <w:gridCol w:w="1522"/>
        <w:gridCol w:w="1342"/>
        <w:gridCol w:w="1798"/>
        <w:gridCol w:w="1648"/>
        <w:gridCol w:w="1863"/>
        <w:gridCol w:w="1590"/>
        <w:gridCol w:w="1493"/>
      </w:tblGrid>
      <w:tr w14:paraId="7590E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tcBorders>
              <w:tl2br w:val="single" w:color="auto" w:sz="4" w:space="0"/>
            </w:tcBorders>
            <w:noWrap w:val="0"/>
            <w:tcMar>
              <w:left w:w="28" w:type="dxa"/>
              <w:right w:w="28" w:type="dxa"/>
            </w:tcMar>
            <w:vAlign w:val="center"/>
          </w:tcPr>
          <w:p w14:paraId="02B567EE">
            <w:pPr>
              <w:pStyle w:val="58"/>
              <w:spacing w:beforeLines="0" w:afterLines="0" w:line="240" w:lineRule="auto"/>
              <w:jc w:val="right"/>
              <w:rPr>
                <w:rFonts w:hint="eastAsia" w:ascii="黑体" w:hAnsi="黑体" w:eastAsia="黑体" w:cs="宋体"/>
                <w:snapToGrid/>
                <w:color w:val="000000" w:themeColor="text1"/>
                <w:spacing w:val="0"/>
                <w:kern w:val="0"/>
                <w:position w:val="0"/>
                <w:sz w:val="24"/>
                <w:szCs w:val="24"/>
                <w14:textFill>
                  <w14:solidFill>
                    <w14:schemeClr w14:val="tx1"/>
                  </w14:solidFill>
                </w14:textFill>
              </w:rPr>
            </w:pPr>
            <w:r>
              <w:rPr>
                <w:rFonts w:hint="eastAsia" w:ascii="黑体" w:hAnsi="黑体" w:eastAsia="黑体" w:cs="宋体"/>
                <w:snapToGrid/>
                <w:color w:val="000000" w:themeColor="text1"/>
                <w:spacing w:val="0"/>
                <w:kern w:val="0"/>
                <w:position w:val="0"/>
                <w:sz w:val="24"/>
                <w:szCs w:val="24"/>
                <w14:textFill>
                  <w14:solidFill>
                    <w14:schemeClr w14:val="tx1"/>
                  </w14:solidFill>
                </w14:textFill>
              </w:rPr>
              <w:t>项目</w:t>
            </w:r>
          </w:p>
          <w:p w14:paraId="62149DCC">
            <w:pPr>
              <w:pStyle w:val="58"/>
              <w:spacing w:beforeLines="0" w:afterLines="0" w:line="240" w:lineRule="auto"/>
              <w:jc w:val="left"/>
              <w:rPr>
                <w:rFonts w:hint="eastAsia" w:ascii="黑体" w:hAnsi="黑体" w:eastAsia="黑体" w:cs="宋体"/>
                <w:snapToGrid/>
                <w:color w:val="000000" w:themeColor="text1"/>
                <w:spacing w:val="0"/>
                <w:kern w:val="0"/>
                <w:position w:val="0"/>
                <w:sz w:val="24"/>
                <w:szCs w:val="24"/>
                <w14:textFill>
                  <w14:solidFill>
                    <w14:schemeClr w14:val="tx1"/>
                  </w14:solidFill>
                </w14:textFill>
              </w:rPr>
            </w:pPr>
            <w:r>
              <w:rPr>
                <w:rFonts w:hint="eastAsia" w:ascii="黑体" w:hAnsi="黑体" w:eastAsia="黑体" w:cs="宋体"/>
                <w:snapToGrid/>
                <w:color w:val="000000" w:themeColor="text1"/>
                <w:spacing w:val="0"/>
                <w:kern w:val="0"/>
                <w:position w:val="0"/>
                <w:sz w:val="24"/>
                <w:szCs w:val="24"/>
                <w14:textFill>
                  <w14:solidFill>
                    <w14:schemeClr w14:val="tx1"/>
                  </w14:solidFill>
                </w14:textFill>
              </w:rPr>
              <w:t>分类</w:t>
            </w:r>
          </w:p>
        </w:tc>
        <w:tc>
          <w:tcPr>
            <w:tcW w:w="667" w:type="pct"/>
            <w:noWrap w:val="0"/>
            <w:tcMar>
              <w:left w:w="28" w:type="dxa"/>
              <w:right w:w="28" w:type="dxa"/>
            </w:tcMar>
            <w:vAlign w:val="center"/>
          </w:tcPr>
          <w:p w14:paraId="1B4662A9">
            <w:pPr>
              <w:pStyle w:val="58"/>
              <w:spacing w:beforeLines="0" w:afterLines="0" w:line="240" w:lineRule="auto"/>
              <w:rPr>
                <w:rFonts w:hint="eastAsia" w:ascii="黑体" w:hAnsi="黑体" w:eastAsia="黑体" w:cs="宋体"/>
                <w:snapToGrid/>
                <w:color w:val="000000" w:themeColor="text1"/>
                <w:spacing w:val="0"/>
                <w:kern w:val="0"/>
                <w:position w:val="0"/>
                <w:sz w:val="24"/>
                <w:szCs w:val="24"/>
                <w14:textFill>
                  <w14:solidFill>
                    <w14:schemeClr w14:val="tx1"/>
                  </w14:solidFill>
                </w14:textFill>
              </w:rPr>
            </w:pPr>
            <w:r>
              <w:rPr>
                <w:rFonts w:hint="eastAsia" w:ascii="黑体" w:hAnsi="黑体" w:eastAsia="黑体" w:cs="宋体"/>
                <w:snapToGrid/>
                <w:color w:val="000000" w:themeColor="text1"/>
                <w:spacing w:val="0"/>
                <w:kern w:val="0"/>
                <w:position w:val="0"/>
                <w:sz w:val="24"/>
                <w:szCs w:val="24"/>
                <w14:textFill>
                  <w14:solidFill>
                    <w14:schemeClr w14:val="tx1"/>
                  </w14:solidFill>
                </w14:textFill>
              </w:rPr>
              <w:t>污染物名称</w:t>
            </w:r>
          </w:p>
        </w:tc>
        <w:tc>
          <w:tcPr>
            <w:tcW w:w="517" w:type="pct"/>
            <w:noWrap w:val="0"/>
            <w:tcMar>
              <w:left w:w="28" w:type="dxa"/>
              <w:right w:w="28" w:type="dxa"/>
            </w:tcMar>
            <w:vAlign w:val="center"/>
          </w:tcPr>
          <w:p w14:paraId="78211C48">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现有工程排放量（固</w:t>
            </w:r>
            <w:r>
              <w:rPr>
                <w:rFonts w:hint="eastAsia" w:ascii="黑体" w:hAnsi="黑体" w:eastAsia="黑体"/>
                <w:snapToGrid/>
                <w:color w:val="000000" w:themeColor="text1"/>
                <w:spacing w:val="0"/>
                <w:kern w:val="0"/>
                <w:position w:val="0"/>
                <w:sz w:val="24"/>
                <w:szCs w:val="24"/>
                <w14:textFill>
                  <w14:solidFill>
                    <w14:schemeClr w14:val="tx1"/>
                  </w14:solidFill>
                </w14:textFill>
              </w:rPr>
              <w:t>体</w:t>
            </w:r>
            <w:r>
              <w:rPr>
                <w:rFonts w:ascii="黑体" w:hAnsi="黑体" w:eastAsia="黑体"/>
                <w:snapToGrid/>
                <w:color w:val="000000" w:themeColor="text1"/>
                <w:spacing w:val="0"/>
                <w:kern w:val="0"/>
                <w:position w:val="0"/>
                <w:sz w:val="24"/>
                <w:szCs w:val="24"/>
                <w14:textFill>
                  <w14:solidFill>
                    <w14:schemeClr w14:val="tx1"/>
                  </w14:solidFill>
                </w14:textFill>
              </w:rPr>
              <w:t>废</w:t>
            </w:r>
            <w:r>
              <w:rPr>
                <w:rFonts w:hint="eastAsia" w:ascii="黑体" w:hAnsi="黑体" w:eastAsia="黑体"/>
                <w:snapToGrid/>
                <w:color w:val="000000" w:themeColor="text1"/>
                <w:spacing w:val="0"/>
                <w:kern w:val="0"/>
                <w:position w:val="0"/>
                <w:sz w:val="24"/>
                <w:szCs w:val="24"/>
                <w14:textFill>
                  <w14:solidFill>
                    <w14:schemeClr w14:val="tx1"/>
                  </w14:solidFill>
                </w14:textFill>
              </w:rPr>
              <w:t>物</w:t>
            </w:r>
            <w:r>
              <w:rPr>
                <w:rFonts w:ascii="黑体" w:hAnsi="黑体" w:eastAsia="黑体"/>
                <w:snapToGrid/>
                <w:color w:val="000000" w:themeColor="text1"/>
                <w:spacing w:val="0"/>
                <w:kern w:val="0"/>
                <w:position w:val="0"/>
                <w:sz w:val="24"/>
                <w:szCs w:val="24"/>
                <w14:textFill>
                  <w14:solidFill>
                    <w14:schemeClr w14:val="tx1"/>
                  </w14:solidFill>
                </w14:textFill>
              </w:rPr>
              <w:t>产生量）</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1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①</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456" w:type="pct"/>
            <w:noWrap w:val="0"/>
            <w:tcMar>
              <w:left w:w="28" w:type="dxa"/>
              <w:right w:w="28" w:type="dxa"/>
            </w:tcMar>
            <w:vAlign w:val="center"/>
          </w:tcPr>
          <w:p w14:paraId="054E095D">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现有工程许可排放量</w:t>
            </w:r>
          </w:p>
          <w:p w14:paraId="2BFC7438">
            <w:pPr>
              <w:pStyle w:val="58"/>
              <w:spacing w:beforeLines="0" w:afterLines="0"/>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2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②</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611" w:type="pct"/>
            <w:noWrap w:val="0"/>
            <w:tcMar>
              <w:left w:w="28" w:type="dxa"/>
              <w:right w:w="28" w:type="dxa"/>
            </w:tcMar>
            <w:vAlign w:val="center"/>
          </w:tcPr>
          <w:p w14:paraId="5F3D97F7">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在建工程排放量（固</w:t>
            </w:r>
            <w:r>
              <w:rPr>
                <w:rFonts w:hint="eastAsia" w:ascii="黑体" w:hAnsi="黑体" w:eastAsia="黑体"/>
                <w:snapToGrid/>
                <w:color w:val="000000" w:themeColor="text1"/>
                <w:spacing w:val="0"/>
                <w:kern w:val="0"/>
                <w:position w:val="0"/>
                <w:sz w:val="24"/>
                <w:szCs w:val="24"/>
                <w14:textFill>
                  <w14:solidFill>
                    <w14:schemeClr w14:val="tx1"/>
                  </w14:solidFill>
                </w14:textFill>
              </w:rPr>
              <w:t>体</w:t>
            </w:r>
            <w:r>
              <w:rPr>
                <w:rFonts w:ascii="黑体" w:hAnsi="黑体" w:eastAsia="黑体"/>
                <w:snapToGrid/>
                <w:color w:val="000000" w:themeColor="text1"/>
                <w:spacing w:val="0"/>
                <w:kern w:val="0"/>
                <w:position w:val="0"/>
                <w:sz w:val="24"/>
                <w:szCs w:val="24"/>
                <w14:textFill>
                  <w14:solidFill>
                    <w14:schemeClr w14:val="tx1"/>
                  </w14:solidFill>
                </w14:textFill>
              </w:rPr>
              <w:t>废</w:t>
            </w:r>
            <w:r>
              <w:rPr>
                <w:rFonts w:hint="eastAsia" w:ascii="黑体" w:hAnsi="黑体" w:eastAsia="黑体"/>
                <w:snapToGrid/>
                <w:color w:val="000000" w:themeColor="text1"/>
                <w:spacing w:val="0"/>
                <w:kern w:val="0"/>
                <w:position w:val="0"/>
                <w:sz w:val="24"/>
                <w:szCs w:val="24"/>
                <w14:textFill>
                  <w14:solidFill>
                    <w14:schemeClr w14:val="tx1"/>
                  </w14:solidFill>
                </w14:textFill>
              </w:rPr>
              <w:t>物</w:t>
            </w:r>
            <w:r>
              <w:rPr>
                <w:rFonts w:ascii="黑体" w:hAnsi="黑体" w:eastAsia="黑体"/>
                <w:snapToGrid/>
                <w:color w:val="000000" w:themeColor="text1"/>
                <w:spacing w:val="0"/>
                <w:kern w:val="0"/>
                <w:position w:val="0"/>
                <w:sz w:val="24"/>
                <w:szCs w:val="24"/>
                <w14:textFill>
                  <w14:solidFill>
                    <w14:schemeClr w14:val="tx1"/>
                  </w14:solidFill>
                </w14:textFill>
              </w:rPr>
              <w:t>产生量）</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3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③</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560" w:type="pct"/>
            <w:noWrap w:val="0"/>
            <w:tcMar>
              <w:left w:w="28" w:type="dxa"/>
              <w:right w:w="28" w:type="dxa"/>
            </w:tcMar>
            <w:vAlign w:val="center"/>
          </w:tcPr>
          <w:p w14:paraId="19DCA82F">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本项目排放量（固</w:t>
            </w:r>
            <w:r>
              <w:rPr>
                <w:rFonts w:hint="eastAsia" w:ascii="黑体" w:hAnsi="黑体" w:eastAsia="黑体"/>
                <w:snapToGrid/>
                <w:color w:val="000000" w:themeColor="text1"/>
                <w:spacing w:val="0"/>
                <w:kern w:val="0"/>
                <w:position w:val="0"/>
                <w:sz w:val="24"/>
                <w:szCs w:val="24"/>
                <w14:textFill>
                  <w14:solidFill>
                    <w14:schemeClr w14:val="tx1"/>
                  </w14:solidFill>
                </w14:textFill>
              </w:rPr>
              <w:t>体</w:t>
            </w:r>
            <w:r>
              <w:rPr>
                <w:rFonts w:ascii="黑体" w:hAnsi="黑体" w:eastAsia="黑体"/>
                <w:snapToGrid/>
                <w:color w:val="000000" w:themeColor="text1"/>
                <w:spacing w:val="0"/>
                <w:kern w:val="0"/>
                <w:position w:val="0"/>
                <w:sz w:val="24"/>
                <w:szCs w:val="24"/>
                <w14:textFill>
                  <w14:solidFill>
                    <w14:schemeClr w14:val="tx1"/>
                  </w14:solidFill>
                </w14:textFill>
              </w:rPr>
              <w:t>废</w:t>
            </w:r>
            <w:r>
              <w:rPr>
                <w:rFonts w:hint="eastAsia" w:ascii="黑体" w:hAnsi="黑体" w:eastAsia="黑体"/>
                <w:snapToGrid/>
                <w:color w:val="000000" w:themeColor="text1"/>
                <w:spacing w:val="0"/>
                <w:kern w:val="0"/>
                <w:position w:val="0"/>
                <w:sz w:val="24"/>
                <w:szCs w:val="24"/>
                <w14:textFill>
                  <w14:solidFill>
                    <w14:schemeClr w14:val="tx1"/>
                  </w14:solidFill>
                </w14:textFill>
              </w:rPr>
              <w:t>物</w:t>
            </w:r>
            <w:r>
              <w:rPr>
                <w:rFonts w:ascii="黑体" w:hAnsi="黑体" w:eastAsia="黑体"/>
                <w:snapToGrid/>
                <w:color w:val="000000" w:themeColor="text1"/>
                <w:spacing w:val="0"/>
                <w:kern w:val="0"/>
                <w:position w:val="0"/>
                <w:sz w:val="24"/>
                <w:szCs w:val="24"/>
                <w14:textFill>
                  <w14:solidFill>
                    <w14:schemeClr w14:val="tx1"/>
                  </w14:solidFill>
                </w14:textFill>
              </w:rPr>
              <w:t>产生量）</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4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④</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633" w:type="pct"/>
            <w:noWrap w:val="0"/>
            <w:tcMar>
              <w:left w:w="28" w:type="dxa"/>
              <w:right w:w="28" w:type="dxa"/>
            </w:tcMar>
            <w:vAlign w:val="center"/>
          </w:tcPr>
          <w:p w14:paraId="2A50C218">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以新带老削减量（新建项目不填）</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5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⑤</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540" w:type="pct"/>
            <w:noWrap w:val="0"/>
            <w:tcMar>
              <w:left w:w="28" w:type="dxa"/>
              <w:right w:w="28" w:type="dxa"/>
            </w:tcMar>
            <w:vAlign w:val="center"/>
          </w:tcPr>
          <w:p w14:paraId="72879152">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本项目建成后</w:t>
            </w:r>
            <w:r>
              <w:rPr>
                <w:rFonts w:hint="eastAsia" w:ascii="黑体" w:hAnsi="黑体" w:eastAsia="黑体"/>
                <w:snapToGrid/>
                <w:color w:val="000000" w:themeColor="text1"/>
                <w:spacing w:val="0"/>
                <w:kern w:val="0"/>
                <w:position w:val="0"/>
                <w:sz w:val="24"/>
                <w:szCs w:val="24"/>
                <w14:textFill>
                  <w14:solidFill>
                    <w14:schemeClr w14:val="tx1"/>
                  </w14:solidFill>
                </w14:textFill>
              </w:rPr>
              <w:t>全厂</w:t>
            </w:r>
            <w:r>
              <w:rPr>
                <w:rFonts w:ascii="黑体" w:hAnsi="黑体" w:eastAsia="黑体"/>
                <w:snapToGrid/>
                <w:color w:val="000000" w:themeColor="text1"/>
                <w:spacing w:val="0"/>
                <w:kern w:val="0"/>
                <w:position w:val="0"/>
                <w:sz w:val="24"/>
                <w:szCs w:val="24"/>
                <w14:textFill>
                  <w14:solidFill>
                    <w14:schemeClr w14:val="tx1"/>
                  </w14:solidFill>
                </w14:textFill>
              </w:rPr>
              <w:t>排放量（固</w:t>
            </w:r>
            <w:r>
              <w:rPr>
                <w:rFonts w:hint="eastAsia" w:ascii="黑体" w:hAnsi="黑体" w:eastAsia="黑体"/>
                <w:snapToGrid/>
                <w:color w:val="000000" w:themeColor="text1"/>
                <w:spacing w:val="0"/>
                <w:kern w:val="0"/>
                <w:position w:val="0"/>
                <w:sz w:val="24"/>
                <w:szCs w:val="24"/>
                <w14:textFill>
                  <w14:solidFill>
                    <w14:schemeClr w14:val="tx1"/>
                  </w14:solidFill>
                </w14:textFill>
              </w:rPr>
              <w:t>体</w:t>
            </w:r>
            <w:r>
              <w:rPr>
                <w:rFonts w:ascii="黑体" w:hAnsi="黑体" w:eastAsia="黑体"/>
                <w:snapToGrid/>
                <w:color w:val="000000" w:themeColor="text1"/>
                <w:spacing w:val="0"/>
                <w:kern w:val="0"/>
                <w:position w:val="0"/>
                <w:sz w:val="24"/>
                <w:szCs w:val="24"/>
                <w14:textFill>
                  <w14:solidFill>
                    <w14:schemeClr w14:val="tx1"/>
                  </w14:solidFill>
                </w14:textFill>
              </w:rPr>
              <w:t>废</w:t>
            </w:r>
            <w:r>
              <w:rPr>
                <w:rFonts w:hint="eastAsia" w:ascii="黑体" w:hAnsi="黑体" w:eastAsia="黑体"/>
                <w:snapToGrid/>
                <w:color w:val="000000" w:themeColor="text1"/>
                <w:spacing w:val="0"/>
                <w:kern w:val="0"/>
                <w:position w:val="0"/>
                <w:sz w:val="24"/>
                <w:szCs w:val="24"/>
                <w14:textFill>
                  <w14:solidFill>
                    <w14:schemeClr w14:val="tx1"/>
                  </w14:solidFill>
                </w14:textFill>
              </w:rPr>
              <w:t>物</w:t>
            </w:r>
            <w:r>
              <w:rPr>
                <w:rFonts w:ascii="黑体" w:hAnsi="黑体" w:eastAsia="黑体"/>
                <w:snapToGrid/>
                <w:color w:val="000000" w:themeColor="text1"/>
                <w:spacing w:val="0"/>
                <w:kern w:val="0"/>
                <w:position w:val="0"/>
                <w:sz w:val="24"/>
                <w:szCs w:val="24"/>
                <w14:textFill>
                  <w14:solidFill>
                    <w14:schemeClr w14:val="tx1"/>
                  </w14:solidFill>
                </w14:textFill>
              </w:rPr>
              <w:t>产生量）</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6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⑥</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c>
          <w:tcPr>
            <w:tcW w:w="507" w:type="pct"/>
            <w:noWrap w:val="0"/>
            <w:tcMar>
              <w:left w:w="28" w:type="dxa"/>
              <w:right w:w="28" w:type="dxa"/>
            </w:tcMar>
            <w:vAlign w:val="center"/>
          </w:tcPr>
          <w:p w14:paraId="7D741020">
            <w:pPr>
              <w:pStyle w:val="58"/>
              <w:spacing w:beforeLines="0" w:afterLines="0" w:line="240" w:lineRule="auto"/>
              <w:rPr>
                <w:rFonts w:ascii="黑体" w:hAnsi="黑体" w:eastAsia="黑体"/>
                <w:snapToGrid/>
                <w:color w:val="000000" w:themeColor="text1"/>
                <w:spacing w:val="0"/>
                <w:kern w:val="0"/>
                <w:position w:val="0"/>
                <w:sz w:val="24"/>
                <w:szCs w:val="24"/>
                <w14:textFill>
                  <w14:solidFill>
                    <w14:schemeClr w14:val="tx1"/>
                  </w14:solidFill>
                </w14:textFill>
              </w:rPr>
            </w:pPr>
            <w:r>
              <w:rPr>
                <w:rFonts w:ascii="黑体" w:hAnsi="黑体" w:eastAsia="黑体"/>
                <w:snapToGrid/>
                <w:color w:val="000000" w:themeColor="text1"/>
                <w:spacing w:val="0"/>
                <w:kern w:val="0"/>
                <w:position w:val="0"/>
                <w:sz w:val="24"/>
                <w:szCs w:val="24"/>
                <w14:textFill>
                  <w14:solidFill>
                    <w14:schemeClr w14:val="tx1"/>
                  </w14:solidFill>
                </w14:textFill>
              </w:rPr>
              <w:t>变化量</w:t>
            </w:r>
            <w:r>
              <w:rPr>
                <w:rFonts w:ascii="黑体" w:hAnsi="黑体" w:eastAsia="黑体"/>
                <w:snapToGrid/>
                <w:color w:val="000000" w:themeColor="text1"/>
                <w:spacing w:val="0"/>
                <w:kern w:val="0"/>
                <w:position w:val="0"/>
                <w:sz w:val="24"/>
                <w:szCs w:val="24"/>
                <w14:textFill>
                  <w14:solidFill>
                    <w14:schemeClr w14:val="tx1"/>
                  </w14:solidFill>
                </w14:textFill>
              </w:rPr>
              <w:fldChar w:fldCharType="begin"/>
            </w:r>
            <w:r>
              <w:rPr>
                <w:rFonts w:ascii="黑体" w:hAnsi="黑体" w:eastAsia="黑体"/>
                <w:snapToGrid/>
                <w:color w:val="000000" w:themeColor="text1"/>
                <w:spacing w:val="0"/>
                <w:kern w:val="0"/>
                <w:position w:val="0"/>
                <w:sz w:val="24"/>
                <w:szCs w:val="24"/>
                <w14:textFill>
                  <w14:solidFill>
                    <w14:schemeClr w14:val="tx1"/>
                  </w14:solidFill>
                </w14:textFill>
              </w:rPr>
              <w:instrText xml:space="preserve"> = 7 \* GB3 \* MERGEFORMAT </w:instrText>
            </w:r>
            <w:r>
              <w:rPr>
                <w:rFonts w:ascii="黑体" w:hAnsi="黑体" w:eastAsia="黑体"/>
                <w:snapToGrid/>
                <w:color w:val="000000" w:themeColor="text1"/>
                <w:spacing w:val="0"/>
                <w:kern w:val="0"/>
                <w:position w:val="0"/>
                <w:sz w:val="24"/>
                <w:szCs w:val="24"/>
                <w14:textFill>
                  <w14:solidFill>
                    <w14:schemeClr w14:val="tx1"/>
                  </w14:solidFill>
                </w14:textFill>
              </w:rPr>
              <w:fldChar w:fldCharType="separate"/>
            </w:r>
            <w:r>
              <w:rPr>
                <w:rFonts w:hint="eastAsia" w:ascii="黑体" w:hAnsi="黑体" w:eastAsia="黑体" w:cs="宋体"/>
                <w:snapToGrid/>
                <w:color w:val="000000" w:themeColor="text1"/>
                <w:spacing w:val="0"/>
                <w:kern w:val="0"/>
                <w:position w:val="0"/>
                <w:sz w:val="24"/>
                <w:szCs w:val="24"/>
                <w14:textFill>
                  <w14:solidFill>
                    <w14:schemeClr w14:val="tx1"/>
                  </w14:solidFill>
                </w14:textFill>
              </w:rPr>
              <w:t>⑦</w:t>
            </w:r>
            <w:r>
              <w:rPr>
                <w:rFonts w:ascii="黑体" w:hAnsi="黑体" w:eastAsia="黑体"/>
                <w:snapToGrid/>
                <w:color w:val="000000" w:themeColor="text1"/>
                <w:spacing w:val="0"/>
                <w:kern w:val="0"/>
                <w:position w:val="0"/>
                <w:sz w:val="24"/>
                <w:szCs w:val="24"/>
                <w14:textFill>
                  <w14:solidFill>
                    <w14:schemeClr w14:val="tx1"/>
                  </w14:solidFill>
                </w14:textFill>
              </w:rPr>
              <w:fldChar w:fldCharType="end"/>
            </w:r>
          </w:p>
        </w:tc>
      </w:tr>
      <w:tr w14:paraId="750D0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noWrap w:val="0"/>
            <w:vAlign w:val="center"/>
          </w:tcPr>
          <w:p w14:paraId="68CE74D3">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r>
              <w:rPr>
                <w:rFonts w:hint="eastAsia" w:hAnsi="宋体" w:cs="宋体"/>
                <w:snapToGrid/>
                <w:color w:val="000000" w:themeColor="text1"/>
                <w:spacing w:val="0"/>
                <w:kern w:val="0"/>
                <w:position w:val="0"/>
                <w:sz w:val="24"/>
                <w:szCs w:val="24"/>
                <w14:textFill>
                  <w14:solidFill>
                    <w14:schemeClr w14:val="tx1"/>
                  </w14:solidFill>
                </w14:textFill>
              </w:rPr>
              <w:t>废气</w:t>
            </w:r>
          </w:p>
        </w:tc>
        <w:tc>
          <w:tcPr>
            <w:tcW w:w="667" w:type="pct"/>
            <w:noWrap w:val="0"/>
            <w:vAlign w:val="center"/>
          </w:tcPr>
          <w:p w14:paraId="1B46E4CF">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颗粒物</w:t>
            </w:r>
          </w:p>
        </w:tc>
        <w:tc>
          <w:tcPr>
            <w:tcW w:w="517" w:type="pct"/>
            <w:noWrap w:val="0"/>
            <w:vAlign w:val="center"/>
          </w:tcPr>
          <w:p w14:paraId="640416AD">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0BE0BE55">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260CAC47">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50C19430">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0.645t/a</w:t>
            </w:r>
          </w:p>
        </w:tc>
        <w:tc>
          <w:tcPr>
            <w:tcW w:w="633" w:type="pct"/>
            <w:noWrap w:val="0"/>
            <w:vAlign w:val="center"/>
          </w:tcPr>
          <w:p w14:paraId="410D278F">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40" w:type="pct"/>
            <w:noWrap w:val="0"/>
            <w:vAlign w:val="center"/>
          </w:tcPr>
          <w:p w14:paraId="6BC10090">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0.645t/a</w:t>
            </w:r>
          </w:p>
        </w:tc>
        <w:tc>
          <w:tcPr>
            <w:tcW w:w="507" w:type="pct"/>
            <w:noWrap w:val="0"/>
            <w:vAlign w:val="center"/>
          </w:tcPr>
          <w:p w14:paraId="2CA8597B">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+0.645t/a</w:t>
            </w:r>
          </w:p>
        </w:tc>
      </w:tr>
      <w:tr w14:paraId="03E7B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noWrap w:val="0"/>
            <w:vAlign w:val="center"/>
          </w:tcPr>
          <w:p w14:paraId="3823C561">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r>
              <w:rPr>
                <w:rFonts w:hint="eastAsia" w:hAnsi="宋体" w:cs="宋体"/>
                <w:snapToGrid/>
                <w:color w:val="000000" w:themeColor="text1"/>
                <w:spacing w:val="0"/>
                <w:kern w:val="0"/>
                <w:position w:val="0"/>
                <w:sz w:val="24"/>
                <w:szCs w:val="24"/>
                <w14:textFill>
                  <w14:solidFill>
                    <w14:schemeClr w14:val="tx1"/>
                  </w14:solidFill>
                </w14:textFill>
              </w:rPr>
              <w:t>废水</w:t>
            </w:r>
          </w:p>
        </w:tc>
        <w:tc>
          <w:tcPr>
            <w:tcW w:w="667" w:type="pct"/>
            <w:noWrap w:val="0"/>
            <w:vAlign w:val="center"/>
          </w:tcPr>
          <w:p w14:paraId="7AC7AE40">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COD</w:t>
            </w:r>
          </w:p>
        </w:tc>
        <w:tc>
          <w:tcPr>
            <w:tcW w:w="517" w:type="pct"/>
            <w:noWrap w:val="0"/>
            <w:vAlign w:val="center"/>
          </w:tcPr>
          <w:p w14:paraId="47AA1510">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14FD3F6B">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14AF59E9">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08448FB4">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33" w:type="pct"/>
            <w:noWrap w:val="0"/>
            <w:vAlign w:val="center"/>
          </w:tcPr>
          <w:p w14:paraId="2ED80502">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40" w:type="pct"/>
            <w:noWrap w:val="0"/>
            <w:vAlign w:val="center"/>
          </w:tcPr>
          <w:p w14:paraId="038A9A6D">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07" w:type="pct"/>
            <w:noWrap w:val="0"/>
            <w:vAlign w:val="center"/>
          </w:tcPr>
          <w:p w14:paraId="2C7965B3">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r>
      <w:tr w14:paraId="7E01C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45F3F986">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p>
        </w:tc>
        <w:tc>
          <w:tcPr>
            <w:tcW w:w="667" w:type="pct"/>
            <w:noWrap w:val="0"/>
            <w:vAlign w:val="center"/>
          </w:tcPr>
          <w:p w14:paraId="5DE42919">
            <w:pPr>
              <w:keepNext w:val="0"/>
              <w:keepLines w:val="0"/>
              <w:widowControl/>
              <w:suppressLineNumbers w:val="0"/>
              <w:jc w:val="center"/>
              <w:textAlignment w:val="cente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rPr>
              <w:t>5</w:t>
            </w:r>
          </w:p>
        </w:tc>
        <w:tc>
          <w:tcPr>
            <w:tcW w:w="517" w:type="pct"/>
            <w:noWrap w:val="0"/>
            <w:vAlign w:val="center"/>
          </w:tcPr>
          <w:p w14:paraId="3A1CB454">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0431F0E8">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7057C052">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7B9EE9C0">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33" w:type="pct"/>
            <w:noWrap w:val="0"/>
            <w:vAlign w:val="center"/>
          </w:tcPr>
          <w:p w14:paraId="6581E0A1">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40" w:type="pct"/>
            <w:noWrap w:val="0"/>
            <w:vAlign w:val="center"/>
          </w:tcPr>
          <w:p w14:paraId="69E3F6A7">
            <w:pPr>
              <w:spacing w:beforeLines="0" w:afterLines="0" w:line="240" w:lineRule="auto"/>
              <w:jc w:val="cente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07" w:type="pct"/>
            <w:noWrap w:val="0"/>
            <w:vAlign w:val="center"/>
          </w:tcPr>
          <w:p w14:paraId="219EF54B">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r>
      <w:tr w14:paraId="3091A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0C93B947">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p>
        </w:tc>
        <w:tc>
          <w:tcPr>
            <w:tcW w:w="667" w:type="pct"/>
            <w:noWrap w:val="0"/>
            <w:vAlign w:val="center"/>
          </w:tcPr>
          <w:p w14:paraId="61200C89">
            <w:pPr>
              <w:keepNext w:val="0"/>
              <w:keepLines w:val="0"/>
              <w:widowControl/>
              <w:suppressLineNumbers w:val="0"/>
              <w:jc w:val="center"/>
              <w:textAlignment w:val="cente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SS</w:t>
            </w:r>
          </w:p>
        </w:tc>
        <w:tc>
          <w:tcPr>
            <w:tcW w:w="517" w:type="pct"/>
            <w:noWrap w:val="0"/>
            <w:vAlign w:val="center"/>
          </w:tcPr>
          <w:p w14:paraId="091C93D7">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3EBAF799">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10C56477">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4BF183A0">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33" w:type="pct"/>
            <w:noWrap w:val="0"/>
            <w:vAlign w:val="center"/>
          </w:tcPr>
          <w:p w14:paraId="619CD868">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40" w:type="pct"/>
            <w:noWrap w:val="0"/>
            <w:vAlign w:val="center"/>
          </w:tcPr>
          <w:p w14:paraId="5E509825">
            <w:pPr>
              <w:spacing w:beforeLines="0" w:afterLines="0" w:line="240" w:lineRule="auto"/>
              <w:jc w:val="cente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07" w:type="pct"/>
            <w:noWrap w:val="0"/>
            <w:vAlign w:val="center"/>
          </w:tcPr>
          <w:p w14:paraId="6E3DB916">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r>
      <w:tr w14:paraId="35AB8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34B68D51">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p>
        </w:tc>
        <w:tc>
          <w:tcPr>
            <w:tcW w:w="667" w:type="pct"/>
            <w:noWrap w:val="0"/>
            <w:vAlign w:val="center"/>
          </w:tcPr>
          <w:p w14:paraId="353D12B5">
            <w:pPr>
              <w:keepNext w:val="0"/>
              <w:keepLines w:val="0"/>
              <w:widowControl/>
              <w:suppressLineNumbers w:val="0"/>
              <w:jc w:val="center"/>
              <w:textAlignment w:val="center"/>
              <w:rPr>
                <w:rFonts w:hint="eastAsia"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-N</w:t>
            </w:r>
          </w:p>
        </w:tc>
        <w:tc>
          <w:tcPr>
            <w:tcW w:w="517" w:type="pct"/>
            <w:noWrap w:val="0"/>
            <w:vAlign w:val="center"/>
          </w:tcPr>
          <w:p w14:paraId="1FDC5799">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4C6313A4">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083BC124">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1F535DB5">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33" w:type="pct"/>
            <w:noWrap w:val="0"/>
            <w:vAlign w:val="center"/>
          </w:tcPr>
          <w:p w14:paraId="04E7B4B0">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40" w:type="pct"/>
            <w:noWrap w:val="0"/>
            <w:vAlign w:val="center"/>
          </w:tcPr>
          <w:p w14:paraId="76971626">
            <w:pPr>
              <w:spacing w:beforeLines="0" w:afterLines="0" w:line="240" w:lineRule="auto"/>
              <w:jc w:val="center"/>
              <w:rPr>
                <w:rFonts w:hint="default" w:ascii="Times New Roman" w:hAns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07" w:type="pct"/>
            <w:noWrap w:val="0"/>
            <w:vAlign w:val="center"/>
          </w:tcPr>
          <w:p w14:paraId="5D3F9B87">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r>
      <w:tr w14:paraId="49327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noWrap w:val="0"/>
            <w:vAlign w:val="center"/>
          </w:tcPr>
          <w:p w14:paraId="50D0BAF3">
            <w:pPr>
              <w:pStyle w:val="58"/>
              <w:spacing w:beforeLines="0" w:afterLines="0" w:line="240" w:lineRule="auto"/>
              <w:rPr>
                <w:rFonts w:hint="default" w:hAnsi="宋体" w:eastAsia="宋体" w:cs="宋体"/>
                <w:snapToGrid/>
                <w:color w:val="000000" w:themeColor="text1"/>
                <w:spacing w:val="0"/>
                <w:kern w:val="0"/>
                <w:position w:val="0"/>
                <w:sz w:val="24"/>
                <w:szCs w:val="24"/>
                <w:lang w:val="en-US" w:eastAsia="zh-CN"/>
                <w14:textFill>
                  <w14:solidFill>
                    <w14:schemeClr w14:val="tx1"/>
                  </w14:solidFill>
                </w14:textFill>
              </w:rPr>
            </w:pPr>
            <w:r>
              <w:rPr>
                <w:rFonts w:hint="eastAsia" w:hAnsi="宋体" w:cs="宋体"/>
                <w:snapToGrid/>
                <w:color w:val="000000" w:themeColor="text1"/>
                <w:spacing w:val="0"/>
                <w:kern w:val="0"/>
                <w:position w:val="0"/>
                <w:sz w:val="24"/>
                <w:szCs w:val="24"/>
                <w:lang w:val="en-US" w:eastAsia="zh-CN"/>
                <w14:textFill>
                  <w14:solidFill>
                    <w14:schemeClr w14:val="tx1"/>
                  </w14:solidFill>
                </w14:textFill>
              </w:rPr>
              <w:t>一般工业固体废物</w:t>
            </w:r>
          </w:p>
        </w:tc>
        <w:tc>
          <w:tcPr>
            <w:tcW w:w="667" w:type="pct"/>
            <w:noWrap w:val="0"/>
            <w:vAlign w:val="center"/>
          </w:tcPr>
          <w:p w14:paraId="43492015">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布袋除尘器收集的粉尘</w:t>
            </w:r>
          </w:p>
        </w:tc>
        <w:tc>
          <w:tcPr>
            <w:tcW w:w="517" w:type="pct"/>
            <w:noWrap w:val="0"/>
            <w:vAlign w:val="center"/>
          </w:tcPr>
          <w:p w14:paraId="3BE2B7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456" w:type="pct"/>
            <w:noWrap w:val="0"/>
            <w:vAlign w:val="center"/>
          </w:tcPr>
          <w:p w14:paraId="1F403BCB">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611" w:type="pct"/>
            <w:noWrap w:val="0"/>
            <w:vAlign w:val="center"/>
          </w:tcPr>
          <w:p w14:paraId="51EE428E">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18BBD003">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207.159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2932378C">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540" w:type="pct"/>
            <w:noWrap w:val="0"/>
            <w:vAlign w:val="center"/>
          </w:tcPr>
          <w:p w14:paraId="549ABD66">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207.159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507" w:type="pct"/>
            <w:noWrap w:val="0"/>
            <w:vAlign w:val="center"/>
          </w:tcPr>
          <w:p w14:paraId="65789CCD">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207.159</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3F466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51EA1DBB">
            <w:pPr>
              <w:pStyle w:val="58"/>
              <w:spacing w:beforeLines="0" w:afterLines="0" w:line="240" w:lineRule="auto"/>
              <w:rPr>
                <w:rFonts w:hint="eastAsia" w:hAnsi="宋体" w:cs="宋体"/>
                <w:snapToGrid/>
                <w:color w:val="000000" w:themeColor="text1"/>
                <w:spacing w:val="0"/>
                <w:kern w:val="0"/>
                <w:position w:val="0"/>
                <w:sz w:val="24"/>
                <w:szCs w:val="24"/>
                <w:lang w:val="en-US" w:eastAsia="zh-CN"/>
                <w14:textFill>
                  <w14:solidFill>
                    <w14:schemeClr w14:val="tx1"/>
                  </w14:solidFill>
                </w14:textFill>
              </w:rPr>
            </w:pPr>
          </w:p>
        </w:tc>
        <w:tc>
          <w:tcPr>
            <w:tcW w:w="667" w:type="pct"/>
            <w:noWrap w:val="0"/>
            <w:vAlign w:val="center"/>
          </w:tcPr>
          <w:p w14:paraId="2CD14D4E">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废除尘布袋</w:t>
            </w:r>
          </w:p>
        </w:tc>
        <w:tc>
          <w:tcPr>
            <w:tcW w:w="517" w:type="pct"/>
            <w:noWrap w:val="0"/>
            <w:vAlign w:val="center"/>
          </w:tcPr>
          <w:p w14:paraId="773DD5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456" w:type="pct"/>
            <w:noWrap w:val="0"/>
            <w:vAlign w:val="center"/>
          </w:tcPr>
          <w:p w14:paraId="4CD9E07C">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611" w:type="pct"/>
            <w:noWrap w:val="0"/>
            <w:vAlign w:val="center"/>
          </w:tcPr>
          <w:p w14:paraId="5618C62C">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19F0E93D">
            <w:pPr>
              <w:spacing w:beforeLines="0" w:afterLines="0" w:line="240" w:lineRule="auto"/>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589D96D8">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540" w:type="pct"/>
            <w:noWrap w:val="0"/>
            <w:vAlign w:val="center"/>
          </w:tcPr>
          <w:p w14:paraId="029F90E3">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507" w:type="pct"/>
            <w:noWrap w:val="0"/>
            <w:vAlign w:val="center"/>
          </w:tcPr>
          <w:p w14:paraId="0F92D4DF">
            <w:pPr>
              <w:spacing w:beforeLines="0" w:afterLines="0" w:line="240" w:lineRule="auto"/>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0.14</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2CE2D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55AEE29C">
            <w:pPr>
              <w:pStyle w:val="58"/>
              <w:spacing w:beforeLines="0" w:afterLines="0" w:line="240" w:lineRule="auto"/>
              <w:rPr>
                <w:rFonts w:hint="eastAsia" w:hAnsi="宋体" w:cs="宋体"/>
                <w:snapToGrid/>
                <w:color w:val="000000" w:themeColor="text1"/>
                <w:spacing w:val="0"/>
                <w:kern w:val="0"/>
                <w:position w:val="0"/>
                <w:sz w:val="24"/>
                <w:szCs w:val="24"/>
                <w:lang w:val="en-US" w:eastAsia="zh-CN"/>
                <w14:textFill>
                  <w14:solidFill>
                    <w14:schemeClr w14:val="tx1"/>
                  </w14:solidFill>
                </w14:textFill>
              </w:rPr>
            </w:pPr>
          </w:p>
        </w:tc>
        <w:tc>
          <w:tcPr>
            <w:tcW w:w="667" w:type="pct"/>
            <w:noWrap w:val="0"/>
            <w:vAlign w:val="center"/>
          </w:tcPr>
          <w:p w14:paraId="17D7C517">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废实验样品</w:t>
            </w:r>
          </w:p>
        </w:tc>
        <w:tc>
          <w:tcPr>
            <w:tcW w:w="517" w:type="pct"/>
            <w:noWrap w:val="0"/>
            <w:vAlign w:val="center"/>
          </w:tcPr>
          <w:p w14:paraId="0D3B9FB6">
            <w:pPr>
              <w:keepNext w:val="0"/>
              <w:keepLines w:val="0"/>
              <w:widowControl/>
              <w:suppressLineNumbers w:val="0"/>
              <w:jc w:val="center"/>
              <w:textAlignment w:val="center"/>
              <w:rPr>
                <w:rFonts w:hint="default"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456" w:type="pct"/>
            <w:noWrap w:val="0"/>
            <w:vAlign w:val="center"/>
          </w:tcPr>
          <w:p w14:paraId="5476BC38">
            <w:pPr>
              <w:keepNext w:val="0"/>
              <w:keepLines w:val="0"/>
              <w:widowControl/>
              <w:suppressLineNumbers w:val="0"/>
              <w:jc w:val="center"/>
              <w:textAlignment w:val="center"/>
              <w:rPr>
                <w:rFonts w:hint="default"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611" w:type="pct"/>
            <w:noWrap w:val="0"/>
            <w:vAlign w:val="center"/>
          </w:tcPr>
          <w:p w14:paraId="681E54DD">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5ADD0E83">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1D7B33E0">
            <w:pPr>
              <w:keepNext w:val="0"/>
              <w:keepLines w:val="0"/>
              <w:widowControl/>
              <w:suppressLineNumbers w:val="0"/>
              <w:jc w:val="center"/>
              <w:textAlignment w:val="center"/>
              <w:rPr>
                <w:rFonts w:hint="default"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540" w:type="pct"/>
            <w:noWrap w:val="0"/>
            <w:vAlign w:val="center"/>
          </w:tcPr>
          <w:p w14:paraId="0534CFA0">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507" w:type="pct"/>
            <w:noWrap w:val="0"/>
            <w:vAlign w:val="center"/>
          </w:tcPr>
          <w:p w14:paraId="1D1CD4F5">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+1.2</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72413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56818E5D">
            <w:pPr>
              <w:pStyle w:val="58"/>
              <w:spacing w:beforeLines="0" w:afterLines="0" w:line="240" w:lineRule="auto"/>
              <w:rPr>
                <w:rFonts w:hint="eastAsia" w:hAnsi="宋体" w:cs="宋体"/>
                <w:snapToGrid/>
                <w:color w:val="000000" w:themeColor="text1"/>
                <w:spacing w:val="0"/>
                <w:kern w:val="0"/>
                <w:position w:val="0"/>
                <w:sz w:val="24"/>
                <w:szCs w:val="24"/>
                <w:lang w:val="en-US" w:eastAsia="zh-CN"/>
                <w14:textFill>
                  <w14:solidFill>
                    <w14:schemeClr w14:val="tx1"/>
                  </w14:solidFill>
                </w14:textFill>
              </w:rPr>
            </w:pPr>
          </w:p>
        </w:tc>
        <w:tc>
          <w:tcPr>
            <w:tcW w:w="667" w:type="pct"/>
            <w:noWrap w:val="0"/>
            <w:vAlign w:val="center"/>
          </w:tcPr>
          <w:p w14:paraId="7014BB35">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沉渣</w:t>
            </w:r>
          </w:p>
        </w:tc>
        <w:tc>
          <w:tcPr>
            <w:tcW w:w="517" w:type="pct"/>
            <w:noWrap w:val="0"/>
            <w:vAlign w:val="center"/>
          </w:tcPr>
          <w:p w14:paraId="17CD7E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456" w:type="pct"/>
            <w:noWrap w:val="0"/>
            <w:vAlign w:val="center"/>
          </w:tcPr>
          <w:p w14:paraId="20CA6466">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611" w:type="pct"/>
            <w:noWrap w:val="0"/>
            <w:vAlign w:val="center"/>
          </w:tcPr>
          <w:p w14:paraId="70738335">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4251F5E5">
            <w:pPr>
              <w:spacing w:beforeLines="0" w:afterLines="0" w:line="240" w:lineRule="auto"/>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3.6</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6E422D3D">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bidi="ar-SA"/>
                <w14:textFill>
                  <w14:solidFill>
                    <w14:schemeClr w14:val="tx1"/>
                  </w14:solidFill>
                </w14:textFill>
              </w:rPr>
              <w:t>0</w:t>
            </w:r>
          </w:p>
        </w:tc>
        <w:tc>
          <w:tcPr>
            <w:tcW w:w="540" w:type="pct"/>
            <w:noWrap w:val="0"/>
            <w:vAlign w:val="center"/>
          </w:tcPr>
          <w:p w14:paraId="017F0212">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3.6</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507" w:type="pct"/>
            <w:noWrap w:val="0"/>
            <w:vAlign w:val="center"/>
          </w:tcPr>
          <w:p w14:paraId="43D88354">
            <w:pPr>
              <w:spacing w:beforeLines="0" w:afterLines="0" w:line="240" w:lineRule="auto"/>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3.6</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00BC6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restart"/>
            <w:noWrap w:val="0"/>
            <w:vAlign w:val="center"/>
          </w:tcPr>
          <w:p w14:paraId="260D7532">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r>
              <w:rPr>
                <w:rFonts w:hint="eastAsia" w:hAnsi="宋体" w:cs="宋体"/>
                <w:snapToGrid/>
                <w:color w:val="000000" w:themeColor="text1"/>
                <w:spacing w:val="0"/>
                <w:kern w:val="0"/>
                <w:position w:val="0"/>
                <w:sz w:val="24"/>
                <w:szCs w:val="24"/>
                <w14:textFill>
                  <w14:solidFill>
                    <w14:schemeClr w14:val="tx1"/>
                  </w14:solidFill>
                </w14:textFill>
              </w:rPr>
              <w:t>危险废物</w:t>
            </w:r>
          </w:p>
        </w:tc>
        <w:tc>
          <w:tcPr>
            <w:tcW w:w="1963" w:type="dxa"/>
            <w:noWrap w:val="0"/>
            <w:vAlign w:val="center"/>
          </w:tcPr>
          <w:p w14:paraId="073BC330">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废机油</w:t>
            </w:r>
          </w:p>
        </w:tc>
        <w:tc>
          <w:tcPr>
            <w:tcW w:w="517" w:type="pct"/>
            <w:noWrap w:val="0"/>
            <w:vAlign w:val="center"/>
          </w:tcPr>
          <w:p w14:paraId="3DC11B81">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6138674E">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567F8545">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110801F7">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0.05</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0BEE90B3">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0</w:t>
            </w:r>
          </w:p>
        </w:tc>
        <w:tc>
          <w:tcPr>
            <w:tcW w:w="1590" w:type="dxa"/>
            <w:noWrap w:val="0"/>
            <w:vAlign w:val="center"/>
          </w:tcPr>
          <w:p w14:paraId="580897C4">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0.05</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1493" w:type="dxa"/>
            <w:noWrap w:val="0"/>
            <w:vAlign w:val="center"/>
          </w:tcPr>
          <w:p w14:paraId="003598D2">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0.05</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602C7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1731C391">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p>
        </w:tc>
        <w:tc>
          <w:tcPr>
            <w:tcW w:w="1963" w:type="dxa"/>
            <w:noWrap w:val="0"/>
            <w:vAlign w:val="center"/>
          </w:tcPr>
          <w:p w14:paraId="299B89D2">
            <w:pPr>
              <w:keepNext w:val="0"/>
              <w:keepLines w:val="0"/>
              <w:widowControl/>
              <w:suppressLineNumbers w:val="0"/>
              <w:jc w:val="center"/>
              <w:textAlignment w:val="center"/>
              <w:rPr>
                <w:rFonts w:hint="default"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废机油桶</w:t>
            </w:r>
          </w:p>
        </w:tc>
        <w:tc>
          <w:tcPr>
            <w:tcW w:w="517" w:type="pct"/>
            <w:noWrap w:val="0"/>
            <w:vAlign w:val="center"/>
          </w:tcPr>
          <w:p w14:paraId="1B8930D3">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513C6BDA">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10B413F9">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62B14F72">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5ACA73C7">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p>
        </w:tc>
        <w:tc>
          <w:tcPr>
            <w:tcW w:w="1590" w:type="dxa"/>
            <w:noWrap w:val="0"/>
            <w:vAlign w:val="center"/>
          </w:tcPr>
          <w:p w14:paraId="543CD5A3">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1493" w:type="dxa"/>
            <w:noWrap w:val="0"/>
            <w:vAlign w:val="center"/>
          </w:tcPr>
          <w:p w14:paraId="0DF019AA">
            <w:pPr>
              <w:spacing w:beforeLines="0" w:afterLines="0" w:line="240" w:lineRule="auto"/>
              <w:jc w:val="cente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r w14:paraId="61897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pct"/>
            <w:vMerge w:val="continue"/>
            <w:noWrap w:val="0"/>
            <w:vAlign w:val="center"/>
          </w:tcPr>
          <w:p w14:paraId="77E9F91C">
            <w:pPr>
              <w:pStyle w:val="58"/>
              <w:spacing w:beforeLines="0" w:afterLines="0" w:line="240" w:lineRule="auto"/>
              <w:rPr>
                <w:rFonts w:hint="eastAsia" w:hAnsi="宋体" w:cs="宋体"/>
                <w:snapToGrid/>
                <w:color w:val="000000" w:themeColor="text1"/>
                <w:spacing w:val="0"/>
                <w:kern w:val="0"/>
                <w:position w:val="0"/>
                <w:sz w:val="24"/>
                <w:szCs w:val="24"/>
                <w14:textFill>
                  <w14:solidFill>
                    <w14:schemeClr w14:val="tx1"/>
                  </w14:solidFill>
                </w14:textFill>
              </w:rPr>
            </w:pPr>
          </w:p>
        </w:tc>
        <w:tc>
          <w:tcPr>
            <w:tcW w:w="1963" w:type="dxa"/>
            <w:noWrap w:val="0"/>
            <w:vAlign w:val="center"/>
          </w:tcPr>
          <w:p w14:paraId="626AFEA0">
            <w:pPr>
              <w:keepNext w:val="0"/>
              <w:keepLines w:val="0"/>
              <w:widowControl/>
              <w:suppressLineNumbers w:val="0"/>
              <w:jc w:val="center"/>
              <w:textAlignment w:val="cente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bidi="ar-SA"/>
                <w14:textFill>
                  <w14:solidFill>
                    <w14:schemeClr w14:val="tx1"/>
                  </w14:solidFill>
                </w14:textFill>
              </w:rPr>
              <w:t>含油废抹布、废手套</w:t>
            </w:r>
          </w:p>
        </w:tc>
        <w:tc>
          <w:tcPr>
            <w:tcW w:w="517" w:type="pct"/>
            <w:noWrap w:val="0"/>
            <w:vAlign w:val="center"/>
          </w:tcPr>
          <w:p w14:paraId="037ECAE7">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456" w:type="pct"/>
            <w:noWrap w:val="0"/>
            <w:vAlign w:val="center"/>
          </w:tcPr>
          <w:p w14:paraId="5EF9A6F0">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611" w:type="pct"/>
            <w:noWrap w:val="0"/>
            <w:vAlign w:val="center"/>
          </w:tcPr>
          <w:p w14:paraId="58921AB0">
            <w:pPr>
              <w:pStyle w:val="58"/>
              <w:spacing w:beforeLines="0" w:afterLines="0" w:line="240" w:lineRule="auto"/>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cs="Times New Roman"/>
                <w:snapToGrid/>
                <w:color w:val="000000" w:themeColor="text1"/>
                <w:spacing w:val="0"/>
                <w:kern w:val="0"/>
                <w:position w:val="0"/>
                <w:sz w:val="24"/>
                <w:szCs w:val="24"/>
                <w:lang w:val="en-US" w:eastAsia="zh-CN"/>
                <w14:textFill>
                  <w14:solidFill>
                    <w14:schemeClr w14:val="tx1"/>
                  </w14:solidFill>
                </w14:textFill>
              </w:rPr>
              <w:t>0</w:t>
            </w:r>
          </w:p>
        </w:tc>
        <w:tc>
          <w:tcPr>
            <w:tcW w:w="560" w:type="pct"/>
            <w:noWrap w:val="0"/>
            <w:vAlign w:val="center"/>
          </w:tcPr>
          <w:p w14:paraId="6D252E31">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633" w:type="pct"/>
            <w:noWrap w:val="0"/>
            <w:vAlign w:val="center"/>
          </w:tcPr>
          <w:p w14:paraId="729E2A83">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cs="Times New Roman"/>
                <w:snapToGrid/>
                <w:color w:val="000000" w:themeColor="text1"/>
                <w:spacing w:val="0"/>
                <w:kern w:val="0"/>
                <w:position w:val="0"/>
                <w:sz w:val="24"/>
                <w:szCs w:val="24"/>
                <w:lang w:val="en-US" w:eastAsia="zh-CN"/>
                <w14:textFill>
                  <w14:solidFill>
                    <w14:schemeClr w14:val="tx1"/>
                  </w14:solidFill>
                </w14:textFill>
              </w:rPr>
              <w:t>0</w:t>
            </w:r>
          </w:p>
        </w:tc>
        <w:tc>
          <w:tcPr>
            <w:tcW w:w="1590" w:type="dxa"/>
            <w:noWrap w:val="0"/>
            <w:vAlign w:val="center"/>
          </w:tcPr>
          <w:p w14:paraId="4D47CAD6">
            <w:pPr>
              <w:spacing w:beforeLines="0" w:afterLines="0" w:line="240" w:lineRule="auto"/>
              <w:jc w:val="cente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c>
          <w:tcPr>
            <w:tcW w:w="1493" w:type="dxa"/>
            <w:noWrap w:val="0"/>
            <w:vAlign w:val="center"/>
          </w:tcPr>
          <w:p w14:paraId="4D5CE2A5">
            <w:pPr>
              <w:spacing w:beforeLines="0" w:afterLines="0" w:line="240" w:lineRule="auto"/>
              <w:jc w:val="cente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0</w:t>
            </w:r>
            <w:r>
              <w:rPr>
                <w:rFonts w:hint="default"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1</w:t>
            </w:r>
            <w:r>
              <w:rPr>
                <w:rFonts w:hint="eastAsia" w:ascii="Times New Roman" w:hAnsi="Times New Roman" w:eastAsia="宋体" w:cs="Times New Roman"/>
                <w:snapToGrid/>
                <w:color w:val="000000" w:themeColor="text1"/>
                <w:spacing w:val="0"/>
                <w:kern w:val="0"/>
                <w:position w:val="0"/>
                <w:sz w:val="24"/>
                <w:szCs w:val="24"/>
                <w:lang w:val="en-US" w:eastAsia="zh-CN"/>
                <w14:textFill>
                  <w14:solidFill>
                    <w14:schemeClr w14:val="tx1"/>
                  </w14:solidFill>
                </w14:textFill>
              </w:rPr>
              <w:t>t/a</w:t>
            </w:r>
          </w:p>
        </w:tc>
      </w:tr>
    </w:tbl>
    <w:p w14:paraId="22579676">
      <w:pPr>
        <w:pStyle w:val="58"/>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注：</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⑥</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①</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3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③</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4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④</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5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⑤</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7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⑦</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⑥</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①</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p w14:paraId="2C3D6298">
      <w:pPr>
        <w:rPr>
          <w:color w:val="000000" w:themeColor="text1"/>
          <w14:textFill>
            <w14:solidFill>
              <w14:schemeClr w14:val="tx1"/>
            </w14:solidFill>
          </w14:textFill>
        </w:rPr>
      </w:pPr>
    </w:p>
    <w:sectPr>
      <w:headerReference r:id="rId10" w:type="default"/>
      <w:footerReference r:id="rId11" w:type="default"/>
      <w:pgSz w:w="16838" w:h="11906" w:orient="landscape"/>
      <w:pgMar w:top="1440" w:right="1080" w:bottom="1440" w:left="1080" w:header="907"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9CF11E-A86C-4CC6-9CF8-34CCC755C775}"/>
  </w:font>
  <w:font w:name="黑体">
    <w:panose1 w:val="02010609060101010101"/>
    <w:charset w:val="86"/>
    <w:family w:val="auto"/>
    <w:pitch w:val="default"/>
    <w:sig w:usb0="800002BF" w:usb1="38CF7CFA" w:usb2="00000016" w:usb3="00000000" w:csb0="00040001" w:csb1="00000000"/>
    <w:embedRegular r:id="rId2" w:fontKey="{2A0E90EF-424D-4C26-A26C-5225350AD3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68CAA402-412F-4C0C-B17A-A7EEE825DF06}"/>
  </w:font>
  <w:font w:name="仿宋">
    <w:panose1 w:val="02010609060101010101"/>
    <w:charset w:val="86"/>
    <w:family w:val="modern"/>
    <w:pitch w:val="default"/>
    <w:sig w:usb0="800002BF" w:usb1="38CF7CFA" w:usb2="00000016" w:usb3="00000000" w:csb0="00040001" w:csb1="00000000"/>
    <w:embedRegular r:id="rId4" w:fontKey="{4F9CE3F0-87AA-4AFF-9910-CFD8FFD22FBB}"/>
  </w:font>
  <w:font w:name="新宋体">
    <w:panose1 w:val="02010609030101010101"/>
    <w:charset w:val="86"/>
    <w:family w:val="auto"/>
    <w:pitch w:val="default"/>
    <w:sig w:usb0="00000203" w:usb1="288F0000" w:usb2="00000006" w:usb3="00000000" w:csb0="00040001" w:csb1="00000000"/>
  </w:font>
  <w:font w:name="方正小标宋_GBK">
    <w:panose1 w:val="02000000000000000000"/>
    <w:charset w:val="86"/>
    <w:family w:val="script"/>
    <w:pitch w:val="default"/>
    <w:sig w:usb0="A00002BF" w:usb1="38CF7CFA" w:usb2="00082016" w:usb3="00000000" w:csb0="00040001" w:csb1="00000000"/>
    <w:embedRegular r:id="rId5" w:fontKey="{071EF441-353F-4183-AB22-82978D5A8177}"/>
  </w:font>
  <w:font w:name="方正仿宋_GB2312">
    <w:panose1 w:val="02000000000000000000"/>
    <w:charset w:val="86"/>
    <w:family w:val="auto"/>
    <w:pitch w:val="default"/>
    <w:sig w:usb0="A00002BF" w:usb1="184F6CFA" w:usb2="00000012" w:usb3="00000000" w:csb0="00040001" w:csb1="00000000"/>
    <w:embedRegular r:id="rId6" w:fontKey="{47B6915F-0207-4728-AD9B-0769EAA3E687}"/>
  </w:font>
  <w:font w:name="Wingdings 2">
    <w:panose1 w:val="05020102010507070707"/>
    <w:charset w:val="02"/>
    <w:family w:val="auto"/>
    <w:pitch w:val="default"/>
    <w:sig w:usb0="00000000" w:usb1="00000000" w:usb2="00000000" w:usb3="00000000" w:csb0="80000000" w:csb1="00000000"/>
    <w:embedRegular r:id="rId7" w:fontKey="{B59BF9E7-712C-4B1F-88FA-EF6B307C6FDE}"/>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68B4">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498C">
    <w:pPr>
      <w:pStyle w:val="16"/>
      <w:framePr w:wrap="around" w:vAnchor="text" w:hAnchor="margin" w:xAlign="center" w:y="1"/>
      <w:rPr>
        <w:rStyle w:val="30"/>
      </w:rPr>
    </w:pPr>
    <w:r>
      <w:fldChar w:fldCharType="begin"/>
    </w:r>
    <w:r>
      <w:rPr>
        <w:rStyle w:val="30"/>
      </w:rPr>
      <w:instrText xml:space="preserve">PAGE  </w:instrText>
    </w:r>
    <w:r>
      <w:fldChar w:fldCharType="end"/>
    </w:r>
  </w:p>
  <w:p w14:paraId="04528316">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DA3C">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AD53D">
                          <w:pPr>
                            <w:pStyle w:val="16"/>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KwVG+EBAADCAwAADgAAAGRycy9lMm9Eb2MueG1srVPNjtMwEL4j8Q6W&#10;7zRpJaCq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a9qE15w5YWni518/z7//nv/8&#10;YPNy8TJ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UrBUb4QEAAMIDAAAOAAAA&#10;AAAAAAEAIAAAAB4BAABkcnMvZTJvRG9jLnhtbFBLBQYAAAAABgAGAFkBAABxBQAAAAA=&#10;">
              <v:fill on="f" focussize="0,0"/>
              <v:stroke on="f"/>
              <v:imagedata o:title=""/>
              <o:lock v:ext="edit" aspectratio="f"/>
              <v:textbox inset="0mm,0mm,0mm,0mm" style="mso-fit-shape-to-text:t;">
                <w:txbxContent>
                  <w:p w14:paraId="71EAD53D">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6FE8">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004C09">
                          <w:pPr>
                            <w:pStyle w:val="16"/>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CXI598BAADCAwAADgAAAAAA&#10;AAABACAAAAAeAQAAZHJzL2Uyb0RvYy54bWxQSwUGAAAAAAYABgBZAQAAbwUAAAAA&#10;">
              <v:fill on="f" focussize="0,0"/>
              <v:stroke on="f"/>
              <v:imagedata o:title=""/>
              <o:lock v:ext="edit" aspectratio="f"/>
              <v:textbox inset="0mm,0mm,0mm,0mm" style="mso-fit-shape-to-text:t;">
                <w:txbxContent>
                  <w:p w14:paraId="6A004C09">
                    <w:pPr>
                      <w:pStyle w:val="1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D7ED">
    <w:pPr>
      <w:pStyle w:val="18"/>
      <w:keepNext w:val="0"/>
      <w:keepLines w:val="0"/>
      <w:pageBreakBefore w:val="0"/>
      <w:widowControl w:val="0"/>
      <w:pBdr>
        <w:bottom w:val="single" w:color="auto" w:sz="4" w:space="1"/>
      </w:pBdr>
      <w:kinsoku/>
      <w:wordWrap/>
      <w:overflowPunct/>
      <w:topLinePunct w:val="0"/>
      <w:autoSpaceDE/>
      <w:autoSpaceDN/>
      <w:bidi w:val="0"/>
      <w:adjustRightInd/>
      <w:snapToGrid w:val="0"/>
      <w:jc w:val="center"/>
      <w:textAlignment w:val="auto"/>
      <w:rPr>
        <w:rFonts w:hint="default" w:ascii="Times New Roman" w:hAnsi="Times New Roman" w:cs="Times New Roman"/>
        <w:b w:val="0"/>
        <w:bCs/>
        <w:sz w:val="18"/>
        <w:szCs w:val="18"/>
        <w:u w:val="none"/>
      </w:rPr>
    </w:pPr>
    <w:r>
      <w:rPr>
        <w:rFonts w:hint="eastAsia" w:cs="Times New Roman"/>
        <w:b w:val="0"/>
        <w:bCs/>
        <w:snapToGrid/>
        <w:color w:val="000000" w:themeColor="text1"/>
        <w:spacing w:val="0"/>
        <w:kern w:val="0"/>
        <w:position w:val="0"/>
        <w:sz w:val="18"/>
        <w:szCs w:val="18"/>
        <w:u w:val="none"/>
        <w:lang w:eastAsia="zh-CN"/>
        <w14:textFill>
          <w14:solidFill>
            <w14:schemeClr w14:val="tx1"/>
          </w14:solidFill>
        </w14:textFill>
      </w:rPr>
      <w:t>宁都县城投混凝土有限公司年产60万立方商品混凝土搅拌站项目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7C1B">
    <w:pPr>
      <w:pStyle w:val="18"/>
      <w:keepNext w:val="0"/>
      <w:keepLines w:val="0"/>
      <w:pageBreakBefore w:val="0"/>
      <w:widowControl w:val="0"/>
      <w:pBdr>
        <w:bottom w:val="single" w:color="auto" w:sz="4" w:space="1"/>
      </w:pBdr>
      <w:kinsoku/>
      <w:wordWrap/>
      <w:overflowPunct/>
      <w:topLinePunct w:val="0"/>
      <w:autoSpaceDE/>
      <w:autoSpaceDN/>
      <w:bidi w:val="0"/>
      <w:adjustRightInd/>
      <w:snapToGrid w:val="0"/>
      <w:jc w:val="center"/>
      <w:textAlignment w:val="auto"/>
    </w:pPr>
    <w:r>
      <w:rPr>
        <w:rFonts w:hint="eastAsia" w:cs="Times New Roman"/>
        <w:b w:val="0"/>
        <w:bCs/>
        <w:snapToGrid/>
        <w:color w:val="000000" w:themeColor="text1"/>
        <w:spacing w:val="0"/>
        <w:kern w:val="0"/>
        <w:position w:val="0"/>
        <w:sz w:val="18"/>
        <w:szCs w:val="18"/>
        <w:u w:val="none"/>
        <w:lang w:eastAsia="zh-CN"/>
        <w14:textFill>
          <w14:solidFill>
            <w14:schemeClr w14:val="tx1"/>
          </w14:solidFill>
        </w14:textFill>
      </w:rPr>
      <w:t>宁都县城投混凝土有限公司年产60万立方商品混凝土搅拌站项目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9420">
    <w:pPr>
      <w:pStyle w:val="18"/>
      <w:keepNext w:val="0"/>
      <w:keepLines w:val="0"/>
      <w:pageBreakBefore w:val="0"/>
      <w:widowControl w:val="0"/>
      <w:pBdr>
        <w:bottom w:val="single" w:color="auto" w:sz="4" w:space="1"/>
      </w:pBdr>
      <w:kinsoku/>
      <w:wordWrap/>
      <w:overflowPunct/>
      <w:topLinePunct w:val="0"/>
      <w:autoSpaceDE/>
      <w:autoSpaceDN/>
      <w:bidi w:val="0"/>
      <w:adjustRightInd/>
      <w:snapToGrid w:val="0"/>
      <w:jc w:val="center"/>
      <w:textAlignment w:val="auto"/>
    </w:pPr>
    <w:r>
      <w:rPr>
        <w:rFonts w:hint="eastAsia" w:cs="Times New Roman"/>
        <w:b w:val="0"/>
        <w:bCs/>
        <w:snapToGrid/>
        <w:color w:val="000000" w:themeColor="text1"/>
        <w:spacing w:val="0"/>
        <w:kern w:val="0"/>
        <w:position w:val="0"/>
        <w:sz w:val="18"/>
        <w:szCs w:val="18"/>
        <w:u w:val="none"/>
        <w:lang w:eastAsia="zh-CN"/>
        <w14:textFill>
          <w14:solidFill>
            <w14:schemeClr w14:val="tx1"/>
          </w14:solidFill>
        </w14:textFill>
      </w:rPr>
      <w:t>宁都县城投混凝土有限公司年产60万立方商品混凝土搅拌站项目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35802">
    <w:pPr>
      <w:pStyle w:val="18"/>
      <w:keepNext w:val="0"/>
      <w:keepLines w:val="0"/>
      <w:pageBreakBefore w:val="0"/>
      <w:widowControl w:val="0"/>
      <w:pBdr>
        <w:bottom w:val="single" w:color="auto" w:sz="4" w:space="1"/>
      </w:pBdr>
      <w:kinsoku/>
      <w:wordWrap/>
      <w:overflowPunct/>
      <w:topLinePunct w:val="0"/>
      <w:autoSpaceDE/>
      <w:autoSpaceDN/>
      <w:bidi w:val="0"/>
      <w:adjustRightInd/>
      <w:snapToGrid w:val="0"/>
      <w:jc w:val="center"/>
      <w:textAlignment w:val="auto"/>
    </w:pPr>
    <w:r>
      <w:rPr>
        <w:rFonts w:hint="eastAsia" w:cs="Times New Roman"/>
        <w:b w:val="0"/>
        <w:bCs/>
        <w:snapToGrid/>
        <w:color w:val="000000" w:themeColor="text1"/>
        <w:spacing w:val="0"/>
        <w:kern w:val="0"/>
        <w:position w:val="0"/>
        <w:sz w:val="18"/>
        <w:szCs w:val="18"/>
        <w:u w:val="none"/>
        <w:lang w:eastAsia="zh-CN"/>
        <w14:textFill>
          <w14:solidFill>
            <w14:schemeClr w14:val="tx1"/>
          </w14:solidFill>
        </w14:textFill>
      </w:rPr>
      <w:t>宁都县城投混凝土有限公司年产60万立方商品混凝土搅拌站项目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639F4">
    <w:pPr>
      <w:pStyle w:val="18"/>
      <w:keepNext w:val="0"/>
      <w:keepLines w:val="0"/>
      <w:pageBreakBefore w:val="0"/>
      <w:widowControl w:val="0"/>
      <w:pBdr>
        <w:bottom w:val="single" w:color="auto" w:sz="4" w:space="1"/>
      </w:pBdr>
      <w:kinsoku/>
      <w:wordWrap/>
      <w:overflowPunct/>
      <w:topLinePunct w:val="0"/>
      <w:autoSpaceDE/>
      <w:autoSpaceDN/>
      <w:bidi w:val="0"/>
      <w:adjustRightInd/>
      <w:snapToGrid w:val="0"/>
      <w:jc w:val="center"/>
      <w:textAlignment w:val="auto"/>
    </w:pPr>
    <w:r>
      <w:rPr>
        <w:rFonts w:hint="eastAsia" w:cs="Times New Roman"/>
        <w:b w:val="0"/>
        <w:bCs/>
        <w:snapToGrid/>
        <w:color w:val="000000" w:themeColor="text1"/>
        <w:spacing w:val="0"/>
        <w:kern w:val="0"/>
        <w:position w:val="0"/>
        <w:sz w:val="18"/>
        <w:szCs w:val="18"/>
        <w:u w:val="none"/>
        <w:lang w:eastAsia="zh-CN"/>
        <w14:textFill>
          <w14:solidFill>
            <w14:schemeClr w14:val="tx1"/>
          </w14:solidFill>
        </w14:textFill>
      </w:rPr>
      <w:t>宁都县城投混凝土有限公司年产60万立方商品混凝土搅拌站项目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786F3"/>
    <w:multiLevelType w:val="singleLevel"/>
    <w:tmpl w:val="815786F3"/>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5ZTE5YTUzYzE3ZGU4MGI0NzYyNjgxOTFlZWFmNmE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CD660B"/>
    <w:rsid w:val="02697903"/>
    <w:rsid w:val="02897931"/>
    <w:rsid w:val="02C848FD"/>
    <w:rsid w:val="02ED1AB5"/>
    <w:rsid w:val="02F96569"/>
    <w:rsid w:val="03741198"/>
    <w:rsid w:val="03C2736F"/>
    <w:rsid w:val="03EA7B21"/>
    <w:rsid w:val="03EF5C03"/>
    <w:rsid w:val="04514767"/>
    <w:rsid w:val="045D0B55"/>
    <w:rsid w:val="04762137"/>
    <w:rsid w:val="04A862EE"/>
    <w:rsid w:val="05087233"/>
    <w:rsid w:val="05727D30"/>
    <w:rsid w:val="058C1C12"/>
    <w:rsid w:val="05E01C9E"/>
    <w:rsid w:val="05F83EAE"/>
    <w:rsid w:val="06190FCC"/>
    <w:rsid w:val="063E7D85"/>
    <w:rsid w:val="06BC02D5"/>
    <w:rsid w:val="07293586"/>
    <w:rsid w:val="07295285"/>
    <w:rsid w:val="07636392"/>
    <w:rsid w:val="07770C56"/>
    <w:rsid w:val="086A61E4"/>
    <w:rsid w:val="09045F63"/>
    <w:rsid w:val="092217DD"/>
    <w:rsid w:val="093A7294"/>
    <w:rsid w:val="096A04BC"/>
    <w:rsid w:val="096B38AC"/>
    <w:rsid w:val="098D3830"/>
    <w:rsid w:val="09B869F3"/>
    <w:rsid w:val="09DB5B25"/>
    <w:rsid w:val="0A234826"/>
    <w:rsid w:val="0A263993"/>
    <w:rsid w:val="0A2D3AC2"/>
    <w:rsid w:val="0A377FFE"/>
    <w:rsid w:val="0A3D18AD"/>
    <w:rsid w:val="0A717628"/>
    <w:rsid w:val="0A733B2F"/>
    <w:rsid w:val="0AA43564"/>
    <w:rsid w:val="0AA755DF"/>
    <w:rsid w:val="0AC97464"/>
    <w:rsid w:val="0B054122"/>
    <w:rsid w:val="0B0D29B3"/>
    <w:rsid w:val="0B120D44"/>
    <w:rsid w:val="0B714241"/>
    <w:rsid w:val="0BD27BF6"/>
    <w:rsid w:val="0BE07C98"/>
    <w:rsid w:val="0C3B3C7D"/>
    <w:rsid w:val="0CAB2EAE"/>
    <w:rsid w:val="0CD839EA"/>
    <w:rsid w:val="0D621C7D"/>
    <w:rsid w:val="0E1656CB"/>
    <w:rsid w:val="0E2A2583"/>
    <w:rsid w:val="0E654A5C"/>
    <w:rsid w:val="0E73034D"/>
    <w:rsid w:val="0E7717C7"/>
    <w:rsid w:val="0EA50285"/>
    <w:rsid w:val="0F134C17"/>
    <w:rsid w:val="0F13775A"/>
    <w:rsid w:val="0F5F45FE"/>
    <w:rsid w:val="0F9A112B"/>
    <w:rsid w:val="0FE67891"/>
    <w:rsid w:val="0FF10BD9"/>
    <w:rsid w:val="105E064F"/>
    <w:rsid w:val="106D2F64"/>
    <w:rsid w:val="10767FC0"/>
    <w:rsid w:val="108300B5"/>
    <w:rsid w:val="10B63710"/>
    <w:rsid w:val="10BB1953"/>
    <w:rsid w:val="10D80401"/>
    <w:rsid w:val="10F10820"/>
    <w:rsid w:val="111C2F7A"/>
    <w:rsid w:val="113B273E"/>
    <w:rsid w:val="11477335"/>
    <w:rsid w:val="114C66F9"/>
    <w:rsid w:val="11665CA1"/>
    <w:rsid w:val="117F6ACF"/>
    <w:rsid w:val="11976972"/>
    <w:rsid w:val="11A71B81"/>
    <w:rsid w:val="11C91AF8"/>
    <w:rsid w:val="126739AE"/>
    <w:rsid w:val="12B72988"/>
    <w:rsid w:val="12F25E2D"/>
    <w:rsid w:val="13145156"/>
    <w:rsid w:val="13951726"/>
    <w:rsid w:val="13AD7584"/>
    <w:rsid w:val="14396509"/>
    <w:rsid w:val="147B1817"/>
    <w:rsid w:val="14DD2C3C"/>
    <w:rsid w:val="154E6E13"/>
    <w:rsid w:val="16087E1D"/>
    <w:rsid w:val="162D02AE"/>
    <w:rsid w:val="162E0532"/>
    <w:rsid w:val="163C4F94"/>
    <w:rsid w:val="16816E45"/>
    <w:rsid w:val="16DB6772"/>
    <w:rsid w:val="16E0613B"/>
    <w:rsid w:val="16E11692"/>
    <w:rsid w:val="170C78FB"/>
    <w:rsid w:val="171E1316"/>
    <w:rsid w:val="17226013"/>
    <w:rsid w:val="172C2B77"/>
    <w:rsid w:val="17701D14"/>
    <w:rsid w:val="17735226"/>
    <w:rsid w:val="17CE3EB3"/>
    <w:rsid w:val="1812416B"/>
    <w:rsid w:val="1818041C"/>
    <w:rsid w:val="182B1DF7"/>
    <w:rsid w:val="184E2D57"/>
    <w:rsid w:val="189F624C"/>
    <w:rsid w:val="18E436BB"/>
    <w:rsid w:val="191D57A5"/>
    <w:rsid w:val="19A54BF8"/>
    <w:rsid w:val="1A1C66C0"/>
    <w:rsid w:val="1A42393B"/>
    <w:rsid w:val="1A6C6398"/>
    <w:rsid w:val="1AAD45DE"/>
    <w:rsid w:val="1AB80A34"/>
    <w:rsid w:val="1ABD2396"/>
    <w:rsid w:val="1ADF0CCD"/>
    <w:rsid w:val="1AFD6E8C"/>
    <w:rsid w:val="1B046F80"/>
    <w:rsid w:val="1B2F42D6"/>
    <w:rsid w:val="1B3267B5"/>
    <w:rsid w:val="1B40161D"/>
    <w:rsid w:val="1B441859"/>
    <w:rsid w:val="1B6606B1"/>
    <w:rsid w:val="1C346D99"/>
    <w:rsid w:val="1C5E7925"/>
    <w:rsid w:val="1C74386C"/>
    <w:rsid w:val="1CB256FF"/>
    <w:rsid w:val="1CD81212"/>
    <w:rsid w:val="1CFD070F"/>
    <w:rsid w:val="1D0905BA"/>
    <w:rsid w:val="1D570020"/>
    <w:rsid w:val="1D5F6196"/>
    <w:rsid w:val="1D6132A5"/>
    <w:rsid w:val="1D8E56D5"/>
    <w:rsid w:val="1DE2454A"/>
    <w:rsid w:val="1DE72FFF"/>
    <w:rsid w:val="1E792549"/>
    <w:rsid w:val="1E7A43DA"/>
    <w:rsid w:val="1F65634A"/>
    <w:rsid w:val="1F8A1CF5"/>
    <w:rsid w:val="1FC35DD8"/>
    <w:rsid w:val="1FE7539E"/>
    <w:rsid w:val="1FF67A97"/>
    <w:rsid w:val="200603BB"/>
    <w:rsid w:val="20513525"/>
    <w:rsid w:val="2063580D"/>
    <w:rsid w:val="20671BE0"/>
    <w:rsid w:val="20764AAE"/>
    <w:rsid w:val="20963CB8"/>
    <w:rsid w:val="20A81A1B"/>
    <w:rsid w:val="20B07FB6"/>
    <w:rsid w:val="20B646FB"/>
    <w:rsid w:val="20FF7823"/>
    <w:rsid w:val="213B74B1"/>
    <w:rsid w:val="215A2310"/>
    <w:rsid w:val="21B7196D"/>
    <w:rsid w:val="21C85928"/>
    <w:rsid w:val="21DA38AD"/>
    <w:rsid w:val="21DE318A"/>
    <w:rsid w:val="21E30AD6"/>
    <w:rsid w:val="21EF5B80"/>
    <w:rsid w:val="222D4816"/>
    <w:rsid w:val="222F59A7"/>
    <w:rsid w:val="22576990"/>
    <w:rsid w:val="22761872"/>
    <w:rsid w:val="22A25EB2"/>
    <w:rsid w:val="22AC04B1"/>
    <w:rsid w:val="22B365D8"/>
    <w:rsid w:val="22C72A24"/>
    <w:rsid w:val="22E03C8C"/>
    <w:rsid w:val="22F47480"/>
    <w:rsid w:val="23626D2A"/>
    <w:rsid w:val="2366189C"/>
    <w:rsid w:val="23CE11F0"/>
    <w:rsid w:val="23DE1C48"/>
    <w:rsid w:val="240210CD"/>
    <w:rsid w:val="24317AF7"/>
    <w:rsid w:val="24BF09F7"/>
    <w:rsid w:val="252D53FE"/>
    <w:rsid w:val="258E5680"/>
    <w:rsid w:val="25EC2D81"/>
    <w:rsid w:val="26307F40"/>
    <w:rsid w:val="263B5804"/>
    <w:rsid w:val="266B0301"/>
    <w:rsid w:val="26E37444"/>
    <w:rsid w:val="272924A0"/>
    <w:rsid w:val="277057A2"/>
    <w:rsid w:val="278E0648"/>
    <w:rsid w:val="27BA31ED"/>
    <w:rsid w:val="27BC5F2F"/>
    <w:rsid w:val="28966523"/>
    <w:rsid w:val="28C826B1"/>
    <w:rsid w:val="28FB408A"/>
    <w:rsid w:val="29206EB8"/>
    <w:rsid w:val="29595666"/>
    <w:rsid w:val="29874881"/>
    <w:rsid w:val="29980ADF"/>
    <w:rsid w:val="29B35110"/>
    <w:rsid w:val="29E325E0"/>
    <w:rsid w:val="29E43BB8"/>
    <w:rsid w:val="2A2F3CB2"/>
    <w:rsid w:val="2A452503"/>
    <w:rsid w:val="2A660D80"/>
    <w:rsid w:val="2B195446"/>
    <w:rsid w:val="2B596EFE"/>
    <w:rsid w:val="2BA936A8"/>
    <w:rsid w:val="2BE2177A"/>
    <w:rsid w:val="2C1443AA"/>
    <w:rsid w:val="2C1A1476"/>
    <w:rsid w:val="2C291C9A"/>
    <w:rsid w:val="2C315A5A"/>
    <w:rsid w:val="2C4B1C25"/>
    <w:rsid w:val="2CB64C88"/>
    <w:rsid w:val="2CEA78A5"/>
    <w:rsid w:val="2CF0667B"/>
    <w:rsid w:val="2CFC6DCE"/>
    <w:rsid w:val="2D6A2107"/>
    <w:rsid w:val="2D9E56F5"/>
    <w:rsid w:val="2E030258"/>
    <w:rsid w:val="2E224612"/>
    <w:rsid w:val="2E667F96"/>
    <w:rsid w:val="2E8226AB"/>
    <w:rsid w:val="2F35097A"/>
    <w:rsid w:val="2FD065E6"/>
    <w:rsid w:val="2FD47B8E"/>
    <w:rsid w:val="2FD96870"/>
    <w:rsid w:val="2FEC3190"/>
    <w:rsid w:val="2FF24953"/>
    <w:rsid w:val="2FFC3194"/>
    <w:rsid w:val="2FFD5337"/>
    <w:rsid w:val="300C37CC"/>
    <w:rsid w:val="3024533F"/>
    <w:rsid w:val="30580BC9"/>
    <w:rsid w:val="30BD0D7F"/>
    <w:rsid w:val="311E2ED7"/>
    <w:rsid w:val="313C59EB"/>
    <w:rsid w:val="315619EE"/>
    <w:rsid w:val="315C449C"/>
    <w:rsid w:val="31B82709"/>
    <w:rsid w:val="31D05482"/>
    <w:rsid w:val="32150C90"/>
    <w:rsid w:val="32400B34"/>
    <w:rsid w:val="327A0921"/>
    <w:rsid w:val="329C7DE7"/>
    <w:rsid w:val="329E6876"/>
    <w:rsid w:val="32C1314B"/>
    <w:rsid w:val="32CC52EE"/>
    <w:rsid w:val="32E15811"/>
    <w:rsid w:val="32EF035B"/>
    <w:rsid w:val="33077B6E"/>
    <w:rsid w:val="333015F2"/>
    <w:rsid w:val="333802A8"/>
    <w:rsid w:val="334B6320"/>
    <w:rsid w:val="33681E65"/>
    <w:rsid w:val="33CA11F3"/>
    <w:rsid w:val="33D934D4"/>
    <w:rsid w:val="33FE2F6A"/>
    <w:rsid w:val="340E07E5"/>
    <w:rsid w:val="34142924"/>
    <w:rsid w:val="34235BF7"/>
    <w:rsid w:val="350606FD"/>
    <w:rsid w:val="358C5FA8"/>
    <w:rsid w:val="35C15DF1"/>
    <w:rsid w:val="36074A7F"/>
    <w:rsid w:val="36350803"/>
    <w:rsid w:val="36923549"/>
    <w:rsid w:val="36B75FBF"/>
    <w:rsid w:val="36BD0C45"/>
    <w:rsid w:val="36C754A9"/>
    <w:rsid w:val="370C641A"/>
    <w:rsid w:val="37112EA3"/>
    <w:rsid w:val="372238D5"/>
    <w:rsid w:val="377302DF"/>
    <w:rsid w:val="37B3452D"/>
    <w:rsid w:val="37DA1918"/>
    <w:rsid w:val="37E00298"/>
    <w:rsid w:val="380546C2"/>
    <w:rsid w:val="38250305"/>
    <w:rsid w:val="38966328"/>
    <w:rsid w:val="38B302F9"/>
    <w:rsid w:val="38F12CD3"/>
    <w:rsid w:val="38F94775"/>
    <w:rsid w:val="392971ED"/>
    <w:rsid w:val="39325651"/>
    <w:rsid w:val="39840F2F"/>
    <w:rsid w:val="39C92FF5"/>
    <w:rsid w:val="39E249FB"/>
    <w:rsid w:val="3A687920"/>
    <w:rsid w:val="3A6E3982"/>
    <w:rsid w:val="3A872856"/>
    <w:rsid w:val="3B01297F"/>
    <w:rsid w:val="3B223EA3"/>
    <w:rsid w:val="3B3763D1"/>
    <w:rsid w:val="3B4719DC"/>
    <w:rsid w:val="3B4A2945"/>
    <w:rsid w:val="3B560E56"/>
    <w:rsid w:val="3B801056"/>
    <w:rsid w:val="3C2F6E1E"/>
    <w:rsid w:val="3C4F64BA"/>
    <w:rsid w:val="3C5376EB"/>
    <w:rsid w:val="3C6353BD"/>
    <w:rsid w:val="3C8870C2"/>
    <w:rsid w:val="3C935995"/>
    <w:rsid w:val="3CA13B7F"/>
    <w:rsid w:val="3CDA245A"/>
    <w:rsid w:val="3D1E06B7"/>
    <w:rsid w:val="3D2E3538"/>
    <w:rsid w:val="3DB96477"/>
    <w:rsid w:val="3DD23610"/>
    <w:rsid w:val="3EC7548D"/>
    <w:rsid w:val="3EDA0523"/>
    <w:rsid w:val="3F9609BC"/>
    <w:rsid w:val="3FDB1109"/>
    <w:rsid w:val="407A6407"/>
    <w:rsid w:val="40980764"/>
    <w:rsid w:val="40E66024"/>
    <w:rsid w:val="41567A2C"/>
    <w:rsid w:val="41E84702"/>
    <w:rsid w:val="4200449D"/>
    <w:rsid w:val="4222160D"/>
    <w:rsid w:val="42290858"/>
    <w:rsid w:val="423A3BCC"/>
    <w:rsid w:val="424E57D2"/>
    <w:rsid w:val="428D254A"/>
    <w:rsid w:val="42B26C49"/>
    <w:rsid w:val="42FC76D0"/>
    <w:rsid w:val="431A34CB"/>
    <w:rsid w:val="431D3BDD"/>
    <w:rsid w:val="433A6FE6"/>
    <w:rsid w:val="43480868"/>
    <w:rsid w:val="4350713C"/>
    <w:rsid w:val="436653E0"/>
    <w:rsid w:val="43B525DA"/>
    <w:rsid w:val="43B638C4"/>
    <w:rsid w:val="43C4431A"/>
    <w:rsid w:val="43C44DD4"/>
    <w:rsid w:val="44001784"/>
    <w:rsid w:val="44613C8E"/>
    <w:rsid w:val="44B951CC"/>
    <w:rsid w:val="44C44C41"/>
    <w:rsid w:val="44CD14E0"/>
    <w:rsid w:val="44D83594"/>
    <w:rsid w:val="44F20B0B"/>
    <w:rsid w:val="452E5F4C"/>
    <w:rsid w:val="455B6626"/>
    <w:rsid w:val="45612018"/>
    <w:rsid w:val="458946E9"/>
    <w:rsid w:val="45A47C0E"/>
    <w:rsid w:val="462438D5"/>
    <w:rsid w:val="46577FD6"/>
    <w:rsid w:val="468C0D6B"/>
    <w:rsid w:val="46D955A7"/>
    <w:rsid w:val="46E5308A"/>
    <w:rsid w:val="47133957"/>
    <w:rsid w:val="47164D27"/>
    <w:rsid w:val="471C5485"/>
    <w:rsid w:val="47283FE0"/>
    <w:rsid w:val="47A07E0C"/>
    <w:rsid w:val="483920D4"/>
    <w:rsid w:val="4870272E"/>
    <w:rsid w:val="48B96EBD"/>
    <w:rsid w:val="492A57CC"/>
    <w:rsid w:val="49831FB1"/>
    <w:rsid w:val="49DC7715"/>
    <w:rsid w:val="4A023139"/>
    <w:rsid w:val="4A0F14F0"/>
    <w:rsid w:val="4A137357"/>
    <w:rsid w:val="4A673681"/>
    <w:rsid w:val="4A7B576F"/>
    <w:rsid w:val="4AF561A9"/>
    <w:rsid w:val="4C4A0649"/>
    <w:rsid w:val="4C7E5ECA"/>
    <w:rsid w:val="4C800C5E"/>
    <w:rsid w:val="4C876AA5"/>
    <w:rsid w:val="4CF13034"/>
    <w:rsid w:val="4D0E00FB"/>
    <w:rsid w:val="4D176606"/>
    <w:rsid w:val="4DDC49E5"/>
    <w:rsid w:val="4DEC4FB0"/>
    <w:rsid w:val="4E075D8A"/>
    <w:rsid w:val="4E1D65FB"/>
    <w:rsid w:val="4E502526"/>
    <w:rsid w:val="4E8E297B"/>
    <w:rsid w:val="4EBD5F65"/>
    <w:rsid w:val="4EC00FAD"/>
    <w:rsid w:val="4F795774"/>
    <w:rsid w:val="4F7D56F4"/>
    <w:rsid w:val="4F9843DC"/>
    <w:rsid w:val="4F9B099B"/>
    <w:rsid w:val="4FC62A8C"/>
    <w:rsid w:val="4FE20F0D"/>
    <w:rsid w:val="4FE51552"/>
    <w:rsid w:val="4FE9582E"/>
    <w:rsid w:val="4FFE7506"/>
    <w:rsid w:val="50504C4B"/>
    <w:rsid w:val="50610504"/>
    <w:rsid w:val="508D7BB9"/>
    <w:rsid w:val="509C6E7C"/>
    <w:rsid w:val="51432A9D"/>
    <w:rsid w:val="51595086"/>
    <w:rsid w:val="5162104E"/>
    <w:rsid w:val="51D2638E"/>
    <w:rsid w:val="52286B7E"/>
    <w:rsid w:val="529206B0"/>
    <w:rsid w:val="532B759A"/>
    <w:rsid w:val="53571CF1"/>
    <w:rsid w:val="537C7B23"/>
    <w:rsid w:val="53A039CC"/>
    <w:rsid w:val="53A1505A"/>
    <w:rsid w:val="54063E08"/>
    <w:rsid w:val="543437E8"/>
    <w:rsid w:val="545A1D22"/>
    <w:rsid w:val="54F73313"/>
    <w:rsid w:val="54F80955"/>
    <w:rsid w:val="55175CA3"/>
    <w:rsid w:val="555170A7"/>
    <w:rsid w:val="556B5712"/>
    <w:rsid w:val="5587536D"/>
    <w:rsid w:val="559B174B"/>
    <w:rsid w:val="55CB7312"/>
    <w:rsid w:val="55CE0CF4"/>
    <w:rsid w:val="56070E48"/>
    <w:rsid w:val="565B7F36"/>
    <w:rsid w:val="56703CA1"/>
    <w:rsid w:val="56870ED6"/>
    <w:rsid w:val="56B22A9C"/>
    <w:rsid w:val="56CD7199"/>
    <w:rsid w:val="56E81838"/>
    <w:rsid w:val="575A099A"/>
    <w:rsid w:val="57B72A76"/>
    <w:rsid w:val="57C3426C"/>
    <w:rsid w:val="57CE1F93"/>
    <w:rsid w:val="57DB070F"/>
    <w:rsid w:val="583B68E7"/>
    <w:rsid w:val="58540BD8"/>
    <w:rsid w:val="58873140"/>
    <w:rsid w:val="588743D1"/>
    <w:rsid w:val="5887701A"/>
    <w:rsid w:val="58ED4E33"/>
    <w:rsid w:val="58EF598F"/>
    <w:rsid w:val="597B23E2"/>
    <w:rsid w:val="59BC1875"/>
    <w:rsid w:val="59C0439F"/>
    <w:rsid w:val="5A4561D9"/>
    <w:rsid w:val="5A4E3B00"/>
    <w:rsid w:val="5AAC047B"/>
    <w:rsid w:val="5ABE2233"/>
    <w:rsid w:val="5B21545A"/>
    <w:rsid w:val="5B3E21DC"/>
    <w:rsid w:val="5B4A79D2"/>
    <w:rsid w:val="5BB157CA"/>
    <w:rsid w:val="5BC32D9B"/>
    <w:rsid w:val="5BDA25C7"/>
    <w:rsid w:val="5BDF5D95"/>
    <w:rsid w:val="5BF31218"/>
    <w:rsid w:val="5BFE7528"/>
    <w:rsid w:val="5C10379E"/>
    <w:rsid w:val="5C917EAB"/>
    <w:rsid w:val="5DC14AF8"/>
    <w:rsid w:val="5DFF38F9"/>
    <w:rsid w:val="5E2467F1"/>
    <w:rsid w:val="5E392465"/>
    <w:rsid w:val="5E785A05"/>
    <w:rsid w:val="5F1A2B43"/>
    <w:rsid w:val="5F55781A"/>
    <w:rsid w:val="5F5D2E4C"/>
    <w:rsid w:val="5F87675C"/>
    <w:rsid w:val="5FA1143D"/>
    <w:rsid w:val="5FA52F14"/>
    <w:rsid w:val="5FB837BB"/>
    <w:rsid w:val="5FEF5EDF"/>
    <w:rsid w:val="601109E7"/>
    <w:rsid w:val="601C729E"/>
    <w:rsid w:val="6063490B"/>
    <w:rsid w:val="606A3A73"/>
    <w:rsid w:val="60CC405A"/>
    <w:rsid w:val="614E3773"/>
    <w:rsid w:val="61E215D8"/>
    <w:rsid w:val="61F65CD0"/>
    <w:rsid w:val="621B3775"/>
    <w:rsid w:val="62364782"/>
    <w:rsid w:val="625A2D24"/>
    <w:rsid w:val="62C15E90"/>
    <w:rsid w:val="6394356A"/>
    <w:rsid w:val="639D095B"/>
    <w:rsid w:val="63C61B2C"/>
    <w:rsid w:val="63D40BE9"/>
    <w:rsid w:val="64102431"/>
    <w:rsid w:val="6447223A"/>
    <w:rsid w:val="645D4D95"/>
    <w:rsid w:val="64A5243A"/>
    <w:rsid w:val="64B90B25"/>
    <w:rsid w:val="64F531DE"/>
    <w:rsid w:val="6503020D"/>
    <w:rsid w:val="65373578"/>
    <w:rsid w:val="659D59AD"/>
    <w:rsid w:val="65EF7EFB"/>
    <w:rsid w:val="65FF0C62"/>
    <w:rsid w:val="66272F36"/>
    <w:rsid w:val="66370323"/>
    <w:rsid w:val="663943CF"/>
    <w:rsid w:val="66E92A3D"/>
    <w:rsid w:val="671F124A"/>
    <w:rsid w:val="67401089"/>
    <w:rsid w:val="67530D97"/>
    <w:rsid w:val="676F1214"/>
    <w:rsid w:val="677A33C6"/>
    <w:rsid w:val="67E414A0"/>
    <w:rsid w:val="681F48F4"/>
    <w:rsid w:val="681F6961"/>
    <w:rsid w:val="68610A2F"/>
    <w:rsid w:val="68694AA2"/>
    <w:rsid w:val="68805514"/>
    <w:rsid w:val="68C913BD"/>
    <w:rsid w:val="69232A11"/>
    <w:rsid w:val="69316E2F"/>
    <w:rsid w:val="694E2071"/>
    <w:rsid w:val="69766163"/>
    <w:rsid w:val="697A3B33"/>
    <w:rsid w:val="69B6068B"/>
    <w:rsid w:val="69D44760"/>
    <w:rsid w:val="69E509F7"/>
    <w:rsid w:val="6A520EC7"/>
    <w:rsid w:val="6A57759C"/>
    <w:rsid w:val="6AF87E20"/>
    <w:rsid w:val="6B322639"/>
    <w:rsid w:val="6B60318B"/>
    <w:rsid w:val="6B867782"/>
    <w:rsid w:val="6BC404DB"/>
    <w:rsid w:val="6C636C38"/>
    <w:rsid w:val="6CFE5C6F"/>
    <w:rsid w:val="6DB34098"/>
    <w:rsid w:val="6DB545B6"/>
    <w:rsid w:val="6DC472DF"/>
    <w:rsid w:val="6DE02FB4"/>
    <w:rsid w:val="6E514CED"/>
    <w:rsid w:val="6E95331F"/>
    <w:rsid w:val="6EB563D5"/>
    <w:rsid w:val="6EC02AB2"/>
    <w:rsid w:val="6ED92677"/>
    <w:rsid w:val="6F225983"/>
    <w:rsid w:val="6F557F02"/>
    <w:rsid w:val="6FFC5590"/>
    <w:rsid w:val="701A2DBF"/>
    <w:rsid w:val="70360833"/>
    <w:rsid w:val="706D1DD0"/>
    <w:rsid w:val="70856B87"/>
    <w:rsid w:val="708C1DD0"/>
    <w:rsid w:val="70D527EE"/>
    <w:rsid w:val="70DE30BA"/>
    <w:rsid w:val="71162F2C"/>
    <w:rsid w:val="71195892"/>
    <w:rsid w:val="71436346"/>
    <w:rsid w:val="715B5300"/>
    <w:rsid w:val="71812F88"/>
    <w:rsid w:val="71D27F8A"/>
    <w:rsid w:val="71DB4A38"/>
    <w:rsid w:val="72553024"/>
    <w:rsid w:val="72630F97"/>
    <w:rsid w:val="72E05DBD"/>
    <w:rsid w:val="730833A3"/>
    <w:rsid w:val="73122968"/>
    <w:rsid w:val="731F5D5E"/>
    <w:rsid w:val="73C51AD5"/>
    <w:rsid w:val="74063719"/>
    <w:rsid w:val="741E793C"/>
    <w:rsid w:val="742F4960"/>
    <w:rsid w:val="745E3944"/>
    <w:rsid w:val="74D448E6"/>
    <w:rsid w:val="7503687A"/>
    <w:rsid w:val="752A7D48"/>
    <w:rsid w:val="7635099D"/>
    <w:rsid w:val="767057F7"/>
    <w:rsid w:val="76BC122C"/>
    <w:rsid w:val="771778C0"/>
    <w:rsid w:val="7718792D"/>
    <w:rsid w:val="77762421"/>
    <w:rsid w:val="77A1693D"/>
    <w:rsid w:val="77B56B1F"/>
    <w:rsid w:val="780F09F4"/>
    <w:rsid w:val="78407204"/>
    <w:rsid w:val="78837077"/>
    <w:rsid w:val="78964FAD"/>
    <w:rsid w:val="78A8569E"/>
    <w:rsid w:val="78A90480"/>
    <w:rsid w:val="78B437FE"/>
    <w:rsid w:val="78C4675C"/>
    <w:rsid w:val="78FE79B1"/>
    <w:rsid w:val="7917353E"/>
    <w:rsid w:val="7922142F"/>
    <w:rsid w:val="79426FC1"/>
    <w:rsid w:val="7960036C"/>
    <w:rsid w:val="79CE4EFD"/>
    <w:rsid w:val="79E24918"/>
    <w:rsid w:val="7A2F0069"/>
    <w:rsid w:val="7A364017"/>
    <w:rsid w:val="7A8265E1"/>
    <w:rsid w:val="7ACF47A6"/>
    <w:rsid w:val="7AF8522C"/>
    <w:rsid w:val="7B566455"/>
    <w:rsid w:val="7B686D42"/>
    <w:rsid w:val="7B841746"/>
    <w:rsid w:val="7BC10593"/>
    <w:rsid w:val="7C0E57A2"/>
    <w:rsid w:val="7C6C5AC7"/>
    <w:rsid w:val="7CC6544B"/>
    <w:rsid w:val="7D0239FF"/>
    <w:rsid w:val="7D0E5A5A"/>
    <w:rsid w:val="7D393B1D"/>
    <w:rsid w:val="7D5947FB"/>
    <w:rsid w:val="7D5E40CD"/>
    <w:rsid w:val="7D7F63B7"/>
    <w:rsid w:val="7DCD56F2"/>
    <w:rsid w:val="7E192908"/>
    <w:rsid w:val="7E466C7B"/>
    <w:rsid w:val="7E48509E"/>
    <w:rsid w:val="7EB51F05"/>
    <w:rsid w:val="7ECA601B"/>
    <w:rsid w:val="7F001CE7"/>
    <w:rsid w:val="7F482E61"/>
    <w:rsid w:val="7FC61B8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qFormat="1"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autoRedefine/>
    <w:unhideWhenUsed/>
    <w:qFormat/>
    <w:locked/>
    <w:uiPriority w:val="0"/>
    <w:pPr>
      <w:keepNext/>
      <w:keepLines/>
      <w:spacing w:before="260" w:after="260" w:line="416" w:lineRule="auto"/>
      <w:outlineLvl w:val="2"/>
    </w:pPr>
    <w:rPr>
      <w:rFonts w:ascii="Times New Roman" w:hAnsi="Times New Roman"/>
      <w:b/>
      <w:bCs/>
      <w:sz w:val="32"/>
      <w:szCs w:val="32"/>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autoRedefine/>
    <w:qFormat/>
    <w:locked/>
    <w:uiPriority w:val="0"/>
    <w:pPr>
      <w:tabs>
        <w:tab w:val="left" w:pos="0"/>
      </w:tabs>
      <w:ind w:firstLine="480"/>
    </w:pPr>
    <w:rPr>
      <w:sz w:val="24"/>
    </w:rPr>
  </w:style>
  <w:style w:type="paragraph" w:styleId="6">
    <w:name w:val="List 3"/>
    <w:basedOn w:val="1"/>
    <w:qFormat/>
    <w:locked/>
    <w:uiPriority w:val="0"/>
    <w:pPr>
      <w:ind w:left="100" w:leftChars="400" w:hanging="200" w:hangingChars="200"/>
      <w:contextualSpacing/>
    </w:pPr>
  </w:style>
  <w:style w:type="paragraph" w:styleId="7">
    <w:name w:val="Normal Indent"/>
    <w:basedOn w:val="1"/>
    <w:autoRedefine/>
    <w:qFormat/>
    <w:locked/>
    <w:uiPriority w:val="0"/>
    <w:pPr>
      <w:ind w:firstLine="420"/>
    </w:pPr>
    <w:rPr>
      <w:sz w:val="24"/>
    </w:rPr>
  </w:style>
  <w:style w:type="paragraph" w:styleId="8">
    <w:name w:val="annotation text"/>
    <w:basedOn w:val="1"/>
    <w:link w:val="46"/>
    <w:autoRedefine/>
    <w:semiHidden/>
    <w:qFormat/>
    <w:uiPriority w:val="0"/>
    <w:pPr>
      <w:jc w:val="left"/>
    </w:pPr>
    <w:rPr>
      <w:kern w:val="0"/>
      <w:sz w:val="24"/>
      <w:szCs w:val="20"/>
    </w:rPr>
  </w:style>
  <w:style w:type="paragraph" w:styleId="9">
    <w:name w:val="Body Text"/>
    <w:basedOn w:val="1"/>
    <w:next w:val="1"/>
    <w:link w:val="47"/>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48"/>
    <w:autoRedefine/>
    <w:qFormat/>
    <w:uiPriority w:val="0"/>
    <w:pPr>
      <w:spacing w:after="120"/>
      <w:ind w:left="420" w:leftChars="200"/>
    </w:pPr>
    <w:rPr>
      <w:kern w:val="0"/>
      <w:sz w:val="24"/>
      <w:szCs w:val="20"/>
    </w:rPr>
  </w:style>
  <w:style w:type="paragraph" w:styleId="11">
    <w:name w:val="toc 3"/>
    <w:basedOn w:val="1"/>
    <w:next w:val="1"/>
    <w:autoRedefine/>
    <w:qFormat/>
    <w:locked/>
    <w:uiPriority w:val="0"/>
    <w:pPr>
      <w:ind w:left="840" w:leftChars="400"/>
    </w:pPr>
  </w:style>
  <w:style w:type="paragraph" w:styleId="12">
    <w:name w:val="Plain Text"/>
    <w:basedOn w:val="1"/>
    <w:next w:val="1"/>
    <w:autoRedefine/>
    <w:qFormat/>
    <w:locked/>
    <w:uiPriority w:val="0"/>
    <w:pPr>
      <w:widowControl w:val="0"/>
      <w:spacing w:line="240" w:lineRule="atLeast"/>
      <w:jc w:val="both"/>
    </w:pPr>
    <w:rPr>
      <w:rFonts w:ascii="宋体" w:hAnsi="Courier New"/>
      <w:sz w:val="28"/>
      <w:szCs w:val="21"/>
    </w:rPr>
  </w:style>
  <w:style w:type="paragraph" w:styleId="13">
    <w:name w:val="List Bullet 5"/>
    <w:basedOn w:val="1"/>
    <w:qFormat/>
    <w:locked/>
    <w:uiPriority w:val="0"/>
    <w:pPr>
      <w:numPr>
        <w:ilvl w:val="0"/>
        <w:numId w:val="1"/>
      </w:numPr>
    </w:pPr>
  </w:style>
  <w:style w:type="paragraph" w:styleId="14">
    <w:name w:val="Date"/>
    <w:basedOn w:val="1"/>
    <w:next w:val="1"/>
    <w:link w:val="49"/>
    <w:autoRedefine/>
    <w:qFormat/>
    <w:uiPriority w:val="0"/>
    <w:pPr>
      <w:ind w:left="100" w:leftChars="2500"/>
    </w:pPr>
    <w:rPr>
      <w:kern w:val="0"/>
      <w:sz w:val="24"/>
      <w:szCs w:val="20"/>
    </w:rPr>
  </w:style>
  <w:style w:type="paragraph" w:styleId="15">
    <w:name w:val="Balloon Text"/>
    <w:basedOn w:val="1"/>
    <w:link w:val="50"/>
    <w:autoRedefine/>
    <w:semiHidden/>
    <w:qFormat/>
    <w:uiPriority w:val="0"/>
    <w:rPr>
      <w:kern w:val="0"/>
      <w:sz w:val="18"/>
      <w:szCs w:val="20"/>
    </w:rPr>
  </w:style>
  <w:style w:type="paragraph" w:styleId="16">
    <w:name w:val="footer"/>
    <w:basedOn w:val="1"/>
    <w:link w:val="51"/>
    <w:autoRedefine/>
    <w:qFormat/>
    <w:uiPriority w:val="99"/>
    <w:pPr>
      <w:tabs>
        <w:tab w:val="center" w:pos="4153"/>
        <w:tab w:val="right" w:pos="8306"/>
      </w:tabs>
      <w:snapToGrid w:val="0"/>
      <w:jc w:val="left"/>
    </w:pPr>
    <w:rPr>
      <w:kern w:val="0"/>
      <w:sz w:val="18"/>
      <w:szCs w:val="20"/>
    </w:rPr>
  </w:style>
  <w:style w:type="paragraph" w:styleId="17">
    <w:name w:val="envelope return"/>
    <w:basedOn w:val="1"/>
    <w:qFormat/>
    <w:locked/>
    <w:uiPriority w:val="0"/>
    <w:pPr>
      <w:widowControl w:val="0"/>
      <w:adjustRightInd w:val="0"/>
      <w:snapToGrid w:val="0"/>
      <w:spacing w:line="360" w:lineRule="auto"/>
      <w:jc w:val="both"/>
      <w:textAlignment w:val="baseline"/>
    </w:pPr>
    <w:rPr>
      <w:rFonts w:ascii="Arial" w:hAnsi="Arial" w:eastAsia="宋体" w:cs="Times New Roman"/>
      <w:sz w:val="24"/>
      <w:szCs w:val="21"/>
      <w:lang w:val="en-US" w:eastAsia="zh-CN" w:bidi="ar-SA"/>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0正文"/>
    <w:basedOn w:val="1"/>
    <w:autoRedefine/>
    <w:qFormat/>
    <w:uiPriority w:val="0"/>
    <w:pPr>
      <w:adjustRightInd w:val="0"/>
      <w:snapToGrid w:val="0"/>
      <w:spacing w:line="360" w:lineRule="auto"/>
      <w:ind w:firstLine="200" w:firstLineChars="200"/>
    </w:pPr>
    <w:rPr>
      <w:sz w:val="24"/>
    </w:rPr>
  </w:style>
  <w:style w:type="paragraph" w:styleId="20">
    <w:name w:val="toc 1"/>
    <w:basedOn w:val="1"/>
    <w:next w:val="1"/>
    <w:autoRedefine/>
    <w:qFormat/>
    <w:locked/>
    <w:uiPriority w:val="0"/>
  </w:style>
  <w:style w:type="paragraph" w:styleId="21">
    <w:name w:val="List"/>
    <w:basedOn w:val="1"/>
    <w:next w:val="1"/>
    <w:semiHidden/>
    <w:qFormat/>
    <w:locked/>
    <w:uiPriority w:val="0"/>
    <w:pPr>
      <w:adjustRightInd w:val="0"/>
      <w:ind w:firstLine="576"/>
      <w:jc w:val="center"/>
    </w:pPr>
    <w:rPr>
      <w:rFonts w:ascii="仿宋_GB2312" w:eastAsia="仿宋_GB2312"/>
      <w:spacing w:val="4"/>
      <w:kern w:val="18"/>
      <w:sz w:val="28"/>
      <w:szCs w:val="21"/>
    </w:rPr>
  </w:style>
  <w:style w:type="paragraph" w:styleId="22">
    <w:name w:val="index 9"/>
    <w:basedOn w:val="1"/>
    <w:next w:val="1"/>
    <w:qFormat/>
    <w:locked/>
    <w:uiPriority w:val="0"/>
    <w:pPr>
      <w:ind w:left="1890" w:hanging="210"/>
      <w:jc w:val="left"/>
    </w:pPr>
    <w:rPr>
      <w:sz w:val="18"/>
      <w:szCs w:val="18"/>
    </w:rPr>
  </w:style>
  <w:style w:type="paragraph" w:styleId="23">
    <w:name w:val="Normal (Web)"/>
    <w:basedOn w:val="1"/>
    <w:link w:val="52"/>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53"/>
    <w:autoRedefine/>
    <w:semiHidden/>
    <w:qFormat/>
    <w:uiPriority w:val="0"/>
    <w:rPr>
      <w:b/>
      <w:sz w:val="24"/>
      <w:szCs w:val="20"/>
    </w:rPr>
  </w:style>
  <w:style w:type="paragraph" w:styleId="25">
    <w:name w:val="Body Text First Indent"/>
    <w:basedOn w:val="9"/>
    <w:qFormat/>
    <w:locked/>
    <w:uiPriority w:val="0"/>
    <w:pPr>
      <w:spacing w:after="120"/>
      <w:ind w:firstLine="420" w:firstLineChars="100"/>
    </w:pPr>
    <w:rPr>
      <w:sz w:val="24"/>
    </w:rPr>
  </w:style>
  <w:style w:type="paragraph" w:styleId="26">
    <w:name w:val="Body Text First Indent 2"/>
    <w:basedOn w:val="10"/>
    <w:next w:val="1"/>
    <w:autoRedefine/>
    <w:qFormat/>
    <w:locked/>
    <w:uiPriority w:val="0"/>
    <w:pPr>
      <w:spacing w:after="120" w:afterLines="0" w:line="240" w:lineRule="auto"/>
      <w:ind w:left="420" w:leftChars="200" w:firstLine="420" w:firstLineChars="200"/>
    </w:pPr>
    <w:rPr>
      <w:sz w:val="21"/>
    </w:rPr>
  </w:style>
  <w:style w:type="table" w:styleId="28">
    <w:name w:val="Table Grid"/>
    <w:basedOn w:val="2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autoRedefine/>
    <w:qFormat/>
    <w:locked/>
    <w:uiPriority w:val="0"/>
  </w:style>
  <w:style w:type="character" w:styleId="31">
    <w:name w:val="Emphasis"/>
    <w:basedOn w:val="29"/>
    <w:qFormat/>
    <w:locked/>
    <w:uiPriority w:val="0"/>
    <w:rPr>
      <w:i/>
    </w:rPr>
  </w:style>
  <w:style w:type="character" w:styleId="32">
    <w:name w:val="Hyperlink"/>
    <w:autoRedefine/>
    <w:qFormat/>
    <w:locked/>
    <w:uiPriority w:val="0"/>
    <w:rPr>
      <w:color w:val="0000FF"/>
      <w:u w:val="single"/>
    </w:rPr>
  </w:style>
  <w:style w:type="character" w:styleId="33">
    <w:name w:val="annotation reference"/>
    <w:autoRedefine/>
    <w:semiHidden/>
    <w:qFormat/>
    <w:uiPriority w:val="0"/>
    <w:rPr>
      <w:sz w:val="21"/>
    </w:rPr>
  </w:style>
  <w:style w:type="paragraph" w:customStyle="1" w:styleId="34">
    <w:name w:val="样式 标题 2"/>
    <w:qFormat/>
    <w:uiPriority w:val="0"/>
    <w:pPr>
      <w:keepNext/>
      <w:widowControl w:val="0"/>
      <w:spacing w:before="50" w:after="50"/>
      <w:jc w:val="both"/>
      <w:outlineLvl w:val="1"/>
    </w:pPr>
    <w:rPr>
      <w:rFonts w:ascii="Times New Roman" w:hAnsi="Times New Roman" w:eastAsia="宋体" w:cs="Times New Roman"/>
      <w:kern w:val="0"/>
      <w:sz w:val="24"/>
      <w:szCs w:val="28"/>
      <w:lang w:val="en-US" w:eastAsia="zh-CN" w:bidi="ar-SA"/>
    </w:rPr>
  </w:style>
  <w:style w:type="paragraph" w:customStyle="1" w:styleId="35">
    <w:name w:val="Date1"/>
    <w:basedOn w:val="1"/>
    <w:next w:val="1"/>
    <w:autoRedefine/>
    <w:qFormat/>
    <w:uiPriority w:val="0"/>
    <w:pPr>
      <w:adjustRightInd w:val="0"/>
      <w:jc w:val="left"/>
      <w:textAlignment w:val="baseline"/>
    </w:pPr>
    <w:rPr>
      <w:rFonts w:ascii="宋体" w:hAnsi="宋体"/>
      <w:sz w:val="28"/>
      <w:szCs w:val="20"/>
    </w:rPr>
  </w:style>
  <w:style w:type="paragraph" w:customStyle="1" w:styleId="36">
    <w:name w:val="Default"/>
    <w:basedOn w:val="37"/>
    <w:next w:val="21"/>
    <w:autoRedefine/>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37">
    <w:name w:val="纯文本1"/>
    <w:basedOn w:val="1"/>
    <w:autoRedefine/>
    <w:qFormat/>
    <w:uiPriority w:val="0"/>
    <w:pPr>
      <w:adjustRightInd w:val="0"/>
    </w:pPr>
    <w:rPr>
      <w:rFonts w:ascii="宋体" w:hAnsi="Courier New"/>
      <w:szCs w:val="20"/>
    </w:rPr>
  </w:style>
  <w:style w:type="paragraph" w:customStyle="1" w:styleId="3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9">
    <w:name w:val="样式5"/>
    <w:basedOn w:val="40"/>
    <w:autoRedefine/>
    <w:qFormat/>
    <w:uiPriority w:val="0"/>
    <w:rPr>
      <w:rFonts w:ascii="Times New Roman" w:hAnsi="Times New Roman" w:eastAsia="Times New Roman" w:cs="Times New Roman"/>
      <w:sz w:val="30"/>
    </w:rPr>
  </w:style>
  <w:style w:type="paragraph" w:customStyle="1" w:styleId="40">
    <w:name w:val="font5"/>
    <w:basedOn w:val="1"/>
    <w:qFormat/>
    <w:uiPriority w:val="99"/>
    <w:pPr>
      <w:widowControl/>
      <w:spacing w:before="100" w:beforeAutospacing="1" w:after="100" w:afterAutospacing="1"/>
      <w:jc w:val="left"/>
    </w:pPr>
    <w:rPr>
      <w:sz w:val="18"/>
      <w:szCs w:val="18"/>
    </w:rPr>
  </w:style>
  <w:style w:type="paragraph" w:customStyle="1" w:styleId="41">
    <w:name w:val="样式 标题 1一级标题 + 段前: 0.5 行 段后: 0.5 行"/>
    <w:basedOn w:val="3"/>
    <w:qFormat/>
    <w:uiPriority w:val="99"/>
    <w:pPr>
      <w:spacing w:line="320" w:lineRule="exact"/>
      <w:outlineLvl w:val="9"/>
    </w:pPr>
    <w:rPr>
      <w:spacing w:val="-6"/>
      <w:sz w:val="21"/>
      <w:szCs w:val="21"/>
    </w:rPr>
  </w:style>
  <w:style w:type="paragraph" w:customStyle="1" w:styleId="42">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标题4"/>
    <w:basedOn w:val="1"/>
    <w:next w:val="44"/>
    <w:autoRedefine/>
    <w:qFormat/>
    <w:uiPriority w:val="0"/>
    <w:pPr>
      <w:jc w:val="left"/>
    </w:pPr>
    <w:rPr>
      <w:sz w:val="24"/>
    </w:rPr>
  </w:style>
  <w:style w:type="paragraph" w:customStyle="1" w:styleId="44">
    <w:name w:val="表格内正文"/>
    <w:basedOn w:val="1"/>
    <w:next w:val="45"/>
    <w:autoRedefine/>
    <w:qFormat/>
    <w:uiPriority w:val="0"/>
    <w:pPr>
      <w:spacing w:line="360" w:lineRule="auto"/>
      <w:ind w:firstLine="493"/>
    </w:pPr>
    <w:rPr>
      <w:rFonts w:ascii="宋体" w:hAnsi="宋体" w:eastAsia="宋体"/>
      <w:spacing w:val="4"/>
      <w:kern w:val="18"/>
      <w:sz w:val="24"/>
      <w:szCs w:val="24"/>
      <w:lang w:val="en-US" w:eastAsia="zh-CN" w:bidi="ar-SA"/>
    </w:rPr>
  </w:style>
  <w:style w:type="paragraph" w:customStyle="1" w:styleId="45">
    <w:name w:val="A 正文"/>
    <w:basedOn w:val="1"/>
    <w:next w:val="1"/>
    <w:autoRedefine/>
    <w:qFormat/>
    <w:uiPriority w:val="0"/>
    <w:pPr>
      <w:widowControl w:val="0"/>
      <w:autoSpaceDE/>
      <w:autoSpaceDN/>
      <w:spacing w:before="0" w:after="0" w:line="360" w:lineRule="auto"/>
      <w:ind w:left="0" w:firstLine="200"/>
      <w:jc w:val="both"/>
    </w:pPr>
    <w:rPr>
      <w:rFonts w:ascii="Calibri" w:eastAsia="Calibri"/>
      <w:sz w:val="24"/>
    </w:rPr>
  </w:style>
  <w:style w:type="character" w:customStyle="1" w:styleId="46">
    <w:name w:val="批注文字 Char"/>
    <w:link w:val="8"/>
    <w:autoRedefine/>
    <w:qFormat/>
    <w:locked/>
    <w:uiPriority w:val="0"/>
    <w:rPr>
      <w:rFonts w:ascii="Times New Roman" w:hAnsi="Times New Roman" w:eastAsia="宋体"/>
      <w:sz w:val="24"/>
    </w:rPr>
  </w:style>
  <w:style w:type="character" w:customStyle="1" w:styleId="47">
    <w:name w:val="正文文本 Char"/>
    <w:link w:val="9"/>
    <w:autoRedefine/>
    <w:qFormat/>
    <w:locked/>
    <w:uiPriority w:val="0"/>
    <w:rPr>
      <w:sz w:val="18"/>
    </w:rPr>
  </w:style>
  <w:style w:type="character" w:customStyle="1" w:styleId="48">
    <w:name w:val="正文文本缩进 Char"/>
    <w:link w:val="10"/>
    <w:autoRedefine/>
    <w:semiHidden/>
    <w:qFormat/>
    <w:locked/>
    <w:uiPriority w:val="0"/>
    <w:rPr>
      <w:rFonts w:ascii="Times New Roman" w:hAnsi="Times New Roman" w:eastAsia="宋体"/>
      <w:sz w:val="24"/>
    </w:rPr>
  </w:style>
  <w:style w:type="character" w:customStyle="1" w:styleId="49">
    <w:name w:val="日期 Char"/>
    <w:link w:val="14"/>
    <w:autoRedefine/>
    <w:qFormat/>
    <w:locked/>
    <w:uiPriority w:val="0"/>
    <w:rPr>
      <w:rFonts w:ascii="Times New Roman" w:hAnsi="Times New Roman" w:eastAsia="宋体"/>
      <w:sz w:val="24"/>
    </w:rPr>
  </w:style>
  <w:style w:type="character" w:customStyle="1" w:styleId="50">
    <w:name w:val="批注框文本 Char"/>
    <w:link w:val="15"/>
    <w:autoRedefine/>
    <w:semiHidden/>
    <w:qFormat/>
    <w:locked/>
    <w:uiPriority w:val="0"/>
    <w:rPr>
      <w:rFonts w:ascii="Times New Roman" w:hAnsi="Times New Roman" w:eastAsia="宋体"/>
      <w:sz w:val="18"/>
    </w:rPr>
  </w:style>
  <w:style w:type="character" w:customStyle="1" w:styleId="51">
    <w:name w:val="页脚 Char"/>
    <w:link w:val="16"/>
    <w:autoRedefine/>
    <w:qFormat/>
    <w:locked/>
    <w:uiPriority w:val="99"/>
    <w:rPr>
      <w:sz w:val="18"/>
    </w:rPr>
  </w:style>
  <w:style w:type="character" w:customStyle="1" w:styleId="52">
    <w:name w:val="普通(网站) Char"/>
    <w:link w:val="23"/>
    <w:autoRedefine/>
    <w:qFormat/>
    <w:locked/>
    <w:uiPriority w:val="0"/>
    <w:rPr>
      <w:rFonts w:ascii="宋体" w:hAnsi="宋体" w:eastAsia="宋体"/>
      <w:sz w:val="24"/>
    </w:rPr>
  </w:style>
  <w:style w:type="character" w:customStyle="1" w:styleId="53">
    <w:name w:val="批注主题 Char"/>
    <w:link w:val="24"/>
    <w:autoRedefine/>
    <w:semiHidden/>
    <w:qFormat/>
    <w:locked/>
    <w:uiPriority w:val="0"/>
    <w:rPr>
      <w:rFonts w:ascii="Times New Roman" w:hAnsi="Times New Roman" w:eastAsia="宋体"/>
      <w:b/>
      <w:kern w:val="2"/>
      <w:sz w:val="24"/>
    </w:rPr>
  </w:style>
  <w:style w:type="paragraph" w:customStyle="1" w:styleId="54">
    <w:name w:val="正文 H"/>
    <w:basedOn w:val="1"/>
    <w:autoRedefine/>
    <w:qFormat/>
    <w:uiPriority w:val="0"/>
    <w:pPr>
      <w:ind w:firstLine="200" w:firstLineChars="200"/>
    </w:pPr>
    <w:rPr>
      <w:rFonts w:ascii="宋体" w:hAnsi="Calibri"/>
      <w:snapToGrid w:val="0"/>
      <w:kern w:val="0"/>
      <w:sz w:val="24"/>
      <w:szCs w:val="22"/>
    </w:rPr>
  </w:style>
  <w:style w:type="character" w:customStyle="1" w:styleId="55">
    <w:name w:val="f241"/>
    <w:autoRedefine/>
    <w:qFormat/>
    <w:uiPriority w:val="0"/>
    <w:rPr>
      <w:sz w:val="36"/>
      <w:szCs w:val="36"/>
    </w:rPr>
  </w:style>
  <w:style w:type="character" w:customStyle="1" w:styleId="56">
    <w:name w:val="日期 字符"/>
    <w:autoRedefine/>
    <w:semiHidden/>
    <w:qFormat/>
    <w:uiPriority w:val="0"/>
    <w:rPr>
      <w:rFonts w:ascii="Times New Roman" w:hAnsi="Times New Roman" w:eastAsia="宋体"/>
      <w:sz w:val="24"/>
    </w:rPr>
  </w:style>
  <w:style w:type="character" w:customStyle="1" w:styleId="57">
    <w:name w:val="表格 Char"/>
    <w:link w:val="58"/>
    <w:autoRedefine/>
    <w:qFormat/>
    <w:locked/>
    <w:uiPriority w:val="0"/>
    <w:rPr>
      <w:rFonts w:ascii="宋体"/>
      <w:sz w:val="21"/>
    </w:rPr>
  </w:style>
  <w:style w:type="paragraph" w:customStyle="1" w:styleId="58">
    <w:name w:val="表格"/>
    <w:basedOn w:val="1"/>
    <w:next w:val="1"/>
    <w:link w:val="57"/>
    <w:autoRedefine/>
    <w:qFormat/>
    <w:uiPriority w:val="0"/>
    <w:pPr>
      <w:adjustRightInd w:val="0"/>
      <w:snapToGrid w:val="0"/>
      <w:spacing w:beforeLines="10" w:afterLines="10" w:line="259" w:lineRule="auto"/>
      <w:jc w:val="center"/>
    </w:pPr>
    <w:rPr>
      <w:rFonts w:ascii="宋体"/>
      <w:kern w:val="0"/>
      <w:szCs w:val="20"/>
    </w:rPr>
  </w:style>
  <w:style w:type="character" w:customStyle="1" w:styleId="59">
    <w:name w:val="正文文本 字符1"/>
    <w:autoRedefine/>
    <w:semiHidden/>
    <w:qFormat/>
    <w:uiPriority w:val="0"/>
    <w:rPr>
      <w:rFonts w:ascii="Times New Roman" w:hAnsi="Times New Roman" w:eastAsia="宋体"/>
      <w:sz w:val="24"/>
    </w:rPr>
  </w:style>
  <w:style w:type="character" w:customStyle="1" w:styleId="60">
    <w:name w:val="批注文字 字符1"/>
    <w:autoRedefine/>
    <w:semiHidden/>
    <w:qFormat/>
    <w:uiPriority w:val="0"/>
    <w:rPr>
      <w:rFonts w:ascii="Times New Roman" w:hAnsi="Times New Roman" w:eastAsia="宋体"/>
      <w:sz w:val="24"/>
    </w:rPr>
  </w:style>
  <w:style w:type="character" w:customStyle="1" w:styleId="61">
    <w:name w:val="页脚 字符"/>
    <w:basedOn w:val="29"/>
    <w:autoRedefine/>
    <w:qFormat/>
    <w:uiPriority w:val="99"/>
  </w:style>
  <w:style w:type="character" w:customStyle="1" w:styleId="62">
    <w:name w:val="font21"/>
    <w:basedOn w:val="29"/>
    <w:autoRedefine/>
    <w:qFormat/>
    <w:uiPriority w:val="0"/>
    <w:rPr>
      <w:rFonts w:hint="eastAsia" w:ascii="宋体" w:hAnsi="宋体" w:eastAsia="宋体" w:cs="宋体"/>
      <w:color w:val="000000"/>
      <w:sz w:val="21"/>
      <w:szCs w:val="21"/>
      <w:u w:val="none"/>
    </w:rPr>
  </w:style>
  <w:style w:type="character" w:customStyle="1" w:styleId="63">
    <w:name w:val="font11"/>
    <w:basedOn w:val="29"/>
    <w:autoRedefine/>
    <w:qFormat/>
    <w:uiPriority w:val="0"/>
    <w:rPr>
      <w:rFonts w:hint="default" w:ascii="Times New Roman" w:hAnsi="Times New Roman" w:cs="Times New Roman"/>
      <w:color w:val="000000"/>
      <w:sz w:val="21"/>
      <w:szCs w:val="21"/>
      <w:u w:val="none"/>
      <w:vertAlign w:val="superscript"/>
    </w:rPr>
  </w:style>
  <w:style w:type="paragraph" w:customStyle="1" w:styleId="6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6">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67">
    <w:name w:val="小标题"/>
    <w:basedOn w:val="1"/>
    <w:autoRedefine/>
    <w:qFormat/>
    <w:uiPriority w:val="0"/>
    <w:pPr>
      <w:adjustRightInd w:val="0"/>
      <w:snapToGrid w:val="0"/>
      <w:spacing w:line="360" w:lineRule="auto"/>
      <w:ind w:firstLine="480" w:firstLineChars="200"/>
    </w:pPr>
    <w:rPr>
      <w:rFonts w:ascii="宋体" w:hAnsi="宋体" w:eastAsia="黑体" w:cs="宋体"/>
      <w:b/>
      <w:kern w:val="21"/>
      <w:sz w:val="24"/>
      <w:szCs w:val="24"/>
    </w:rPr>
  </w:style>
  <w:style w:type="paragraph" w:customStyle="1" w:styleId="68">
    <w:name w:val="1正文段落"/>
    <w:basedOn w:val="1"/>
    <w:autoRedefine/>
    <w:qFormat/>
    <w:uiPriority w:val="0"/>
    <w:pPr>
      <w:spacing w:line="360" w:lineRule="auto"/>
      <w:ind w:firstLine="480" w:firstLineChars="200"/>
      <w:jc w:val="left"/>
    </w:pPr>
    <w:rPr>
      <w:snapToGrid w:val="0"/>
      <w:kern w:val="0"/>
      <w:sz w:val="20"/>
      <w:szCs w:val="20"/>
    </w:rPr>
  </w:style>
  <w:style w:type="paragraph" w:customStyle="1" w:styleId="69">
    <w:name w:val="表格标题新"/>
    <w:basedOn w:val="1"/>
    <w:autoRedefine/>
    <w:qFormat/>
    <w:uiPriority w:val="0"/>
    <w:pPr>
      <w:tabs>
        <w:tab w:val="left" w:pos="0"/>
      </w:tabs>
      <w:adjustRightInd w:val="0"/>
      <w:snapToGrid w:val="0"/>
      <w:spacing w:before="156" w:beforeLines="50"/>
      <w:jc w:val="center"/>
    </w:pPr>
    <w:rPr>
      <w:rFonts w:ascii="黑体" w:eastAsia="黑体"/>
      <w:snapToGrid w:val="0"/>
      <w:spacing w:val="4"/>
      <w:kern w:val="0"/>
      <w:sz w:val="24"/>
      <w:szCs w:val="24"/>
    </w:rPr>
  </w:style>
  <w:style w:type="paragraph" w:customStyle="1" w:styleId="70">
    <w:name w:val="Table Paragraph"/>
    <w:basedOn w:val="1"/>
    <w:autoRedefine/>
    <w:qFormat/>
    <w:uiPriority w:val="1"/>
    <w:rPr>
      <w:szCs w:val="24"/>
    </w:rPr>
  </w:style>
  <w:style w:type="paragraph" w:customStyle="1" w:styleId="71">
    <w:name w:val="WPS Plain"/>
    <w:autoRedefine/>
    <w:qFormat/>
    <w:uiPriority w:val="0"/>
    <w:rPr>
      <w:rFonts w:ascii="Times New Roman" w:hAnsi="Times New Roman" w:eastAsia="宋体" w:cs="Calibri"/>
      <w:lang w:val="en-US" w:eastAsia="zh-CN" w:bidi="ar-SA"/>
    </w:rPr>
  </w:style>
  <w:style w:type="paragraph" w:customStyle="1" w:styleId="72">
    <w:name w:val="正文-lcc"/>
    <w:basedOn w:val="1"/>
    <w:autoRedefine/>
    <w:qFormat/>
    <w:uiPriority w:val="0"/>
    <w:pPr>
      <w:snapToGrid w:val="0"/>
      <w:spacing w:line="360" w:lineRule="auto"/>
      <w:ind w:firstLine="200" w:firstLineChars="200"/>
    </w:pPr>
    <w:rPr>
      <w:rFonts w:eastAsia="仿宋"/>
      <w:color w:val="000000"/>
      <w:sz w:val="24"/>
    </w:rPr>
  </w:style>
  <w:style w:type="paragraph" w:customStyle="1" w:styleId="73">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4">
    <w:name w:val="正文lcc"/>
    <w:basedOn w:val="1"/>
    <w:autoRedefine/>
    <w:qFormat/>
    <w:uiPriority w:val="0"/>
    <w:pPr>
      <w:overflowPunct w:val="0"/>
      <w:adjustRightInd w:val="0"/>
      <w:snapToGrid w:val="0"/>
      <w:spacing w:line="360" w:lineRule="auto"/>
      <w:ind w:firstLine="200" w:firstLineChars="200"/>
    </w:pPr>
    <w:rPr>
      <w:rFonts w:ascii="Calibri" w:hAnsi="Calibri" w:eastAsia="Times New Roman"/>
      <w:kern w:val="24"/>
      <w:sz w:val="24"/>
      <w:szCs w:val="20"/>
    </w:rPr>
  </w:style>
  <w:style w:type="paragraph" w:customStyle="1" w:styleId="75">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6">
    <w:name w:val="表格字体文本"/>
    <w:basedOn w:val="1"/>
    <w:next w:val="1"/>
    <w:autoRedefine/>
    <w:qFormat/>
    <w:uiPriority w:val="0"/>
    <w:pPr>
      <w:autoSpaceDE w:val="0"/>
      <w:autoSpaceDN w:val="0"/>
      <w:jc w:val="center"/>
    </w:pPr>
    <w:rPr>
      <w:rFonts w:cs="宋体"/>
      <w:kern w:val="0"/>
      <w:szCs w:val="21"/>
    </w:rPr>
  </w:style>
  <w:style w:type="paragraph" w:customStyle="1" w:styleId="77">
    <w:name w:val="表中文字0720"/>
    <w:basedOn w:val="1"/>
    <w:autoRedefine/>
    <w:qFormat/>
    <w:uiPriority w:val="0"/>
    <w:pPr>
      <w:snapToGrid w:val="0"/>
      <w:jc w:val="center"/>
    </w:pPr>
    <w:rPr>
      <w:rFonts w:ascii="Calibri" w:hAnsi="Calibri"/>
      <w:snapToGrid w:val="0"/>
      <w:color w:val="000000"/>
      <w:spacing w:val="4"/>
      <w:szCs w:val="21"/>
    </w:rPr>
  </w:style>
  <w:style w:type="paragraph" w:customStyle="1" w:styleId="78">
    <w:name w:val="Char Char Char Char1"/>
    <w:basedOn w:val="1"/>
    <w:autoRedefine/>
    <w:qFormat/>
    <w:uiPriority w:val="0"/>
    <w:rPr>
      <w:sz w:val="24"/>
      <w:szCs w:val="24"/>
    </w:rPr>
  </w:style>
  <w:style w:type="table" w:customStyle="1" w:styleId="79">
    <w:name w:val="king"/>
    <w:basedOn w:val="27"/>
    <w:autoRedefine/>
    <w:qFormat/>
    <w:uiPriority w:val="99"/>
    <w:pPr>
      <w:jc w:val="both"/>
    </w:pPr>
    <w:tblPr>
      <w:tblBorders>
        <w:top w:val="thickThinMediumGap" w:color="auto" w:sz="12" w:space="0"/>
        <w:bottom w:val="thinThickSmallGap" w:color="auto" w:sz="12" w:space="0"/>
        <w:insideH w:val="single" w:color="auto" w:sz="4" w:space="0"/>
        <w:insideV w:val="single" w:color="auto" w:sz="4" w:space="0"/>
      </w:tblBorders>
    </w:tblPr>
    <w:tcPr>
      <w:vAlign w:val="center"/>
    </w:tcPr>
  </w:style>
  <w:style w:type="paragraph" w:customStyle="1" w:styleId="80">
    <w:name w:val="正文11111111111111"/>
    <w:basedOn w:val="1"/>
    <w:autoRedefine/>
    <w:qFormat/>
    <w:uiPriority w:val="0"/>
    <w:pPr>
      <w:adjustRightInd w:val="0"/>
      <w:snapToGrid w:val="0"/>
      <w:spacing w:line="360" w:lineRule="auto"/>
      <w:ind w:firstLine="480" w:firstLineChars="200"/>
    </w:pPr>
    <w:rPr>
      <w:color w:val="000000"/>
      <w:sz w:val="24"/>
      <w:szCs w:val="24"/>
    </w:rPr>
  </w:style>
  <w:style w:type="table" w:customStyle="1" w:styleId="81">
    <w:name w:val="Table Normal"/>
    <w:autoRedefine/>
    <w:unhideWhenUsed/>
    <w:qFormat/>
    <w:uiPriority w:val="0"/>
    <w:tblPr>
      <w:tblCellMar>
        <w:top w:w="0" w:type="dxa"/>
        <w:left w:w="0" w:type="dxa"/>
        <w:bottom w:w="0" w:type="dxa"/>
        <w:right w:w="0" w:type="dxa"/>
      </w:tblCellMar>
    </w:tblPr>
  </w:style>
  <w:style w:type="paragraph" w:customStyle="1" w:styleId="82">
    <w:name w:val="lgg表格文本"/>
    <w:basedOn w:val="83"/>
    <w:autoRedefine/>
    <w:qFormat/>
    <w:uiPriority w:val="0"/>
    <w:pPr>
      <w:adjustRightInd w:val="0"/>
      <w:spacing w:line="240" w:lineRule="auto"/>
      <w:ind w:firstLine="0" w:firstLineChars="0"/>
      <w:jc w:val="center"/>
    </w:pPr>
    <w:rPr>
      <w:rFonts w:ascii="Times New Roman" w:hAnsi="Times New Roman"/>
      <w:sz w:val="21"/>
      <w:szCs w:val="21"/>
    </w:rPr>
  </w:style>
  <w:style w:type="paragraph" w:customStyle="1" w:styleId="83">
    <w:name w:val="lgg文本"/>
    <w:basedOn w:val="1"/>
    <w:autoRedefine/>
    <w:qFormat/>
    <w:uiPriority w:val="0"/>
    <w:pPr>
      <w:snapToGrid w:val="0"/>
      <w:spacing w:line="360" w:lineRule="auto"/>
      <w:ind w:firstLine="200" w:firstLineChars="200"/>
    </w:pPr>
    <w:rPr>
      <w:rFonts w:ascii="Calibri" w:hAnsi="Calibri"/>
      <w:sz w:val="24"/>
    </w:rPr>
  </w:style>
  <w:style w:type="paragraph" w:customStyle="1" w:styleId="84">
    <w:name w:val="图表"/>
    <w:basedOn w:val="1"/>
    <w:next w:val="1"/>
    <w:autoRedefine/>
    <w:qFormat/>
    <w:uiPriority w:val="0"/>
    <w:pPr>
      <w:spacing w:line="240" w:lineRule="auto"/>
      <w:ind w:firstLine="0" w:firstLineChars="0"/>
      <w:jc w:val="center"/>
    </w:pPr>
    <w:rPr>
      <w:rFonts w:ascii="Times New Roman" w:hAnsi="Times New Roman" w:eastAsia="宋体"/>
      <w:spacing w:val="6"/>
      <w:sz w:val="21"/>
      <w:szCs w:val="21"/>
    </w:rPr>
  </w:style>
  <w:style w:type="paragraph" w:customStyle="1" w:styleId="85">
    <w:name w:val="正文123"/>
    <w:basedOn w:val="1"/>
    <w:next w:val="12"/>
    <w:autoRedefine/>
    <w:qFormat/>
    <w:uiPriority w:val="0"/>
    <w:pPr>
      <w:snapToGrid/>
      <w:spacing w:line="360" w:lineRule="auto"/>
      <w:ind w:firstLine="480" w:firstLineChars="200"/>
    </w:pPr>
    <w:rPr>
      <w:rFonts w:ascii="Times New Roman" w:hAnsi="Times New Roman" w:eastAsia="宋体"/>
      <w:sz w:val="24"/>
    </w:rPr>
  </w:style>
  <w:style w:type="paragraph" w:customStyle="1" w:styleId="86">
    <w:name w:val="表头"/>
    <w:basedOn w:val="9"/>
    <w:next w:val="1"/>
    <w:autoRedefine/>
    <w:qFormat/>
    <w:uiPriority w:val="0"/>
    <w:pPr>
      <w:snapToGrid w:val="0"/>
      <w:spacing w:after="0"/>
      <w:jc w:val="center"/>
      <w:textAlignment w:val="baseline"/>
    </w:pPr>
    <w:rPr>
      <w:rFonts w:ascii="Times New Roman" w:hAnsi="Times New Roman"/>
      <w:b/>
      <w:sz w:val="24"/>
      <w:szCs w:val="24"/>
    </w:rPr>
  </w:style>
  <w:style w:type="paragraph" w:customStyle="1" w:styleId="87">
    <w:name w:val="表格五号"/>
    <w:basedOn w:val="12"/>
    <w:autoRedefine/>
    <w:qFormat/>
    <w:uiPriority w:val="0"/>
    <w:pPr>
      <w:adjustRightInd w:val="0"/>
      <w:snapToGrid w:val="0"/>
      <w:spacing w:line="210" w:lineRule="atLeast"/>
      <w:jc w:val="center"/>
      <w:textAlignment w:val="baseline"/>
    </w:pPr>
    <w:rPr>
      <w:rFonts w:ascii="Times New Roman" w:hAnsi="Times New Roman" w:eastAsia="宋体"/>
      <w:kern w:val="0"/>
    </w:rPr>
  </w:style>
  <w:style w:type="paragraph" w:customStyle="1" w:styleId="88">
    <w:name w:val="表"/>
    <w:basedOn w:val="1"/>
    <w:autoRedefine/>
    <w:qFormat/>
    <w:uiPriority w:val="0"/>
    <w:pPr>
      <w:snapToGrid w:val="0"/>
      <w:jc w:val="center"/>
    </w:pPr>
    <w:rPr>
      <w:spacing w:val="2"/>
      <w:szCs w:val="20"/>
    </w:rPr>
  </w:style>
  <w:style w:type="paragraph" w:customStyle="1" w:styleId="89">
    <w:name w:val="正本文字"/>
    <w:basedOn w:val="1"/>
    <w:autoRedefine/>
    <w:qFormat/>
    <w:uiPriority w:val="0"/>
    <w:pPr>
      <w:adjustRightInd w:val="0"/>
      <w:snapToGrid w:val="0"/>
      <w:spacing w:line="360" w:lineRule="auto"/>
      <w:ind w:firstLine="200" w:firstLineChars="200"/>
      <w:jc w:val="left"/>
    </w:pPr>
    <w:rPr>
      <w:rFonts w:cs="宋体"/>
      <w:kern w:val="18"/>
      <w:sz w:val="24"/>
      <w:szCs w:val="20"/>
    </w:rPr>
  </w:style>
  <w:style w:type="character" w:customStyle="1" w:styleId="90">
    <w:name w:val="font01"/>
    <w:basedOn w:val="29"/>
    <w:autoRedefine/>
    <w:qFormat/>
    <w:uiPriority w:val="0"/>
    <w:rPr>
      <w:rFonts w:ascii="Times New Roman" w:hAnsi="Times New Roman" w:eastAsia="Times New Roman" w:cs="Times New Roman"/>
      <w:color w:val="000000"/>
      <w:sz w:val="18"/>
      <w:szCs w:val="18"/>
      <w:u w:val="none"/>
    </w:rPr>
  </w:style>
  <w:style w:type="character" w:customStyle="1" w:styleId="91">
    <w:name w:val="font31"/>
    <w:basedOn w:val="29"/>
    <w:autoRedefine/>
    <w:qFormat/>
    <w:uiPriority w:val="0"/>
    <w:rPr>
      <w:rFonts w:ascii="宋体" w:hAnsi="宋体" w:eastAsia="宋体" w:cs="宋体"/>
      <w:i/>
      <w:iCs/>
      <w:color w:val="000000"/>
      <w:sz w:val="24"/>
      <w:szCs w:val="24"/>
      <w:u w:val="none"/>
    </w:rPr>
  </w:style>
  <w:style w:type="character" w:customStyle="1" w:styleId="92">
    <w:name w:val="font51"/>
    <w:basedOn w:val="29"/>
    <w:autoRedefine/>
    <w:qFormat/>
    <w:uiPriority w:val="0"/>
    <w:rPr>
      <w:rFonts w:ascii="Arial" w:hAnsi="Arial" w:cs="Arial"/>
      <w:i/>
      <w:iCs/>
      <w:color w:val="000000"/>
      <w:sz w:val="20"/>
      <w:szCs w:val="20"/>
      <w:u w:val="none"/>
    </w:rPr>
  </w:style>
  <w:style w:type="character" w:customStyle="1" w:styleId="93">
    <w:name w:val="font61"/>
    <w:basedOn w:val="29"/>
    <w:autoRedefine/>
    <w:qFormat/>
    <w:uiPriority w:val="0"/>
    <w:rPr>
      <w:rFonts w:hint="default" w:ascii="Times New Roman" w:hAnsi="Times New Roman" w:eastAsia="Times New Roman" w:cs="Times New Roman"/>
      <w:i/>
      <w:iCs/>
      <w:color w:val="000000"/>
      <w:sz w:val="18"/>
      <w:szCs w:val="18"/>
      <w:u w:val="none"/>
    </w:rPr>
  </w:style>
  <w:style w:type="paragraph" w:customStyle="1" w:styleId="94">
    <w:name w:val="样式 小四 首行缩进:  0.85 厘米 行距: 固定值 22 磅"/>
    <w:basedOn w:val="1"/>
    <w:autoRedefine/>
    <w:qFormat/>
    <w:uiPriority w:val="0"/>
    <w:pPr>
      <w:spacing w:line="440" w:lineRule="exact"/>
    </w:pPr>
    <w:rPr>
      <w:sz w:val="24"/>
      <w:szCs w:val="20"/>
    </w:rPr>
  </w:style>
  <w:style w:type="paragraph" w:customStyle="1" w:styleId="95">
    <w:name w:val="+正文"/>
    <w:basedOn w:val="1"/>
    <w:autoRedefine/>
    <w:qFormat/>
    <w:uiPriority w:val="0"/>
    <w:pPr>
      <w:spacing w:line="360" w:lineRule="auto"/>
      <w:ind w:firstLine="200" w:firstLineChars="200"/>
    </w:pPr>
    <w:rPr>
      <w:sz w:val="28"/>
      <w:szCs w:val="28"/>
    </w:rPr>
  </w:style>
  <w:style w:type="paragraph" w:customStyle="1" w:styleId="96">
    <w:name w:val="表格内容"/>
    <w:basedOn w:val="1"/>
    <w:next w:val="1"/>
    <w:autoRedefine/>
    <w:qFormat/>
    <w:uiPriority w:val="0"/>
    <w:pPr>
      <w:jc w:val="center"/>
    </w:pPr>
    <w:rPr>
      <w:rFonts w:ascii="Times New Roman" w:hAnsi="Times New Roman"/>
      <w:bCs/>
      <w:snapToGrid w:val="0"/>
      <w:color w:val="000000"/>
      <w:kern w:val="0"/>
      <w:szCs w:val="24"/>
    </w:rPr>
  </w:style>
  <w:style w:type="paragraph" w:customStyle="1" w:styleId="97">
    <w:name w:val="样式4"/>
    <w:basedOn w:val="1"/>
    <w:autoRedefine/>
    <w:qFormat/>
    <w:uiPriority w:val="0"/>
    <w:pPr>
      <w:adjustRightInd w:val="0"/>
      <w:snapToGrid w:val="0"/>
      <w:spacing w:line="320" w:lineRule="exact"/>
      <w:jc w:val="center"/>
    </w:pPr>
    <w:rPr>
      <w:rFonts w:ascii="Times New Roman" w:hAnsi="Times New Roman"/>
      <w:bCs/>
      <w:snapToGrid w:val="0"/>
      <w:kern w:val="0"/>
      <w:sz w:val="22"/>
    </w:rPr>
  </w:style>
  <w:style w:type="character" w:customStyle="1" w:styleId="98">
    <w:name w:val="font41"/>
    <w:basedOn w:val="29"/>
    <w:autoRedefine/>
    <w:qFormat/>
    <w:uiPriority w:val="0"/>
    <w:rPr>
      <w:rFonts w:hint="default" w:ascii="Times New Roman" w:hAnsi="Times New Roman" w:cs="Times New Roman"/>
      <w:b/>
      <w:bCs/>
      <w:color w:val="000000"/>
      <w:sz w:val="20"/>
      <w:szCs w:val="20"/>
      <w:u w:val="none"/>
    </w:rPr>
  </w:style>
  <w:style w:type="character" w:customStyle="1" w:styleId="99">
    <w:name w:val="font71"/>
    <w:basedOn w:val="29"/>
    <w:autoRedefine/>
    <w:qFormat/>
    <w:uiPriority w:val="0"/>
    <w:rPr>
      <w:rFonts w:hint="default" w:ascii="Times New Roman" w:hAnsi="Times New Roman" w:cs="Times New Roman"/>
      <w:color w:val="000000"/>
      <w:sz w:val="20"/>
      <w:szCs w:val="20"/>
      <w:u w:val="none"/>
    </w:rPr>
  </w:style>
  <w:style w:type="paragraph" w:customStyle="1" w:styleId="100">
    <w:name w:val="R22表头"/>
    <w:basedOn w:val="1"/>
    <w:autoRedefine/>
    <w:qFormat/>
    <w:uiPriority w:val="0"/>
    <w:pPr>
      <w:autoSpaceDE w:val="0"/>
      <w:autoSpaceDN w:val="0"/>
      <w:adjustRightInd w:val="0"/>
      <w:snapToGrid w:val="0"/>
      <w:spacing w:beforeLines="50"/>
      <w:jc w:val="center"/>
    </w:pPr>
    <w:rPr>
      <w:rFonts w:hAnsi="宋体"/>
      <w:b/>
      <w:color w:val="000000"/>
      <w:kern w:val="0"/>
      <w:sz w:val="24"/>
    </w:rPr>
  </w:style>
  <w:style w:type="paragraph" w:customStyle="1" w:styleId="101">
    <w:name w:val="表格居中"/>
    <w:basedOn w:val="1"/>
    <w:autoRedefine/>
    <w:qFormat/>
    <w:uiPriority w:val="0"/>
    <w:pPr>
      <w:snapToGrid w:val="0"/>
      <w:jc w:val="center"/>
    </w:pPr>
    <w:rPr>
      <w:rFonts w:ascii="宋体" w:hAnsi="宋体" w:cs="宋体"/>
      <w:spacing w:val="-4"/>
      <w:w w:val="90"/>
      <w:kern w:val="0"/>
    </w:rPr>
  </w:style>
  <w:style w:type="paragraph" w:customStyle="1" w:styleId="102">
    <w:name w:val="简单回函地址"/>
    <w:basedOn w:val="1"/>
    <w:autoRedefine/>
    <w:qFormat/>
    <w:uiPriority w:val="0"/>
    <w:rPr>
      <w:sz w:val="24"/>
      <w:szCs w:val="20"/>
    </w:rPr>
  </w:style>
  <w:style w:type="paragraph" w:customStyle="1" w:styleId="103">
    <w:name w:val="Table Text"/>
    <w:basedOn w:val="1"/>
    <w:autoRedefine/>
    <w:semiHidden/>
    <w:qFormat/>
    <w:uiPriority w:val="0"/>
    <w:rPr>
      <w:rFonts w:ascii="新宋体" w:hAnsi="新宋体" w:eastAsia="新宋体" w:cs="新宋体"/>
      <w:sz w:val="24"/>
      <w:szCs w:val="24"/>
      <w:lang w:val="en-US" w:eastAsia="en-US" w:bidi="ar-SA"/>
    </w:rPr>
  </w:style>
  <w:style w:type="paragraph" w:styleId="104">
    <w:name w:val="List Paragraph"/>
    <w:basedOn w:val="1"/>
    <w:autoRedefine/>
    <w:unhideWhenUsed/>
    <w:qFormat/>
    <w:uiPriority w:val="1"/>
    <w:pPr>
      <w:spacing w:beforeLines="0" w:afterLines="0"/>
      <w:ind w:left="1199" w:hanging="601"/>
    </w:pPr>
    <w:rPr>
      <w:rFonts w:hint="eastAsia"/>
      <w:sz w:val="24"/>
    </w:rPr>
  </w:style>
  <w:style w:type="paragraph" w:customStyle="1" w:styleId="105">
    <w:name w:val="新表格"/>
    <w:basedOn w:val="1"/>
    <w:autoRedefine/>
    <w:qFormat/>
    <w:uiPriority w:val="0"/>
    <w:pPr>
      <w:spacing w:line="240" w:lineRule="auto"/>
      <w:ind w:firstLine="0" w:firstLineChars="0"/>
      <w:jc w:val="center"/>
    </w:pPr>
    <w:rPr>
      <w:rFonts w:cs="Times New Roman"/>
      <w:sz w:val="21"/>
      <w:szCs w:val="24"/>
    </w:rPr>
  </w:style>
  <w:style w:type="paragraph" w:customStyle="1" w:styleId="106">
    <w:name w:val="QQ表头"/>
    <w:basedOn w:val="1"/>
    <w:qFormat/>
    <w:uiPriority w:val="0"/>
    <w:pPr>
      <w:widowControl/>
      <w:shd w:val="clear" w:color="auto" w:fill="FFFFFF"/>
      <w:adjustRightInd w:val="0"/>
      <w:snapToGrid w:val="0"/>
      <w:spacing w:line="360" w:lineRule="auto"/>
      <w:jc w:val="center"/>
    </w:pPr>
    <w:rPr>
      <w:b/>
      <w:kern w:val="0"/>
      <w:szCs w:val="24"/>
      <w:lang w:val="zh-CN"/>
    </w:rPr>
  </w:style>
  <w:style w:type="paragraph" w:customStyle="1" w:styleId="107">
    <w:name w:val="默认段落字体 Para Char Char Char Char Char Char Char Char Char Char Char Char Char"/>
    <w:basedOn w:val="1"/>
    <w:autoRedefine/>
    <w:qFormat/>
    <w:uiPriority w:val="0"/>
    <w:pPr>
      <w:spacing w:line="240" w:lineRule="auto"/>
      <w:ind w:firstLine="0" w:firstLineChars="0"/>
    </w:pPr>
    <w:rPr>
      <w:rFonts w:ascii="Times New Roman" w:hAnsi="Times New Roman"/>
      <w:color w:val="auto"/>
      <w:szCs w:val="24"/>
    </w:rPr>
  </w:style>
  <w:style w:type="paragraph" w:customStyle="1" w:styleId="108">
    <w:name w:val="表格文字"/>
    <w:basedOn w:val="1"/>
    <w:qFormat/>
    <w:uiPriority w:val="0"/>
    <w:pPr>
      <w:adjustRightInd w:val="0"/>
      <w:snapToGrid w:val="0"/>
      <w:jc w:val="center"/>
    </w:pPr>
    <w:rPr>
      <w:rFonts w:hint="eastAsia" w:ascii="Times New Roman" w:hAnsi="Times New Roman" w:eastAsia="宋体" w:cs="Times New Roman"/>
      <w:sz w:val="21"/>
      <w:szCs w:val="24"/>
    </w:rPr>
  </w:style>
  <w:style w:type="paragraph" w:customStyle="1" w:styleId="109">
    <w:name w:val="表体"/>
    <w:basedOn w:val="1"/>
    <w:autoRedefine/>
    <w:qFormat/>
    <w:uiPriority w:val="0"/>
    <w:pPr>
      <w:spacing w:before="40" w:after="40"/>
      <w:jc w:val="center"/>
    </w:pPr>
    <w:rPr>
      <w:szCs w:val="21"/>
    </w:rPr>
  </w:style>
  <w:style w:type="paragraph" w:customStyle="1" w:styleId="110">
    <w:name w:val="表格中文字"/>
    <w:basedOn w:val="1"/>
    <w:autoRedefine/>
    <w:qFormat/>
    <w:uiPriority w:val="0"/>
    <w:pPr>
      <w:snapToGrid w:val="0"/>
      <w:spacing w:line="360" w:lineRule="auto"/>
      <w:ind w:firstLine="602" w:firstLineChars="200"/>
      <w:jc w:val="center"/>
    </w:pPr>
    <w:rPr>
      <w:rFonts w:eastAsia="宋体"/>
      <w:szCs w:val="21"/>
    </w:rPr>
  </w:style>
  <w:style w:type="character" w:customStyle="1" w:styleId="111">
    <w:name w:val="font101"/>
    <w:basedOn w:val="29"/>
    <w:qFormat/>
    <w:uiPriority w:val="0"/>
    <w:rPr>
      <w:rFonts w:hint="eastAsia" w:ascii="宋体" w:hAnsi="宋体" w:eastAsia="宋体" w:cs="宋体"/>
      <w:color w:val="000000"/>
      <w:sz w:val="24"/>
      <w:szCs w:val="24"/>
      <w:u w:val="none"/>
      <w:vertAlign w:val="superscript"/>
    </w:rPr>
  </w:style>
  <w:style w:type="paragraph" w:customStyle="1" w:styleId="112">
    <w:name w:val="表格正文"/>
    <w:basedOn w:val="1"/>
    <w:next w:val="1"/>
    <w:autoRedefine/>
    <w:qFormat/>
    <w:uiPriority w:val="0"/>
    <w:pPr>
      <w:snapToGrid w:val="0"/>
      <w:spacing w:line="240" w:lineRule="auto"/>
      <w:ind w:firstLine="0" w:firstLineChars="0"/>
      <w:jc w:val="center"/>
      <w:textAlignment w:val="baseline"/>
    </w:pPr>
    <w:rPr>
      <w:rFonts w:ascii="宋体" w:hAnsi="宋体"/>
      <w:snapToGrid w:val="0"/>
      <w:color w:val="000000"/>
      <w:w w:val="90"/>
      <w:kern w:val="0"/>
      <w:szCs w:val="24"/>
    </w:rPr>
  </w:style>
  <w:style w:type="paragraph" w:customStyle="1" w:styleId="113">
    <w:name w:val="QQ表格"/>
    <w:next w:val="25"/>
    <w:autoRedefine/>
    <w:qFormat/>
    <w:uiPriority w:val="0"/>
    <w:pPr>
      <w:jc w:val="center"/>
    </w:pPr>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5.jpeg"/><Relationship Id="rId5" Type="http://schemas.openxmlformats.org/officeDocument/2006/relationships/header" Target="header1.xml"/><Relationship Id="rId49" Type="http://schemas.openxmlformats.org/officeDocument/2006/relationships/image" Target="media/image24.jpe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15.wmf"/><Relationship Id="rId38" Type="http://schemas.openxmlformats.org/officeDocument/2006/relationships/oleObject" Target="embeddings/oleObject12.bin"/><Relationship Id="rId37" Type="http://schemas.openxmlformats.org/officeDocument/2006/relationships/image" Target="media/image14.wmf"/><Relationship Id="rId36" Type="http://schemas.openxmlformats.org/officeDocument/2006/relationships/oleObject" Target="embeddings/oleObject11.bin"/><Relationship Id="rId35" Type="http://schemas.openxmlformats.org/officeDocument/2006/relationships/image" Target="media/image13.wmf"/><Relationship Id="rId34"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9.bin"/><Relationship Id="rId31" Type="http://schemas.openxmlformats.org/officeDocument/2006/relationships/image" Target="media/image11.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7.bin"/><Relationship Id="rId27" Type="http://schemas.openxmlformats.org/officeDocument/2006/relationships/image" Target="media/image9.wmf"/><Relationship Id="rId26" Type="http://schemas.openxmlformats.org/officeDocument/2006/relationships/oleObject" Target="embeddings/oleObject6.bin"/><Relationship Id="rId25" Type="http://schemas.openxmlformats.org/officeDocument/2006/relationships/image" Target="media/image8.wmf"/><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11469</Words>
  <Characters>11913</Characters>
  <Lines>13</Lines>
  <Paragraphs>3</Paragraphs>
  <TotalTime>35</TotalTime>
  <ScaleCrop>false</ScaleCrop>
  <LinksUpToDate>false</LinksUpToDate>
  <CharactersWithSpaces>11991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小香猪</cp:lastModifiedBy>
  <cp:lastPrinted>2023-06-30T00:37:00Z</cp:lastPrinted>
  <dcterms:modified xsi:type="dcterms:W3CDTF">2025-01-13T09:49:29Z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5EA84A27758B452E8EE9CB0063927EF5_13</vt:lpwstr>
  </property>
  <property fmtid="{D5CDD505-2E9C-101B-9397-08002B2CF9AE}" pid="4" name="KSOTemplateDocerSaveRecord">
    <vt:lpwstr>eyJoZGlkIjoiZmU5ZTE5YTUzYzE3ZGU4MGI0NzYyNjgxOTFlZWFmNmEiLCJ1c2VySWQiOiIyNjg1MzQ0MDcifQ==</vt:lpwstr>
  </property>
</Properties>
</file>